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1"/>
        </w:numPr>
        <w:spacing w:after="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Acet HC III</w:t>
      </w:r>
    </w:p>
    <w:p w:rsidR="00000000" w:rsidDel="00000000" w:rsidP="00000000" w:rsidRDefault="00000000" w:rsidRPr="00000000" w14:paraId="00000004">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Acet, Omoro district</w:t>
      </w:r>
    </w:p>
    <w:p w:rsidR="00000000" w:rsidDel="00000000" w:rsidP="00000000" w:rsidRDefault="00000000" w:rsidRPr="00000000" w14:paraId="00000005">
      <w:pPr>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September 2026</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observations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verification exercise was successfully conducted with the support of the facility In charge, who provided the relevant documentation, including delivery notes and stock cards.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UgIFT-provided medical equipment and furniture were physically verified and confirmed to be present at the facility.</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Health Unit Management Committee demonstrated strong cooperation and actively supported the verification exercise.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 the verified UgIFT assets were found to be functional and in use by the facility.</w:t>
      </w:r>
    </w:p>
    <w:p w:rsidR="00000000" w:rsidDel="00000000" w:rsidP="00000000" w:rsidRDefault="00000000" w:rsidRPr="00000000" w14:paraId="0000000B">
      <w:pPr>
        <w:rPr>
          <w:rFonts w:ascii="Times New Roman" w:cs="Times New Roman" w:eastAsia="Times New Roman" w:hAnsi="Times New Roman"/>
          <w:sz w:val="24"/>
          <w:szCs w:val="24"/>
        </w:rPr>
      </w:pPr>
      <w:bookmarkStart w:colFirst="0" w:colLast="0" w:name="_heading=h.j7r6a49r1d1a" w:id="0"/>
      <w:bookmarkEnd w:id="0"/>
      <w:r w:rsidDel="00000000" w:rsidR="00000000" w:rsidRPr="00000000">
        <w:rPr>
          <w:rFonts w:ascii="Times New Roman" w:cs="Times New Roman" w:eastAsia="Times New Roman" w:hAnsi="Times New Roman"/>
          <w:sz w:val="24"/>
          <w:szCs w:val="24"/>
          <w:rtl w:val="0"/>
        </w:rPr>
        <w:t xml:space="preserve">Special notes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heading=h.jh0pqw3lf2ph" w:id="1"/>
      <w:bookmarkEnd w:id="1"/>
      <w:r w:rsidDel="00000000" w:rsidR="00000000" w:rsidRPr="00000000">
        <w:rPr>
          <w:rFonts w:ascii="Times New Roman" w:cs="Times New Roman" w:eastAsia="Times New Roman" w:hAnsi="Times New Roman"/>
          <w:sz w:val="24"/>
          <w:szCs w:val="24"/>
          <w:rtl w:val="0"/>
        </w:rPr>
        <w:t xml:space="preserve">Not assets engraved</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heading=h.rwxnllnguidx"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four wheelchairs provided under UgIFT were found to be non-functional. According to the facility, the wheelchairs were already faulty at the time of delivery and have never been used since they were received. The four wheelchairs therefore remain idle and do not currently contribute to service delivery.</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UgIFT-provided equipment was not engraved or otherwise clearly marked. This made it difficult to distinguish UgIFT assets from other assets owned by the facility.</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heading=h.x7u2wuy4lqhe"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metallic beds and chairs showed signs of rust, which the facility attributed to poor storage conditions while the items remained packed. The continued exposure to unsuitable storage conditions may lead to further deterioration and reduce the lifespan of the assets.</w:t>
      </w:r>
    </w:p>
    <w:p w:rsidR="00000000" w:rsidDel="00000000" w:rsidP="00000000" w:rsidRDefault="00000000" w:rsidRPr="00000000" w14:paraId="00000010">
      <w:pPr>
        <w:rPr>
          <w:rFonts w:ascii="Times New Roman" w:cs="Times New Roman" w:eastAsia="Times New Roman" w:hAnsi="Times New Roman"/>
          <w:sz w:val="24"/>
          <w:szCs w:val="24"/>
        </w:rPr>
      </w:pPr>
      <w:bookmarkStart w:colFirst="0" w:colLast="0" w:name="_heading=h.zg5c51z9j8s4" w:id="4"/>
      <w:bookmarkEnd w:id="4"/>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 of the four wheelchairs at the time of delivery raises concerns regarding the inspection and quality assurance process before assets are accepted by facilities. A thorough quality and functionality inspection should be conducted at the delivery point before assets are formally accepted and handed over to the facility. Faulty items should be identified and replaced promptly.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6">
      <w:pPr>
        <w:rPr>
          <w:rFonts w:ascii="Times New Roman" w:cs="Times New Roman" w:eastAsia="Times New Roman" w:hAnsi="Times New Roman"/>
          <w:b w:val="1"/>
          <w:bCs w:val="1"/>
          <w:sz w:val="24"/>
          <w:szCs w:val="24"/>
        </w:rPr>
      </w:pPr>
      <w:bookmarkStart w:colFirst="0" w:colLast="0" w:name="_heading=h.v4gmko8uw8fd" w:id="5"/>
      <w:bookmarkEnd w:id="5"/>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80"/>
        <w:gridCol w:w="7234"/>
        <w:tblGridChange w:id="0">
          <w:tblGrid>
            <w:gridCol w:w="2080"/>
            <w:gridCol w:w="723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ACET HC III SIGN POST</w:t>
            </w: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22840" cy="3007698"/>
                  <wp:effectExtent b="0" l="0" r="0" t="0"/>
                  <wp:docPr id="1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22840" cy="300769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20" w:before="120" w:line="240" w:lineRule="auto"/>
              <w:jc w:val="center"/>
              <w:rPr/>
            </w:pPr>
            <w:r w:rsidDel="00000000" w:rsidR="00000000" w:rsidRPr="00000000">
              <w:rPr/>
              <mc:AlternateContent>
                <mc:Choice Requires="wpg">
                  <w:drawing>
                    <wp:inline distB="0" distT="0" distL="0" distR="0">
                      <wp:extent cx="314325" cy="314325"/>
                      <wp:effectExtent b="0" l="0" r="0" t="0"/>
                      <wp:docPr id="16"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mc:AlternateContent>
                <mc:Choice Requires="wpg">
                  <w:drawing>
                    <wp:inline distB="0" distT="0" distL="0" distR="0">
                      <wp:extent cx="314325" cy="314325"/>
                      <wp:effectExtent b="0" l="0" r="0" t="0"/>
                      <wp:docPr id="15"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A">
            <w:pPr>
              <w:spacing w:line="240" w:lineRule="auto"/>
              <w:jc w:val="center"/>
              <w:rPr/>
            </w:pPr>
            <w:r w:rsidDel="00000000" w:rsidR="00000000" w:rsidRPr="00000000">
              <w:rPr>
                <w:rtl w:val="0"/>
              </w:rPr>
            </w:r>
          </w:p>
          <w:p w:rsidR="00000000" w:rsidDel="00000000" w:rsidP="00000000" w:rsidRDefault="00000000" w:rsidRPr="00000000" w14:paraId="0000001B">
            <w:pPr>
              <w:spacing w:line="240" w:lineRule="auto"/>
              <w:jc w:val="center"/>
              <w:rPr/>
            </w:pPr>
            <w:r w:rsidDel="00000000" w:rsidR="00000000" w:rsidRPr="00000000">
              <w:rPr>
                <w:rtl w:val="0"/>
              </w:rPr>
              <w:t xml:space="preserve">TYPICAL SET OF STAFF QUARTER’S BLOCK</w:t>
            </w:r>
          </w:p>
          <w:p w:rsidR="00000000" w:rsidDel="00000000" w:rsidP="00000000" w:rsidRDefault="00000000" w:rsidRPr="00000000" w14:paraId="0000001C">
            <w:pPr>
              <w:spacing w:line="240" w:lineRule="auto"/>
              <w:jc w:val="center"/>
              <w:rPr/>
            </w:pPr>
            <w:r w:rsidDel="00000000" w:rsidR="00000000" w:rsidRPr="00000000">
              <w:rPr>
                <w:rtl w:val="0"/>
              </w:rPr>
              <w:t xml:space="preserve">(HOUSE BLOCK WITH TWO UNITS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13367" cy="3085025"/>
                  <wp:effectExtent b="0" l="0" r="0" t="0"/>
                  <wp:docPr id="1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113367" cy="3085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F">
            <w:pPr>
              <w:spacing w:line="240" w:lineRule="auto"/>
              <w:jc w:val="center"/>
              <w:rPr/>
            </w:pPr>
            <w:r w:rsidDel="00000000" w:rsidR="00000000" w:rsidRPr="00000000">
              <w:rPr>
                <w:rtl w:val="0"/>
              </w:rPr>
              <w:t xml:space="preserve">MATERNITY BLOCK (FRONT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83472" cy="2530441"/>
                  <wp:effectExtent b="0" l="0" r="0" t="0"/>
                  <wp:docPr id="1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283472" cy="253044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2">
            <w:pPr>
              <w:spacing w:line="240" w:lineRule="auto"/>
              <w:jc w:val="center"/>
              <w:rPr/>
            </w:pPr>
            <w:r w:rsidDel="00000000" w:rsidR="00000000" w:rsidRPr="00000000">
              <w:rPr>
                <w:rtl w:val="0"/>
              </w:rPr>
            </w:r>
          </w:p>
          <w:p w:rsidR="00000000" w:rsidDel="00000000" w:rsidP="00000000" w:rsidRDefault="00000000" w:rsidRPr="00000000" w14:paraId="00000023">
            <w:pPr>
              <w:spacing w:line="240" w:lineRule="auto"/>
              <w:jc w:val="center"/>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rtl w:val="0"/>
              </w:rPr>
              <w:t xml:space="preserve">WATER TANKS (10000L)</w:t>
            </w:r>
          </w:p>
          <w:p w:rsidR="00000000" w:rsidDel="00000000" w:rsidP="00000000" w:rsidRDefault="00000000" w:rsidRPr="00000000" w14:paraId="00000025">
            <w:pPr>
              <w:spacing w:line="240" w:lineRule="auto"/>
              <w:jc w:val="center"/>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50522" cy="2813697"/>
                  <wp:effectExtent b="0" l="0" r="0" t="0"/>
                  <wp:docPr id="2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150522" cy="281369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8">
            <w:pPr>
              <w:spacing w:line="240" w:lineRule="auto"/>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9">
            <w:pPr>
              <w:spacing w:after="120" w:before="120" w:line="240" w:lineRule="auto"/>
              <w:rPr>
                <w:b w:val="1"/>
                <w:bCs w:val="1"/>
              </w:rPr>
            </w:pPr>
            <w:r w:rsidDel="00000000" w:rsidR="00000000" w:rsidRPr="00000000">
              <w:rPr>
                <w:rtl w:val="0"/>
              </w:rPr>
            </w:r>
          </w:p>
        </w:tc>
      </w:tr>
    </w:tbl>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006AF"/>
    <w:pPr>
      <w:ind w:left="720"/>
      <w:contextualSpacing w:val="1"/>
    </w:pPr>
  </w:style>
  <w:style w:type="paragraph" w:styleId="NormalWeb">
    <w:name w:val="Normal (Web)"/>
    <w:basedOn w:val="Normal"/>
    <w:uiPriority w:val="99"/>
    <w:semiHidden w:val="1"/>
    <w:unhideWhenUsed w:val="1"/>
    <w:rsid w:val="00672EC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bwq8g0ARVfOEVCofkJV44KHmg==">CgMxLjAyDmguajdyNmE0OXIxZDFhMg5oLmpoMHBxdzNsZjJwaDIOaC5yd3hubGxuZ3VpZHgyDmgueDd1Mnd1eTRscWhlMg5oLnpnNWM1MXo5ajhzNDIOaC52NGdta284dXc4ZmQ4AHIhMXlyNVhaLUMzWUV1SWNtdU9CU3RhU2VBUXc5T2YyUDBo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2026-09-10T18:25:00Z</dcterms:created>
  <dc:creator>Doris Nassuuna</dc:creator>
</cp:coreProperties>
</file>