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bookmarkStart w:colFirst="0" w:colLast="0" w:name="_heading=h.i9whe4nk69xj" w:id="0"/>
      <w:bookmarkEnd w:id="0"/>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Icheme (Okwir) HC III</w:t>
      </w:r>
    </w:p>
    <w:p w:rsidR="00000000" w:rsidDel="00000000" w:rsidP="00000000" w:rsidRDefault="00000000" w:rsidRPr="00000000" w14:paraId="0000000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Icheme, Oyam district</w:t>
      </w:r>
    </w:p>
    <w:p w:rsidR="00000000" w:rsidDel="00000000" w:rsidP="00000000" w:rsidRDefault="00000000" w:rsidRPr="00000000" w14:paraId="0000000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August 2026</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4"/>
        </w:numPr>
        <w:ind w:left="360" w:hanging="360"/>
        <w:rPr>
          <w:rFonts w:ascii="Times New Roman" w:cs="Times New Roman" w:eastAsia="Times New Roman" w:hAnsi="Times New Roman"/>
          <w:sz w:val="24"/>
          <w:szCs w:val="24"/>
        </w:rPr>
      </w:pPr>
      <w:bookmarkStart w:colFirst="0" w:colLast="0" w:name="_heading=h.kqtkcws7v0zl" w:id="1"/>
      <w:bookmarkEnd w:id="1"/>
      <w:r w:rsidDel="00000000" w:rsidR="00000000" w:rsidRPr="00000000">
        <w:rPr>
          <w:rFonts w:ascii="Times New Roman" w:cs="Times New Roman" w:eastAsia="Times New Roman" w:hAnsi="Times New Roman"/>
          <w:sz w:val="24"/>
          <w:szCs w:val="24"/>
          <w:rtl w:val="0"/>
        </w:rPr>
        <w:t xml:space="preserve">General observations</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exercise was conducted with the support of the facility in charge, who was available and actively participated throughout the process and provided the relevant documentation, including the delivery note, to support the verification exercise.</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assets provided to the facility under UgIFT were physically verified and accounted for during the exercise. The in charge actively participated in the verification process by providing information and guiding the verification team on the location and use of the assets.</w:t>
      </w:r>
    </w:p>
    <w:p w:rsidR="00000000" w:rsidDel="00000000" w:rsidP="00000000" w:rsidRDefault="00000000" w:rsidRPr="00000000" w14:paraId="0000000A">
      <w:pPr>
        <w:rPr>
          <w:rFonts w:ascii="Times New Roman" w:cs="Times New Roman" w:eastAsia="Times New Roman" w:hAnsi="Times New Roman"/>
          <w:sz w:val="24"/>
          <w:szCs w:val="24"/>
        </w:rPr>
      </w:pPr>
      <w:bookmarkStart w:colFirst="0" w:colLast="0" w:name="_heading=h.o3ggny831li0" w:id="2"/>
      <w:bookmarkEnd w:id="2"/>
      <w:r w:rsidDel="00000000" w:rsidR="00000000" w:rsidRPr="00000000">
        <w:rPr>
          <w:rFonts w:ascii="Times New Roman" w:cs="Times New Roman" w:eastAsia="Times New Roman" w:hAnsi="Times New Roman"/>
          <w:sz w:val="24"/>
          <w:szCs w:val="24"/>
          <w:rtl w:val="0"/>
        </w:rPr>
        <w:t xml:space="preserve">Special notes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bookmarkStart w:colFirst="0" w:colLast="0" w:name="_heading=h.2fkkca80t9af" w:id="3"/>
      <w:bookmarkEnd w:id="3"/>
      <w:r w:rsidDel="00000000" w:rsidR="00000000" w:rsidRPr="00000000">
        <w:rPr>
          <w:rFonts w:ascii="Times New Roman" w:cs="Times New Roman" w:eastAsia="Times New Roman" w:hAnsi="Times New Roman"/>
          <w:sz w:val="24"/>
          <w:szCs w:val="24"/>
          <w:rtl w:val="0"/>
        </w:rPr>
        <w:t xml:space="preserve">The UgIFT-provided equipment and assets were not engraved or otherwise marked for identification. This made it difficult to distinguish UgIFT-provided equipment from other equipment belonging to the facility.</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does not have a reliable electricity supply. This limits the use of equipment that requires power to operate, including equipment such as the oxygen concentrator. The lack of power therefore affects the facility's ability to fully utilize some of the equipment provided under UgIFT. Where grid electricity is not immediately feasible, appropriate alternative power solutions should be considered.</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bookmarkStart w:colFirst="0" w:colLast="0" w:name="_heading=h.p83j3ns7nxy3" w:id="4"/>
      <w:bookmarkEnd w:id="4"/>
      <w:r w:rsidDel="00000000" w:rsidR="00000000" w:rsidRPr="00000000">
        <w:rPr>
          <w:rFonts w:ascii="Times New Roman" w:cs="Times New Roman" w:eastAsia="Times New Roman" w:hAnsi="Times New Roman"/>
          <w:sz w:val="24"/>
          <w:szCs w:val="24"/>
          <w:rtl w:val="0"/>
        </w:rPr>
        <w:t xml:space="preserve">Some of the furniture provided was made of wood and was reported to have deteriorated quickly with use. Examples include chairs and tables, which had sustained damage.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XXX: Physical verification photos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80"/>
        <w:gridCol w:w="7234"/>
        <w:tblGridChange w:id="0">
          <w:tblGrid>
            <w:gridCol w:w="2080"/>
            <w:gridCol w:w="723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ICHEME-OKWIR HC III SIGN POST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41808" cy="2606581"/>
                  <wp:effectExtent b="0" l="0" r="0" t="0"/>
                  <wp:docPr id="26"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4241808" cy="260658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SET OF STAFF QUARTER’S BLOCK</w:t>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BLOCK WITH TWO UNITS, KITCHEN AND TWO STANCE TOILET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19828" cy="2633886"/>
                  <wp:effectExtent b="0" l="0" r="0" t="0"/>
                  <wp:docPr id="28"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4319828" cy="263388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SET OF STAFF QUARTER’S BLOCK</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VIEW HOUSE BLOCK WITH TWO UNITS, KITCHEN AND TWO STANCE TOILET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85562" cy="2537002"/>
                  <wp:effectExtent b="0" l="0" r="0" t="0"/>
                  <wp:docPr id="27"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285562" cy="253700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SET OF STAFF QUARTER’S BLOCK</w:t>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BLOCK WITH THREE UNITS, KITCHEN AND TWO STANCE TOILET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31705" cy="2630556"/>
                  <wp:effectExtent b="0" l="0" r="0" t="0"/>
                  <wp:docPr id="30"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4331705" cy="263055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PIT LATRINES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73199" cy="2779808"/>
                  <wp:effectExtent b="0" l="0" r="0" t="0"/>
                  <wp:docPr id="29"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4273199" cy="277980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MATERNITY WARD (FRONT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51282" cy="3038461"/>
                  <wp:effectExtent b="0" l="0" r="0" t="0"/>
                  <wp:docPr id="3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051282" cy="303846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MATERNITY WARD (BACK VIEW) WITH THE TANKS SUPPLYING WATER TO THE WARD</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76219" cy="2869527"/>
                  <wp:effectExtent b="0" l="0" r="0" t="0"/>
                  <wp:docPr id="3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176219" cy="286952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7">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PIT LATRINES (4 STANCE FOR BOTH MALE AND FEMALE)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52208" cy="2436640"/>
                  <wp:effectExtent b="0" l="0" r="0" t="0"/>
                  <wp:docPr id="3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152208" cy="243664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PLACENTA PIT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18918" cy="2789188"/>
                  <wp:effectExtent b="0" l="0" r="0" t="0"/>
                  <wp:docPr id="33"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3718918" cy="27891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OPD BLOCK (FRONT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85932" cy="2828373"/>
                  <wp:effectExtent b="0" l="0" r="0" t="0"/>
                  <wp:docPr id="37"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4185932" cy="282837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OPD BLOCK (BACK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31796" cy="3173847"/>
                  <wp:effectExtent b="0" l="0" r="0" t="0"/>
                  <wp:docPr id="35"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4231796" cy="317384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09347" cy="3307010"/>
                  <wp:effectExtent b="0" l="0" r="0" t="0"/>
                  <wp:docPr id="36"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4409347" cy="3307010"/>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OF ENGRAVED BENCH</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071813" cy="2898404"/>
                  <wp:effectExtent b="0" l="0" r="0" t="0"/>
                  <wp:docPr id="25"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3071813" cy="2898404"/>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2633463"/>
                  <wp:effectExtent b="0" l="0" r="0" t="0"/>
                  <wp:docPr id="39"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3519488" cy="2633463"/>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OF ENGRAVED DESK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833688" cy="2895600"/>
                  <wp:effectExtent b="0" l="0" r="0" t="0"/>
                  <wp:docPr id="38"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2833688" cy="289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274100"/>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image" Target="media/image11.jpg"/><Relationship Id="rId10" Type="http://schemas.openxmlformats.org/officeDocument/2006/relationships/image" Target="media/image15.jpg"/><Relationship Id="rId21" Type="http://schemas.openxmlformats.org/officeDocument/2006/relationships/image" Target="media/image13.jpg"/><Relationship Id="rId13" Type="http://schemas.openxmlformats.org/officeDocument/2006/relationships/image" Target="media/image6.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2.jpg"/><Relationship Id="rId17" Type="http://schemas.openxmlformats.org/officeDocument/2006/relationships/image" Target="media/image10.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image" Target="media/image9.jpg"/><Relationship Id="rId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hIvNbwzM52BYxIBNThVANcsMw==">CgMxLjAyDmguaTl3aGU0bms2OXhqMg5oLmtxdGtjd3M3djB6bDIOaC5vM2dnbnk4MzFsaTAyDmguMmZra2NhODB0OWFmMg5oLnA4M2ozbnM3bnh5MzgAciExUFZUZUVab1NHeUx1RDBEUkRxU1BLRHlXUXFpR0IzQVU=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2026-09-11T08:53:00Z</dcterms:created>
  <dc:creator>Doris Nassuuna</dc:creator>
</cp:coreProperties>
</file>