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Bushiribo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Bushiribo Seed Secondary School</w:t>
            </w:r>
          </w:p>
        </w:tc>
      </w:tr>
      <w:tr>
        <w:tc>
          <w:tcPr>
            <w:tcW w:type="dxa" w:w="4320"/>
          </w:tcPr>
          <w:p>
            <w:r/>
            <w:r>
              <w:rPr>
                <w:b w:val="0"/>
                <w:i w:val="0"/>
              </w:rPr>
              <w:t>Named on the programme list</w:t>
            </w:r>
          </w:p>
        </w:tc>
        <w:tc>
          <w:tcPr>
            <w:tcW w:type="dxa" w:w="4320"/>
          </w:tcPr>
          <w:p>
            <w:r/>
            <w:r>
              <w:rPr>
                <w:b w:val="0"/>
                <w:i w:val="0"/>
              </w:rPr>
              <w:t>Bushiribo</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Bududa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2026-08-27</w:t>
            </w:r>
          </w:p>
        </w:tc>
      </w:tr>
      <w:tr>
        <w:tc>
          <w:tcPr>
            <w:tcW w:type="dxa" w:w="4320"/>
          </w:tcPr>
          <w:p>
            <w:r/>
            <w:r>
              <w:rPr>
                <w:b w:val="0"/>
                <w:i w:val="0"/>
              </w:rPr>
              <w:t>Team members present</w:t>
            </w:r>
          </w:p>
        </w:tc>
        <w:tc>
          <w:tcPr>
            <w:tcW w:type="dxa" w:w="4320"/>
          </w:tcPr>
          <w:p>
            <w:r/>
            <w:r>
              <w:rPr>
                <w:b w:val="0"/>
                <w:i w:val="0"/>
              </w:rPr>
              <w:t>Ahabwe Derrick, who recorded the visit</w:t>
            </w:r>
          </w:p>
        </w:tc>
      </w:tr>
      <w:tr>
        <w:tc>
          <w:tcPr>
            <w:tcW w:type="dxa" w:w="4320"/>
          </w:tcPr>
          <w:p>
            <w:r/>
            <w:r>
              <w:rPr>
                <w:b w:val="0"/>
                <w:i w:val="0"/>
              </w:rPr>
              <w:t>Informant interviewed</w:t>
            </w:r>
          </w:p>
        </w:tc>
        <w:tc>
          <w:tcPr>
            <w:tcW w:type="dxa" w:w="4320"/>
          </w:tcPr>
          <w:p>
            <w:r/>
            <w:r>
              <w:rPr>
                <w:b w:val="0"/>
                <w:i w:val="0"/>
              </w:rPr>
              <w:t>Khainza Betty Naster, District Education Officer, with the district engineer</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District Education Officer told the team at the district offices that the school is still under construction and that most of the equipment meant for it is held at the district offices. Only the furniture had been delivered, being too bulky to store there. She sent the district engineer with the team. The visit confirmed both points: furniture is on site, and the school is still being built. No visitors' register was photographed, and nobody of the school itself was on site.</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w:t>
            </w:r>
          </w:p>
        </w:tc>
      </w:tr>
      <w:tr>
        <w:tc>
          <w:tcPr>
            <w:tcW w:type="dxa" w:w="4320"/>
          </w:tcPr>
          <w:p>
            <w:r/>
            <w:r>
              <w:rPr>
                <w:b w:val="0"/>
                <w:i w:val="0"/>
              </w:rPr>
              <w:t>Functionality</w:t>
            </w:r>
          </w:p>
        </w:tc>
        <w:tc>
          <w:tcPr>
            <w:tcW w:type="dxa" w:w="4320"/>
          </w:tcPr>
          <w:p>
            <w:r/>
            <w:r>
              <w:rPr>
                <w:b w:val="0"/>
                <w:i w:val="0"/>
              </w:rPr>
              <w:t>Not reported. The works are unfinished.</w:t>
            </w:r>
          </w:p>
        </w:tc>
      </w:tr>
      <w:tr>
        <w:tc>
          <w:tcPr>
            <w:tcW w:type="dxa" w:w="4320"/>
          </w:tcPr>
          <w:p>
            <w:r/>
            <w:r>
              <w:rPr>
                <w:b w:val="0"/>
                <w:i w:val="0"/>
              </w:rPr>
              <w:t>Usage / performance</w:t>
            </w:r>
          </w:p>
        </w:tc>
        <w:tc>
          <w:tcPr>
            <w:tcW w:type="dxa" w:w="4320"/>
          </w:tcPr>
          <w:p>
            <w:r/>
            <w:r>
              <w:rPr>
                <w:b w:val="0"/>
                <w:i w:val="0"/>
              </w:rPr>
              <w:t>Not reported. The school is not in service.</w:t>
            </w:r>
          </w:p>
        </w:tc>
      </w:tr>
      <w:tr>
        <w:tc>
          <w:tcPr>
            <w:tcW w:type="dxa" w:w="4320"/>
          </w:tcPr>
          <w:p>
            <w:r/>
            <w:r>
              <w:rPr>
                <w:b w:val="0"/>
                <w:i w:val="0"/>
              </w:rPr>
              <w:t>Location</w:t>
            </w:r>
          </w:p>
        </w:tc>
        <w:tc>
          <w:tcPr>
            <w:tcW w:type="dxa" w:w="4320"/>
          </w:tcPr>
          <w:p>
            <w:r/>
            <w:r>
              <w:rPr>
                <w:b w:val="0"/>
                <w:i w:val="0"/>
              </w:rPr>
              <w:t>The site. Furniture has been delivered. The rest of the equipment is held at the district offices and was not seen here.</w:t>
            </w:r>
          </w:p>
        </w:tc>
      </w:tr>
    </w:tbl>
    <w:p/>
    <w:p>
      <w:pPr>
        <w:pStyle w:val="Heading1"/>
      </w:pPr>
      <w:r>
        <w:t>4. Supplied against found</w:t>
      </w:r>
    </w:p>
    <w:p>
      <w:r>
        <w:rPr>
          <w:b w:val="0"/>
          <w:i w:val="0"/>
        </w:rPr>
        <w:t>Nothing can be compared. The District Education Officer said most of the equipment is at the district offices. That listing was not obtained. The furniture on site was not counted.</w:t>
      </w:r>
    </w:p>
    <w:p>
      <w:pPr>
        <w:pStyle w:val="Heading1"/>
      </w:pPr>
      <w:r>
        <w:t>5. Engraving and identification</w:t>
      </w:r>
    </w:p>
    <w:p>
      <w:r>
        <w:rPr>
          <w:b w:val="0"/>
          <w:i w:val="0"/>
        </w:rPr>
        <w:t>Not reported.</w:t>
      </w:r>
    </w:p>
    <w:p>
      <w:pPr>
        <w:pStyle w:val="Heading1"/>
      </w:pPr>
      <w:r>
        <w:t>6. Obsolete, unserviceable or for disposal</w:t>
      </w:r>
    </w:p>
    <w:p>
      <w:r>
        <w:rPr>
          <w:b w:val="0"/>
          <w:i w:val="0"/>
        </w:rPr>
        <w:t>Not reported. The school is under construction.</w:t>
      </w:r>
    </w:p>
    <w:p>
      <w:pPr>
        <w:pStyle w:val="Heading1"/>
      </w:pPr>
      <w:r>
        <w:t>7. Operation and maintenance</w:t>
      </w:r>
    </w:p>
    <w:p>
      <w:r>
        <w:rPr>
          <w:b w:val="0"/>
          <w:i w:val="0"/>
        </w:rPr>
        <w:t>Nothing was reported by a member of the school. The discussion guide was not put. The finding of the day is the circumstance itself: the school is unfinished, furniture has arrived, and the rest of the consignment sits at the district.</w:t>
      </w:r>
    </w:p>
    <w:p>
      <w:pPr>
        <w:pStyle w:val="Heading1"/>
      </w:pPr>
      <w:r>
        <w:t>8. Queries</w:t>
      </w:r>
    </w:p>
    <w:p>
      <w:pPr>
        <w:pStyle w:val="ListBullet"/>
      </w:pPr>
      <w:r>
        <w:rPr>
          <w:b w:val="0"/>
          <w:i w:val="0"/>
        </w:rPr>
        <w:t>Count the furniture on site.</w:t>
      </w:r>
    </w:p>
    <w:p>
      <w:pPr>
        <w:pStyle w:val="ListBullet"/>
      </w:pPr>
      <w:r>
        <w:rPr>
          <w:b w:val="0"/>
          <w:i w:val="0"/>
        </w:rPr>
        <w:t>Obtain the listing of equipment held at the district offices for this school.</w:t>
      </w:r>
    </w:p>
    <w:p>
      <w:pPr>
        <w:pStyle w:val="ListBullet"/>
      </w:pPr>
      <w:r>
        <w:rPr>
          <w:b w:val="0"/>
          <w:i w:val="0"/>
        </w:rPr>
        <w:t>Fix the day the school will be commissioned, and who will fill in the register then.</w:t>
      </w:r>
    </w:p>
    <w:p>
      <w:pPr>
        <w:pStyle w:val="ListBullet"/>
      </w:pPr>
      <w:r>
        <w:rPr>
          <w:b w:val="0"/>
          <w:i w:val="0"/>
        </w:rPr>
        <w:t>No asset register was filled in by hand,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