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Bumufuni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Bumufuni Seed Secondary School</w:t>
            </w:r>
          </w:p>
        </w:tc>
      </w:tr>
      <w:tr>
        <w:tc>
          <w:tcPr>
            <w:tcW w:type="dxa" w:w="4320"/>
          </w:tcPr>
          <w:p>
            <w:r/>
            <w:r>
              <w:rPr>
                <w:b w:val="0"/>
                <w:i w:val="0"/>
              </w:rPr>
              <w:t>Named on the programme list</w:t>
            </w:r>
          </w:p>
        </w:tc>
        <w:tc>
          <w:tcPr>
            <w:tcW w:type="dxa" w:w="4320"/>
          </w:tcPr>
          <w:p>
            <w:r/>
            <w:r>
              <w:rPr>
                <w:b w:val="0"/>
                <w:i w:val="0"/>
              </w:rPr>
              <w:t>Bunambutye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Asio Miriam Joyce, who recorded the visit</w:t>
            </w:r>
          </w:p>
        </w:tc>
      </w:tr>
      <w:tr>
        <w:tc>
          <w:tcPr>
            <w:tcW w:type="dxa" w:w="4320"/>
          </w:tcPr>
          <w:p>
            <w:r/>
            <w:r>
              <w:rPr>
                <w:b w:val="0"/>
                <w:i w:val="0"/>
              </w:rPr>
              <w:t>Informant interviewed</w:t>
            </w:r>
          </w:p>
        </w:tc>
        <w:tc>
          <w:tcPr>
            <w:tcW w:type="dxa" w:w="4320"/>
          </w:tcPr>
          <w:p>
            <w:r/>
            <w:r>
              <w:rPr>
                <w:b w:val="0"/>
                <w:i w:val="0"/>
              </w:rPr>
              <w:t>None. The head teacher was away</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school on 26 August. The welcome sign reads BUMUFUNI SEED SEC. SCH., motto Education For The Difference. The head teacher, Mr. Kibeti Robert, had gone to the village in Bududa. The Director of Studies had gone to Kampala for UNEB training. Nobody on site could open the school for verification. The team reached the head teacher later by telephone and the verification still could not be done.</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w:t>
            </w:r>
          </w:p>
        </w:tc>
      </w:tr>
      <w:tr>
        <w:tc>
          <w:tcPr>
            <w:tcW w:type="dxa" w:w="4320"/>
          </w:tcPr>
          <w:p>
            <w:r/>
            <w:r>
              <w:rPr>
                <w:b w:val="0"/>
                <w:i w:val="0"/>
              </w:rPr>
              <w:t>Functionality</w:t>
            </w:r>
          </w:p>
        </w:tc>
        <w:tc>
          <w:tcPr>
            <w:tcW w:type="dxa" w:w="4320"/>
          </w:tcPr>
          <w:p>
            <w:r/>
            <w:r>
              <w:rPr>
                <w:b w:val="0"/>
                <w:i w:val="0"/>
              </w:rPr>
              <w:t>Not reported.</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school itself. Two photographs were taken, both of the welcome sign. Nothing inside any block was photographed.</w:t>
            </w:r>
          </w:p>
        </w:tc>
      </w:tr>
    </w:tbl>
    <w:p/>
    <w:p>
      <w:pPr>
        <w:pStyle w:val="Heading1"/>
      </w:pPr>
      <w:r>
        <w:t>4. Supplied against found</w:t>
      </w:r>
    </w:p>
    <w:p>
      <w:r>
        <w:rPr>
          <w:b w:val="0"/>
          <w:i w:val="0"/>
        </w:rPr>
        <w:t>Nothing can be compared. The school was not entered, and the toolkit page on file carries no line on any of the three schedules.</w:t>
      </w:r>
    </w:p>
    <w:p>
      <w:pPr>
        <w:pStyle w:val="Heading1"/>
      </w:pPr>
      <w:r>
        <w:t>5. Engraving and identification</w:t>
      </w:r>
    </w:p>
    <w:p>
      <w:r>
        <w:rPr>
          <w:b w:val="0"/>
          <w:i w:val="0"/>
        </w:rPr>
        <w:t>Not reported. Nothing inside was seen.</w:t>
      </w:r>
    </w:p>
    <w:p>
      <w:pPr>
        <w:pStyle w:val="Heading1"/>
      </w:pPr>
      <w:r>
        <w:t>6. Obsolete, unserviceable or for disposal</w:t>
      </w:r>
    </w:p>
    <w:p>
      <w:r>
        <w:rPr>
          <w:b w:val="0"/>
          <w:i w:val="0"/>
        </w:rPr>
        <w:t>Not reported.</w:t>
      </w:r>
    </w:p>
    <w:p>
      <w:pPr>
        <w:pStyle w:val="Heading1"/>
      </w:pPr>
      <w:r>
        <w:t>7. Operation and maintenance</w:t>
      </w:r>
    </w:p>
    <w:p>
      <w:r>
        <w:rPr>
          <w:b w:val="0"/>
          <w:i w:val="0"/>
        </w:rPr>
        <w:t>Nothing was reported. A toolkit page naming this school is on file and carries only why the guide could not be put: the school was closed for the holidays, the head teacher was deep in a village in Bududa and the director of studies had travelled to Kampala. It records the head teacher's number. The school stands on the programme list as Bunambutye Seed School, and the team was told it moved to Bumufuni sub-county because land at Bunamuti was too little and the population here is larger.</w:t>
      </w:r>
    </w:p>
    <w:p>
      <w:pPr>
        <w:pStyle w:val="Heading1"/>
      </w:pPr>
      <w:r>
        <w:t>8. Queries</w:t>
      </w:r>
    </w:p>
    <w:p>
      <w:pPr>
        <w:pStyle w:val="ListBullet"/>
      </w:pPr>
      <w:r>
        <w:rPr>
          <w:b w:val="0"/>
          <w:i w:val="0"/>
        </w:rPr>
        <w:t>Fix a day to work this school with the head teacher present.</w:t>
      </w:r>
    </w:p>
    <w:p>
      <w:pPr>
        <w:pStyle w:val="ListBullet"/>
      </w:pPr>
      <w:r>
        <w:rPr>
          <w:b w:val="0"/>
          <w:i w:val="0"/>
        </w:rPr>
        <w:t>Have the change from Bunambutye and Bunamuti to Bumufuni recorded on the programme list.</w:t>
      </w:r>
    </w:p>
    <w:p>
      <w:pPr>
        <w:pStyle w:val="ListBullet"/>
      </w:pPr>
      <w:r>
        <w:rPr>
          <w:b w:val="0"/>
          <w:i w:val="0"/>
        </w:rPr>
        <w:t>The toolkit page on file names this school and carries no line on the furniture, ICT or buildings schedule, so nothing standing in the school is counted.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