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Bumugibole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They keep them in a store for repair, though there are not many assets currently for repair.</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records are taken for any asset that breaks down.</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Health services are closer to people. Employment opportunities for the staff. Challenges: limited staff shelter; lack of enough water at the facility as one tank is broken. Recommendations: more staff quarters required.</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Bulambuli District        NAME OF HEALTH FACILITY: Bumugibole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pressure electronically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pressure manually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Sterilises instruments with steam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 and the other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Collects waste fluid during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kick bowls securely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Counts blood cells under microscope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drugs and equipment safely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in use, 2 not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(9)</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IV fluid bags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9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ESR tubes for sedimentation test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facility failed to assemble the equipment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lies for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available are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 (3)</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Provides bright light for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3 are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sugar level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haemoglobin level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618,452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available, 1 in use and another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patient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110,778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all the 2 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Carries instruments during procedure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539,958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available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Examines specimens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1,158,032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Examines ears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2023-01-21</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95,393</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Provides privacy during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2023-01-21</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346,908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in use, 2 taken to Bukibologoto due to an emergency after that facility was washed away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Transfers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2023-01-21</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712,764</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vaccines and drugs that need cooling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18,157,507</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2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Listens to heart, lungs and bowel sounds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21,649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Times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19,489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all 2</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Carries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658,347</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2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Heats water for sterilising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13,629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 and another one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Weighs and measures adult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52,043</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2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Weighs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100,413</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2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Weighs young children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93,178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Moves patients who cannot walk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582,985</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health education training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8,097,750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status cell carries two entries written over each other and neither can be read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Collects waste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85,512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15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Keeps time at the facility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161,955</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working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tools for mother and child health checks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4,858,650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tools for out patient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samples and reagents in the 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Bowls, trays and containers for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5,344,515</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cleaning and dressing wounds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207,141</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ear, nose and throat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404,889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stitching wounds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473,449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oxygen level and pulse rate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rest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8 in use and the 2 are used by the nurses in their quarters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 patient rests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patients' personal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Only 6 are in use, 4 in staff houses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clean instruments safely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Supports mother during labour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(2 cylinders)</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Gives oxygen to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88,859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Operational though they have not received patients to use it on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Helps breath for newborn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37,466</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Helps breath for adult in emergency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47,724</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Removes fluid from airway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136,529</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Delivers medicine as mist to breathe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69,318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Produces continuous oxygen for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8,745,570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Seating for patients or staff</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1,619,550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 disinfectant for cleaning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supplied one got damaged years ago</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Safe bed for newborn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supplied to the health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tools for ward patient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4,858,650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Bowls and containers used on the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4,858,650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during child birth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539,958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removing sutures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116,662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vacuum aspiration for uterine evacuation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96,958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in use, 3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Seating for lab staff</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23,788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Clears newborn airway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103,382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Dopplar</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Listens to foetal heart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Helps baby breath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Spins blood samples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Relocated to Muyembe HC IV by the District Health Officer because it had a lot of work there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To hold newborn, especially premature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647,820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Keeps newborn warm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supplied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haemoglobin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618,452</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labour and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Bright light for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basic ENT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6,586,170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(45)</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neonatal resuscitation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269,925</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 in use, 35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caring for premature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delivered at the facility</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(6)</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office seating</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242,934</w:t>
            </w: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6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office work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BUMU/2020-2021/UGIFT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798,978</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6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storing files and documents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2022-02-13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2023-01-26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971,730</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in use while 2 are malfunctional</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facilities such as wards, toilets and placenta pits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laboratory, toilets for the facility and staff quarters, also the placenta pits</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housing for health workers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Poor state</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quarters are in poor state with a huge crack on the walls, hence a risk. Staff now occupy the store where they stay</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Two patient screens were taken to Bukibologoto HC II after that facility was washed away, and the electric centrifuge was relocated to Muyembe HC IV by the District Health Officer. Neither move is on any asset record; settle where each item stands and under whose charge.</w:t>
      </w:r>
    </w:p>
    <w:p>
      <w:r>
        <w:t>- Two of the ten adult patient beds are used by the nurses in their quarters and four of the bedside lockers stand in staff houses. Establish whether the district authorised either move.</w:t>
      </w:r>
    </w:p>
    <w:p>
      <w:r>
        <w:t>- The baby cot, the radiant infant warmer and the incubator are recorded as never supplied, and the goods received notes on file for this district carry baby cots. Set the two records against each other.</w:t>
      </w:r>
    </w:p>
    <w:p>
      <w:r>
        <w:t>- The counting chamber and the disinfection buckets were not seen, the buckets recorded as damaged years ago. Establish whether either is to be replaced or written off.</w:t>
      </w:r>
    </w:p>
    <w:p>
      <w:r>
        <w:t>- The facility failed to assemble the ESR stand, so it has never been used. Establish who is to assemble it.</w:t>
      </w:r>
    </w:p>
    <w:p>
      <w:r>
        <w:t>- The status cell against the audio visual equipment carries two entries written over each other and cannot be read. Have that cell written again.</w:t>
      </w:r>
    </w:p>
    <w:p>
      <w:r>
        <w:t>- The figure of 971,730 against the filing cabinets is written in the Recovery Cost column and no line carries a recoverable cost anywhere else. Confirm whether it is the cost of the six cabinets.</w:t>
      </w:r>
    </w:p>
    <w:p>
      <w:r>
        <w:t>- Two of the six filing cabinets are marked malfunctional and the wall clock is not working. Record each as unserviceable or for repair.</w:t>
      </w:r>
    </w:p>
    <w:p>
      <w:r>
        <w:t>- The staff quarters carry a huge crack and the staff have moved into the store. This is for the district engineer.</w:t>
      </w:r>
    </w:p>
    <w:p>
      <w:r>
        <w:t>- No line of the copy carries an engraved number; the tag cells read either the mark BUMU/2020-2021/UGIFT or NA, so no single item can be identified again.</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