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Kamu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The facility holds a record of the assets provided under UgIFT.</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facility maintains and repairs through its budget plans. The items are all still very new, so the in-charge says the only things planned for are those delivered faulty, for example the patient screens.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The facility handles this through loose minutes and keeps inventory files.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Community health service delivery has improved, access to health care and road development have improved, and there is now access to water and electricity. Challenges: some items came with fewer parts than they should, for example the examination beds, and the patient screens are outdated. Recommendation: equipment should be examined and verified before delivery.</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Bulambuli District        NAME OF HEALTH FACILITY: Kamu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count column reads 5 or 7 and does not resolve to one figure.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count column is written over and does not resolve to a figure.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(2)</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ENT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faulty</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for theatre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labour suite and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Kitchen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(20)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(20)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Children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(2)</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 (3)</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 (2)</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 (2)</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OPD / 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(15)</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Planning to engrave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Engraving is planned but not yet done.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(7)</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(7)</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 (5)</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Two pit latrines, two wards and stores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(2)</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Two blocks of staff houses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2025-08-06</w:t>
            </w: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steel lockable cupboard count reads 5 or 7 and does not resolve to one figure, so the quantity cannot be set against what was supplied.</w:t>
      </w:r>
    </w:p>
    <w:p>
      <w:r>
        <w:t>- The count against the LED examination light is written over and cannot be read.</w:t>
      </w:r>
    </w:p>
    <w:p>
      <w:r>
        <w:t>- No count is written against the audio visual equipment, and a dash stands against the incubator.</w:t>
      </w:r>
    </w:p>
    <w:p>
      <w:r>
        <w:t>- Two of the eight patient screens are faulty, and the in-charge says some items were delivered with fewer parts than they should carry, naming the examination beds. This is for the supplier and the district.</w:t>
      </w:r>
    </w:p>
    <w:p>
      <w:r>
        <w:t>- The fifteen neonatal bag valve masks are the only line marked for engraving, and the engraving is planned rather than done. No engraved number or serial number is written against any line, so no item at this facility can be identified again.</w:t>
      </w:r>
    </w:p>
    <w:p>
      <w:r>
        <w:t>- The cost, recoverable cost and depreciation columns are empty on every page, so nothing at this facility carries a value.</w:t>
      </w:r>
    </w:p>
    <w:p>
      <w:r>
        <w:t>- The supervisor block and the date of submission are blank on the cover. Filled toolkit output uses Kassim Luminsa and +256 702 806116 per RULES.md 3.15, and leaves the date of submission blank.</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