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Lessons learnt and replicable best practices</w:t>
      </w:r>
    </w:p>
    <w:p>
      <w:pPr>
        <w:pStyle w:val="Subtitle"/>
      </w:pPr>
      <w:r>
        <w:t>UgIFT asset verification</w:t>
      </w:r>
    </w:p>
    <w:p>
      <w:pPr>
        <w:widowControl/>
      </w:pPr>
      <w:r>
        <w:t>The UgIFT asset verification shows that sustained service delivery depends on the arrangements that turn buildings and equipment into working services. Reliable utilities, trained users, clear custody, complete records and funded maintenance need to accompany investment in physical assets. These requirements apply to national ministries, departments and agencies, regional blood banks, local governments, health centres and Seed Secondary Schools.</w:t>
      </w:r>
    </w:p>
    <w:p>
      <w:pPr>
        <w:widowControl/>
      </w:pPr>
      <w:r>
        <w:t>The lessons below draw on the verification findings and facility accounts. The practices identified for replication were documented at individual institutions or used during the verification exercise. Their wider adoption should be supported by the controls and follow-up measures described in this section. Reported improvements in services provide useful examples, while routine service data are needed to establish the extent and durability of those improvements. [1, 2]</w:t>
      </w:r>
    </w:p>
    <w:p>
      <w:pPr>
        <w:pStyle w:val="Heading1"/>
      </w:pPr>
      <w:r>
        <w:t>Lessons learnt</w:t>
      </w:r>
    </w:p>
    <w:p>
      <w:pPr>
        <w:pStyle w:val="Heading2"/>
      </w:pPr>
      <w:r>
        <w:t>Coordinate construction and equipment with readiness for use</w:t>
      </w:r>
    </w:p>
    <w:p>
      <w:pPr>
        <w:widowControl/>
      </w:pPr>
      <w:r>
        <w:t>At Lungulu Seed Secondary School in Nwoya, computers and related equipment remained in storage pending a suitable power connection. At Pamaka Health Centre III in Nebbi, a nonfunctional solar system and power constraints prevented use of oxygen equipment. These cases show why delivery schedules should follow an assessment of rooms, electricity, water, security and staffing. Future investments should link the works programme to equipment delivery, installation and testing, with a named officer responsible for resolving each outstanding requirement. [6, 7]</w:t>
      </w:r>
    </w:p>
    <w:p>
      <w:pPr>
        <w:pStyle w:val="Heading2"/>
      </w:pPr>
      <w:r>
        <w:t>Confirm completion and operational readiness separately</w:t>
      </w:r>
    </w:p>
    <w:p>
      <w:pPr>
        <w:widowControl/>
      </w:pPr>
      <w:r>
        <w:t>The verification documented unfinished works, facilities awaiting handover or commissioning, and facilities delivering services while some works remained incomplete. A building's completion status does not establish that its equipment is installed or its services are ready. Handover should therefore record physical completion, outstanding defects, utility connections, equipment testing, staff readiness and acceptance by the receiving institution separately. Partial occupation should include an agreed plan for the remaining works and arrangements to protect users and assets. [1, 2]</w:t>
      </w:r>
    </w:p>
    <w:p>
      <w:pPr>
        <w:pStyle w:val="Heading2"/>
      </w:pPr>
      <w:r>
        <w:t>Match procurement to facility needs and user capability</w:t>
      </w:r>
    </w:p>
    <w:p>
      <w:pPr>
        <w:widowControl/>
      </w:pPr>
      <w:r>
        <w:t>Kyankaramata Health Centre III recommended consulting facility managers before procurement to match equipment to need and storage capacity. Avogera Health Centre III identified a need for user orientation and technical skills, while Bubago reported limited capacity to operate and maintain an oxygen concentrator. Facility managers and intended users should help define specifications and operating requirements. Supply arrangements should include accessories, practical demonstrations, basic maintenance instructions and a clear route to technical support. User competence should be confirmed during acceptance and refreshed when staff change. [8, 9, 14]</w:t>
      </w:r>
    </w:p>
    <w:p>
      <w:pPr>
        <w:pStyle w:val="Heading2"/>
      </w:pPr>
      <w:r>
        <w:t>Fund maintenance and define responsibility before breakdowns occur</w:t>
      </w:r>
    </w:p>
    <w:p>
      <w:pPr>
        <w:widowControl/>
      </w:pPr>
      <w:r>
        <w:t>Facilities combined their own resources with district, regional technical and supplier support. Kyankaramata could meet minor repairs from Primary Health Care funds but reported difficulty financing major repairs. New assets also require cleaning, inspection, servicing and a provision for future failures. Annual plans should distinguish routine care, minor repairs, specialist work and replacement, identify permitted funding sources, and assign responsibility at each level. Facilities should retain warranty information and record faults promptly so that eligible claims can be pursued within the relevant contract periods. [1, 9]</w:t>
      </w:r>
    </w:p>
    <w:p>
      <w:pPr>
        <w:pStyle w:val="Heading2"/>
      </w:pPr>
      <w:r>
        <w:t>Establish records at receipt and update them throughout use</w:t>
      </w:r>
    </w:p>
    <w:p>
      <w:pPr>
        <w:widowControl/>
      </w:pPr>
      <w:r>
        <w:t>Missing or incomplete registers made it harder to identify UgIFT assets, especially where programme markings were absent. A register should be established when an asset is received and updated when it moves, changes custodian, develops a fault or leaves service. The institution's main register should retain programme attribution and link each asset to receipt and acceptance evidence, location and custodian. Land and buildings also require ownership, site and handover documentation. Accessible source records reduce dependence on staff recollection when managers or verification teams change. [1, 2]</w:t>
      </w:r>
    </w:p>
    <w:p>
      <w:pPr>
        <w:pStyle w:val="Heading2"/>
      </w:pPr>
      <w:r>
        <w:t>Link identification and security to documented custody</w:t>
      </w:r>
    </w:p>
    <w:p>
      <w:pPr>
        <w:widowControl/>
      </w:pPr>
      <w:r>
        <w:t>Equipment intended for Todora Health Centre III was redirected to Paraa while construction continued at Todora; the district report recommended formalising the transfer and updating the ledgers. This illustrates how a change in location can create an accountability gap when records lag behind events. Each asset should have an appropriate durable identifier linked to its serial or registration number, current location and custodian. Physical markings require confirmation. Transfers, temporary storage and loans should have written authorisation, acknowledgement by the receiver and corresponding register updates. [1, 6]</w:t>
      </w:r>
    </w:p>
    <w:p>
      <w:pPr>
        <w:pStyle w:val="Heading2"/>
      </w:pPr>
      <w:r>
        <w:t>Distinguish condition from use and investigate exceptions separately</w:t>
      </w:r>
    </w:p>
    <w:p>
      <w:pPr>
        <w:widowControl/>
      </w:pPr>
      <w:r>
        <w:t>An asset may be usable but stored, awaiting installation, held elsewhere or inaccessible during a visit. These situations require different action from a breakdown, reported theft or non-delivery. Tools should record condition, use, location and reasons for non-use separately. A master facility list should retain stable identifiers, approved and former names, beneficiary types, local governments and locations. Relocations should link sending and receiving facilities to prevent duplicate counting. Reported absences require checks against delivery, transfer and custody records. Unverified items should remain on an exception list until the evidence supports a decision; they should not automatically be treated as losses or proof that a facility does not exist. [1, 2]</w:t>
      </w:r>
    </w:p>
    <w:p>
      <w:pPr>
        <w:pStyle w:val="Heading2"/>
      </w:pPr>
      <w:r>
        <w:t>Support financial handover with evidence for each asset</w:t>
      </w:r>
    </w:p>
    <w:p>
      <w:pPr>
        <w:widowControl/>
      </w:pPr>
      <w:r>
        <w:t>The financial review identified estimated costs, incomplete dates and differences in accounting coverage. Financial handover therefore requires acquisition or valuation evidence, supported service dates and appropriate classification. Missing information should remain an explicit exception rather than being replaced with an assumed date or zero value. Construction in progress should be supported by works and expenditure records. Agreed register fields, classifications and validated dates should be checked against Integrated Financial Management Information System (IFMIS) migration requirements before transfer. Net book value is an accounting measure; repair, replacement and continued-use decisions also require an assessment of condition and service need. [1, 2]</w:t>
      </w:r>
    </w:p>
    <w:p>
      <w:pPr>
        <w:pStyle w:val="Heading2"/>
      </w:pPr>
      <w:r>
        <w:t>Assess success through sustained use and service delivery</w:t>
      </w:r>
    </w:p>
    <w:p>
      <w:pPr>
        <w:widowControl/>
      </w:pPr>
      <w:r>
        <w:t>Lukale Health Centre III reported that its maternity ward enabled women to give birth locally instead of crossing water. Musiitwa Seed Secondary School reported using its irrigation system for teaching demonstrations and food production. Such accounts show the importance of connecting assets to the service they were intended to support. Follow-up should track whether equipment is used, rooms serve their intended purpose and essential services remain available. Patient activity, practical lessons, downtime and attendance should be reviewed against a baseline where available, with reported perceptions kept distinct from measured changes. [4, 13]</w:t>
      </w:r>
    </w:p>
    <w:p>
      <w:pPr>
        <w:pStyle w:val="Heading2"/>
      </w:pPr>
      <w:r>
        <w:t>Plan for replacement and disposal as part of continued operation</w:t>
      </w:r>
    </w:p>
    <w:p>
      <w:pPr>
        <w:widowControl/>
      </w:pPr>
      <w:r>
        <w:t>The report identified obsolete or unserviceable items and weak arrangements for disposal planning. Facilities need a continuing record of unsafe, repairable and irreparable assets, supported by technical assessment where necessary. Replacement priorities should reflect service importance, safety, repair feasibility and operating costs. Items awaiting a decision should be secured and remain traceable. Accounting Officers should arrange approved disposal through the applicable government procedures and update the register when disposal is completed. A zero net book value alone should not determine whether an asset remains useful. [1, 2]</w:t>
      </w:r>
    </w:p>
    <w:p>
      <w:pPr>
        <w:pStyle w:val="Heading1"/>
      </w:pPr>
      <w:r>
        <w:t>Best practices for replication</w:t>
      </w:r>
    </w:p>
    <w:p>
      <w:pPr>
        <w:pStyle w:val="Heading2"/>
      </w:pPr>
      <w:r>
        <w:t>Keep accessible registers supported by receipt documents</w:t>
      </w:r>
    </w:p>
    <w:p>
      <w:pPr>
        <w:widowControl/>
      </w:pPr>
      <w:r>
        <w:t>The verification report records dedicated UgIFT asset registers at some national institutions, including MoFPED, MoGLSD and MoLG. This provides a basis for maintaining programme attribution within the institution's main asset records. To replicate the practice, each institution should assign an officer to update the register and retain delivery notes, acceptance records, serial numbers and custodian acknowledgements. Facility inventories should reconcile with the local government's register, using the same asset references. A controlled electronic copy and an accessible local record should be kept current, with changes reviewed by the responsible finance or asset officer. [1]</w:t>
      </w:r>
    </w:p>
    <w:p>
      <w:pPr>
        <w:pStyle w:val="Heading2"/>
      </w:pPr>
      <w:r>
        <w:t>Use simple condition books and scheduled checks</w:t>
      </w:r>
    </w:p>
    <w:p>
      <w:pPr>
        <w:widowControl/>
      </w:pPr>
      <w:r>
        <w:t>Busaale Health Centre III reported keeping a physical inventory file and recording asset condition quarterly. Kagumba Health Centre III reported keeping a condition book, while Musiitwa Seed Secondary School reported termly functionality checks. These provide models for simple local controls. Replication should use a common log showing the asset reference, inspection date, condition, fault, responsible officer, action required and closure evidence. Schools should incorporate checks into termly routines and health centres into quarterly reviews, alongside more frequent checks required for particular equipment. An annual physical count should reconcile the log with the main register. [3, 4, 5]</w:t>
      </w:r>
    </w:p>
    <w:p>
      <w:pPr>
        <w:pStyle w:val="Heading2"/>
      </w:pPr>
      <w:r>
        <w:t>Combine local repairs with specialist technical support</w:t>
      </w:r>
    </w:p>
    <w:p>
      <w:pPr>
        <w:widowControl/>
      </w:pPr>
      <w:r>
        <w:t>Ngwedo Seed Secondary School reported engaging a caretaker monthly for repairs and receiving furniture repairs from the Directorate of Industrial Training. Todora Health Centre III reported relying on the Gulu Regional Referral Hospital technical team for major equipment maintenance and referring breakdown logs through the District Health Officer. Other facilities can adopt a similar division of work: routine care and suitable minor repairs locally, with specialist work referred to qualified teams. Districts should maintain contact lists, agree referral arrangements and review unresolved faults. Repairs should close only after the item has been checked and returned to safe use. [6, 10]</w:t>
      </w:r>
    </w:p>
    <w:p>
      <w:pPr>
        <w:pStyle w:val="Heading2"/>
      </w:pPr>
      <w:r>
        <w:t>Document asset movements with transfer records</w:t>
      </w:r>
    </w:p>
    <w:p>
      <w:pPr>
        <w:widowControl/>
      </w:pPr>
      <w:r>
        <w:t>The Busia district report recorded requisition vouchers for equipment transferred from Bumunji, Buwembe and Majanji health centres to Masafu Hospital. This is a useful documentary practice for tracing changes in location. Replication should extend the record to include the asset identifier, reason for movement, authorising officer, dispatch and receipt dates, receiving custodian and condition on transfer. Both institutions should update their records, and the supervising authority should confirm the final allocation. A transfer document should be reconciled with the receiving inventory and physical confirmation before the case is closed. [12]</w:t>
      </w:r>
    </w:p>
    <w:p>
      <w:pPr>
        <w:pStyle w:val="Heading2"/>
      </w:pPr>
      <w:r>
        <w:t>Record defective items and escalate them for action</w:t>
      </w:r>
    </w:p>
    <w:p>
      <w:pPr>
        <w:widowControl/>
      </w:pPr>
      <w:r>
        <w:t>Nyamarunda Health Centre III reported recording broken and nonfunctional items, setting them aside and reporting them to the District Health Officer. This provides a useful starting point for protecting users and making repair needs visible. Facilities should replicate the reporting pathway and strengthen it with labels, secure storage, a named action owner and a review date. The district should distinguish repair, specialist assessment, replacement and disposal cases. Setting an item aside should begin a documented decision process, with closure supported by a repair test, replacement record or approved disposal evidence. [11]</w:t>
      </w:r>
    </w:p>
    <w:p>
      <w:pPr>
        <w:pStyle w:val="Heading2"/>
      </w:pPr>
      <w:r>
        <w:t>Integrate supplied assets into planned teaching activities</w:t>
      </w:r>
    </w:p>
    <w:p>
      <w:pPr>
        <w:widowControl/>
      </w:pPr>
      <w:r>
        <w:t>Musiitwa Seed Secondary School reported using its irrigation system for practical teaching and food production, linking a supplied asset to an educational activity. Schools with comparable assets should identify the lessons or activities the asset will support, name a responsible teacher and plan for inputs, safe operation and maintenance. Similar arrangements can guide use of science and computer laboratories. Replication should follow the school's curriculum and operating capacity. Records of practical sessions, equipment availability and maintenance needs can show whether the asset continues to serve its intended purpose. [4]</w:t>
      </w:r>
    </w:p>
    <w:p>
      <w:pPr>
        <w:pStyle w:val="Heading2"/>
      </w:pPr>
      <w:r>
        <w:t>Pilot verification tools and review evidence during fieldwork</w:t>
      </w:r>
    </w:p>
    <w:p>
      <w:pPr>
        <w:widowControl/>
      </w:pPr>
      <w:r>
        <w:t>The Wakiso pilot at Buloba Health Centre III and Sumbwe Seed Secondary School identified facility-name mismatches and helped refine tools, timelines and costs. The exercise subsequently used training, daily supervisor reviews, spot checks and escalation of unclear cases. Future exercises should retain these practices, with common definitions and evidence requirements. Teams should confirm access, custodians and records before visits and plan for difficult terrain and island travel. Daily review should resolve incomplete tools early and log exceptions requiring documentary checks or return visits. [1]</w:t>
      </w:r>
    </w:p>
    <w:p>
      <w:pPr>
        <w:pStyle w:val="Heading1"/>
      </w:pPr>
      <w:r>
        <w:t>Responsibilities and sequence for replication</w:t>
      </w:r>
    </w:p>
    <w:p>
      <w:pPr>
        <w:widowControl/>
      </w:pPr>
      <w:r>
        <w:t>Replication should be coordinated through existing institutional responsibilities. MoFPED and the relevant sector ministries should agree common record fields, definitions and reporting requirements. Accounting Officers should assign institutional responsibility and provide for approved maintenance and follow-up activities. District health and education offices should coordinate technical support, while facility managers maintain records and report unresolved needs. The sequence below is proposed for adoption and should be incorporated into approved work plans.</w:t>
      </w:r>
    </w:p>
    <w:p>
      <w:pPr>
        <w:keepNext/>
        <w:widowControl/>
      </w:pPr>
      <w:r>
        <w:rPr>
          <w:b/>
        </w:rPr>
        <w:t>Proposed responsibilities and evidence of implementation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99"/>
        <w:gridCol w:w="2938"/>
        <w:gridCol w:w="4378"/>
      </w:tblGrid>
      <w:tr>
        <w:trPr>
          <w:tblHeader/>
        </w:trPr>
        <w:tc>
          <w:tcPr>
            <w:tcW w:type="dxa" w:w="1699"/>
            <w:vAlign w:val="center"/>
            <w:tcMar>
              <w:top w:w="100" w:type="dxa"/>
              <w:bottom w:w="100" w:type="dxa"/>
              <w:left w:w="100" w:type="dxa"/>
              <w:right w:w="100" w:type="dxa"/>
            </w:tcMar>
            <w:shd w:fill="24445C"/>
          </w:tcPr>
          <w:p>
            <w:pPr>
              <w:spacing w:before="40" w:after="40" w:line="252" w:lineRule="auto"/>
              <w:jc w:val="left"/>
            </w:pPr>
            <w:r>
              <w:rPr>
                <w:rFonts w:ascii="Times New Roman" w:hAnsi="Times New Roman"/>
                <w:b/>
                <w:color w:val="FFFFFF"/>
                <w:sz w:val="21"/>
              </w:rPr>
              <w:t>Stage</w:t>
            </w:r>
          </w:p>
        </w:tc>
        <w:tc>
          <w:tcPr>
            <w:tcW w:type="dxa" w:w="2938"/>
            <w:vAlign w:val="center"/>
            <w:tcMar>
              <w:top w:w="100" w:type="dxa"/>
              <w:bottom w:w="100" w:type="dxa"/>
              <w:left w:w="100" w:type="dxa"/>
              <w:right w:w="100" w:type="dxa"/>
            </w:tcMar>
            <w:shd w:fill="24445C"/>
          </w:tcPr>
          <w:p>
            <w:pPr>
              <w:spacing w:before="40" w:after="40" w:line="252" w:lineRule="auto"/>
              <w:jc w:val="left"/>
            </w:pPr>
            <w:r>
              <w:rPr>
                <w:rFonts w:ascii="Times New Roman" w:hAnsi="Times New Roman"/>
                <w:b/>
                <w:color w:val="FFFFFF"/>
                <w:sz w:val="21"/>
              </w:rPr>
              <w:t>Responsible lead</w:t>
            </w:r>
          </w:p>
        </w:tc>
        <w:tc>
          <w:tcPr>
            <w:tcW w:type="dxa" w:w="4378"/>
            <w:vAlign w:val="center"/>
            <w:tcMar>
              <w:top w:w="100" w:type="dxa"/>
              <w:bottom w:w="100" w:type="dxa"/>
              <w:left w:w="100" w:type="dxa"/>
              <w:right w:w="100" w:type="dxa"/>
            </w:tcMar>
            <w:shd w:fill="24445C"/>
          </w:tcPr>
          <w:p>
            <w:pPr>
              <w:spacing w:before="40" w:after="40" w:line="252" w:lineRule="auto"/>
              <w:jc w:val="left"/>
            </w:pPr>
            <w:r>
              <w:rPr>
                <w:rFonts w:ascii="Times New Roman" w:hAnsi="Times New Roman"/>
                <w:b/>
                <w:color w:val="FFFFFF"/>
                <w:sz w:val="21"/>
              </w:rPr>
              <w:t>Evidence required</w:t>
            </w:r>
          </w:p>
        </w:tc>
      </w:tr>
      <w:tr>
        <w:trPr>
          <w:cantSplit/>
        </w:trPr>
        <w:tc>
          <w:tcPr>
            <w:tcW w:type="dxa" w:w="1699"/>
            <w:vAlign w:val="center"/>
            <w:tcMar>
              <w:top w:w="100" w:type="dxa"/>
              <w:bottom w:w="100" w:type="dxa"/>
              <w:left w:w="100" w:type="dxa"/>
              <w:right w:w="100" w:type="dxa"/>
            </w:tcMar>
            <w:shd w:fill="F1F4F6"/>
          </w:tcPr>
          <w:p>
            <w:pPr>
              <w:spacing w:before="40" w:after="40" w:line="252" w:lineRule="auto"/>
              <w:jc w:val="left"/>
            </w:pPr>
            <w:r>
              <w:rPr>
                <w:rFonts w:ascii="Times New Roman" w:hAnsi="Times New Roman"/>
                <w:b w:val="0"/>
                <w:color w:val="000000"/>
                <w:sz w:val="21"/>
              </w:rPr>
              <w:t>Initial assessment</w:t>
            </w:r>
          </w:p>
        </w:tc>
        <w:tc>
          <w:tcPr>
            <w:tcW w:type="dxa" w:w="2938"/>
            <w:vAlign w:val="center"/>
            <w:tcMar>
              <w:top w:w="100" w:type="dxa"/>
              <w:bottom w:w="100" w:type="dxa"/>
              <w:left w:w="100" w:type="dxa"/>
              <w:right w:w="100" w:type="dxa"/>
            </w:tcMar>
            <w:shd w:fill="F1F4F6"/>
          </w:tcPr>
          <w:p>
            <w:pPr>
              <w:spacing w:before="40" w:after="40" w:line="252" w:lineRule="auto"/>
              <w:jc w:val="left"/>
            </w:pPr>
            <w:r>
              <w:rPr>
                <w:rFonts w:ascii="Times New Roman" w:hAnsi="Times New Roman"/>
                <w:b w:val="0"/>
                <w:color w:val="000000"/>
                <w:sz w:val="21"/>
              </w:rPr>
              <w:t>Accounting Officer, finance or asset officer and facility manager</w:t>
            </w:r>
          </w:p>
        </w:tc>
        <w:tc>
          <w:tcPr>
            <w:tcW w:type="dxa" w:w="4378"/>
            <w:vAlign w:val="center"/>
            <w:tcMar>
              <w:top w:w="100" w:type="dxa"/>
              <w:bottom w:w="100" w:type="dxa"/>
              <w:left w:w="100" w:type="dxa"/>
              <w:right w:w="100" w:type="dxa"/>
            </w:tcMar>
            <w:shd w:fill="F1F4F6"/>
          </w:tcPr>
          <w:p>
            <w:pPr>
              <w:spacing w:before="40" w:after="40" w:line="252" w:lineRule="auto"/>
              <w:jc w:val="left"/>
            </w:pPr>
            <w:r>
              <w:rPr>
                <w:rFonts w:ascii="Times New Roman" w:hAnsi="Times New Roman"/>
                <w:b w:val="0"/>
                <w:color w:val="000000"/>
                <w:sz w:val="21"/>
              </w:rPr>
              <w:t>Reconciled inventory; confirmed custodians; exception list; assessment of utilities, skills, security and maintenance needs.</w:t>
            </w:r>
          </w:p>
        </w:tc>
      </w:tr>
      <w:tr>
        <w:trPr>
          <w:cantSplit/>
        </w:trPr>
        <w:tc>
          <w:tcPr>
            <w:tcW w:type="dxa" w:w="1699"/>
            <w:vAlign w:val="center"/>
            <w:tcMar>
              <w:top w:w="100" w:type="dxa"/>
              <w:bottom w:w="100" w:type="dxa"/>
              <w:left w:w="100" w:type="dxa"/>
              <w:right w:w="100" w:type="dxa"/>
            </w:tcMar>
            <w:shd w:fill="FFFFFF"/>
          </w:tcPr>
          <w:p>
            <w:pPr>
              <w:spacing w:before="40" w:after="40" w:line="252" w:lineRule="auto"/>
              <w:jc w:val="left"/>
            </w:pPr>
            <w:r>
              <w:rPr>
                <w:rFonts w:ascii="Times New Roman" w:hAnsi="Times New Roman"/>
                <w:b w:val="0"/>
                <w:color w:val="000000"/>
                <w:sz w:val="21"/>
              </w:rPr>
              <w:t>Receipt and commissioning</w:t>
            </w:r>
          </w:p>
        </w:tc>
        <w:tc>
          <w:tcPr>
            <w:tcW w:type="dxa" w:w="2938"/>
            <w:vAlign w:val="center"/>
            <w:tcMar>
              <w:top w:w="100" w:type="dxa"/>
              <w:bottom w:w="100" w:type="dxa"/>
              <w:left w:w="100" w:type="dxa"/>
              <w:right w:w="100" w:type="dxa"/>
            </w:tcMar>
            <w:shd w:fill="FFFFFF"/>
          </w:tcPr>
          <w:p>
            <w:pPr>
              <w:spacing w:before="40" w:after="40" w:line="252" w:lineRule="auto"/>
              <w:jc w:val="left"/>
            </w:pPr>
            <w:r>
              <w:rPr>
                <w:rFonts w:ascii="Times New Roman" w:hAnsi="Times New Roman"/>
                <w:b w:val="0"/>
                <w:color w:val="000000"/>
                <w:sz w:val="21"/>
              </w:rPr>
              <w:t>Receiving institution, sector technical officers and supplier or contractor</w:t>
            </w:r>
          </w:p>
        </w:tc>
        <w:tc>
          <w:tcPr>
            <w:tcW w:type="dxa" w:w="4378"/>
            <w:vAlign w:val="center"/>
            <w:tcMar>
              <w:top w:w="100" w:type="dxa"/>
              <w:bottom w:w="100" w:type="dxa"/>
              <w:left w:w="100" w:type="dxa"/>
              <w:right w:w="100" w:type="dxa"/>
            </w:tcMar>
            <w:shd w:fill="FFFFFF"/>
          </w:tcPr>
          <w:p>
            <w:pPr>
              <w:spacing w:before="40" w:after="40" w:line="252" w:lineRule="auto"/>
              <w:jc w:val="left"/>
            </w:pPr>
            <w:r>
              <w:rPr>
                <w:rFonts w:ascii="Times New Roman" w:hAnsi="Times New Roman"/>
                <w:b w:val="0"/>
                <w:color w:val="000000"/>
                <w:sz w:val="21"/>
              </w:rPr>
              <w:t>Receipt and acceptance records; installation and test results; user demonstration; outstanding-defect schedule; completed register entries.</w:t>
            </w:r>
          </w:p>
        </w:tc>
      </w:tr>
      <w:tr>
        <w:trPr>
          <w:cantSplit/>
        </w:trPr>
        <w:tc>
          <w:tcPr>
            <w:tcW w:type="dxa" w:w="1699"/>
            <w:vAlign w:val="center"/>
            <w:tcMar>
              <w:top w:w="100" w:type="dxa"/>
              <w:bottom w:w="100" w:type="dxa"/>
              <w:left w:w="100" w:type="dxa"/>
              <w:right w:w="100" w:type="dxa"/>
            </w:tcMar>
            <w:shd w:fill="F1F4F6"/>
          </w:tcPr>
          <w:p>
            <w:pPr>
              <w:spacing w:before="40" w:after="40" w:line="252" w:lineRule="auto"/>
              <w:jc w:val="left"/>
            </w:pPr>
            <w:r>
              <w:rPr>
                <w:rFonts w:ascii="Times New Roman" w:hAnsi="Times New Roman"/>
                <w:b w:val="0"/>
                <w:color w:val="000000"/>
                <w:sz w:val="21"/>
              </w:rPr>
              <w:t>Routine operation</w:t>
            </w:r>
          </w:p>
        </w:tc>
        <w:tc>
          <w:tcPr>
            <w:tcW w:type="dxa" w:w="2938"/>
            <w:vAlign w:val="center"/>
            <w:tcMar>
              <w:top w:w="100" w:type="dxa"/>
              <w:bottom w:w="100" w:type="dxa"/>
              <w:left w:w="100" w:type="dxa"/>
              <w:right w:w="100" w:type="dxa"/>
            </w:tcMar>
            <w:shd w:fill="F1F4F6"/>
          </w:tcPr>
          <w:p>
            <w:pPr>
              <w:spacing w:before="40" w:after="40" w:line="252" w:lineRule="auto"/>
              <w:jc w:val="left"/>
            </w:pPr>
            <w:r>
              <w:rPr>
                <w:rFonts w:ascii="Times New Roman" w:hAnsi="Times New Roman"/>
                <w:b w:val="0"/>
                <w:color w:val="000000"/>
                <w:sz w:val="21"/>
              </w:rPr>
              <w:t>Facility manager and designated custodians, with technical support</w:t>
            </w:r>
          </w:p>
        </w:tc>
        <w:tc>
          <w:tcPr>
            <w:tcW w:type="dxa" w:w="4378"/>
            <w:vAlign w:val="center"/>
            <w:tcMar>
              <w:top w:w="100" w:type="dxa"/>
              <w:bottom w:w="100" w:type="dxa"/>
              <w:left w:w="100" w:type="dxa"/>
              <w:right w:w="100" w:type="dxa"/>
            </w:tcMar>
            <w:shd w:fill="F1F4F6"/>
          </w:tcPr>
          <w:p>
            <w:pPr>
              <w:spacing w:before="40" w:after="40" w:line="252" w:lineRule="auto"/>
              <w:jc w:val="left"/>
            </w:pPr>
            <w:r>
              <w:rPr>
                <w:rFonts w:ascii="Times New Roman" w:hAnsi="Times New Roman"/>
                <w:b w:val="0"/>
                <w:color w:val="000000"/>
                <w:sz w:val="21"/>
              </w:rPr>
              <w:t>Condition logs; scheduled servicing; repair and transfer records; updated warranty information; evidence of intended use.</w:t>
            </w:r>
          </w:p>
        </w:tc>
      </w:tr>
      <w:tr>
        <w:trPr>
          <w:cantSplit/>
        </w:trPr>
        <w:tc>
          <w:tcPr>
            <w:tcW w:type="dxa" w:w="1699"/>
            <w:vAlign w:val="center"/>
            <w:tcMar>
              <w:top w:w="100" w:type="dxa"/>
              <w:bottom w:w="100" w:type="dxa"/>
              <w:left w:w="100" w:type="dxa"/>
              <w:right w:w="100" w:type="dxa"/>
            </w:tcMar>
            <w:shd w:fill="FFFFFF"/>
          </w:tcPr>
          <w:p>
            <w:pPr>
              <w:spacing w:before="40" w:after="40" w:line="252" w:lineRule="auto"/>
              <w:jc w:val="left"/>
            </w:pPr>
            <w:r>
              <w:rPr>
                <w:rFonts w:ascii="Times New Roman" w:hAnsi="Times New Roman"/>
                <w:b w:val="0"/>
                <w:color w:val="000000"/>
                <w:sz w:val="21"/>
              </w:rPr>
              <w:t>Quarterly review</w:t>
            </w:r>
          </w:p>
        </w:tc>
        <w:tc>
          <w:tcPr>
            <w:tcW w:type="dxa" w:w="2938"/>
            <w:vAlign w:val="center"/>
            <w:tcMar>
              <w:top w:w="100" w:type="dxa"/>
              <w:bottom w:w="100" w:type="dxa"/>
              <w:left w:w="100" w:type="dxa"/>
              <w:right w:w="100" w:type="dxa"/>
            </w:tcMar>
            <w:shd w:fill="FFFFFF"/>
          </w:tcPr>
          <w:p>
            <w:pPr>
              <w:spacing w:before="40" w:after="40" w:line="252" w:lineRule="auto"/>
              <w:jc w:val="left"/>
            </w:pPr>
            <w:r>
              <w:rPr>
                <w:rFonts w:ascii="Times New Roman" w:hAnsi="Times New Roman"/>
                <w:b w:val="0"/>
                <w:color w:val="000000"/>
                <w:sz w:val="21"/>
              </w:rPr>
              <w:t>Supervising district or institutional management team</w:t>
            </w:r>
          </w:p>
        </w:tc>
        <w:tc>
          <w:tcPr>
            <w:tcW w:type="dxa" w:w="4378"/>
            <w:vAlign w:val="center"/>
            <w:tcMar>
              <w:top w:w="100" w:type="dxa"/>
              <w:bottom w:w="100" w:type="dxa"/>
              <w:left w:w="100" w:type="dxa"/>
              <w:right w:w="100" w:type="dxa"/>
            </w:tcMar>
            <w:shd w:fill="FFFFFF"/>
          </w:tcPr>
          <w:p>
            <w:pPr>
              <w:spacing w:before="40" w:after="40" w:line="252" w:lineRule="auto"/>
              <w:jc w:val="left"/>
            </w:pPr>
            <w:r>
              <w:rPr>
                <w:rFonts w:ascii="Times New Roman" w:hAnsi="Times New Roman"/>
                <w:b w:val="0"/>
                <w:color w:val="000000"/>
                <w:sz w:val="21"/>
              </w:rPr>
              <w:t>Reviewed fault and exception lists; assigned actions and dates; prioritised major repairs; confirmation that completed actions restored safe use.</w:t>
            </w:r>
          </w:p>
        </w:tc>
      </w:tr>
      <w:tr>
        <w:trPr>
          <w:cantSplit/>
        </w:trPr>
        <w:tc>
          <w:tcPr>
            <w:tcW w:type="dxa" w:w="1699"/>
            <w:vAlign w:val="center"/>
            <w:tcMar>
              <w:top w:w="100" w:type="dxa"/>
              <w:bottom w:w="100" w:type="dxa"/>
              <w:left w:w="100" w:type="dxa"/>
              <w:right w:w="100" w:type="dxa"/>
            </w:tcMar>
            <w:shd w:fill="F1F4F6"/>
          </w:tcPr>
          <w:p>
            <w:pPr>
              <w:spacing w:before="40" w:after="40" w:line="252" w:lineRule="auto"/>
              <w:jc w:val="left"/>
            </w:pPr>
            <w:r>
              <w:rPr>
                <w:rFonts w:ascii="Times New Roman" w:hAnsi="Times New Roman"/>
                <w:b w:val="0"/>
                <w:color w:val="000000"/>
                <w:sz w:val="21"/>
              </w:rPr>
              <w:t>Annual review and handover</w:t>
            </w:r>
          </w:p>
        </w:tc>
        <w:tc>
          <w:tcPr>
            <w:tcW w:type="dxa" w:w="2938"/>
            <w:vAlign w:val="center"/>
            <w:tcMar>
              <w:top w:w="100" w:type="dxa"/>
              <w:bottom w:w="100" w:type="dxa"/>
              <w:left w:w="100" w:type="dxa"/>
              <w:right w:w="100" w:type="dxa"/>
            </w:tcMar>
            <w:shd w:fill="F1F4F6"/>
          </w:tcPr>
          <w:p>
            <w:pPr>
              <w:spacing w:before="40" w:after="40" w:line="252" w:lineRule="auto"/>
              <w:jc w:val="left"/>
            </w:pPr>
            <w:r>
              <w:rPr>
                <w:rFonts w:ascii="Times New Roman" w:hAnsi="Times New Roman"/>
                <w:b w:val="0"/>
                <w:color w:val="000000"/>
                <w:sz w:val="21"/>
              </w:rPr>
              <w:t>Accounting Officer, finance or asset officer and sector technical staff</w:t>
            </w:r>
          </w:p>
        </w:tc>
        <w:tc>
          <w:tcPr>
            <w:tcW w:type="dxa" w:w="4378"/>
            <w:vAlign w:val="center"/>
            <w:tcMar>
              <w:top w:w="100" w:type="dxa"/>
              <w:bottom w:w="100" w:type="dxa"/>
              <w:left w:w="100" w:type="dxa"/>
              <w:right w:w="100" w:type="dxa"/>
            </w:tcMar>
            <w:shd w:fill="F1F4F6"/>
          </w:tcPr>
          <w:p>
            <w:pPr>
              <w:spacing w:before="40" w:after="40" w:line="252" w:lineRule="auto"/>
              <w:jc w:val="left"/>
            </w:pPr>
            <w:r>
              <w:rPr>
                <w:rFonts w:ascii="Times New Roman" w:hAnsi="Times New Roman"/>
                <w:b w:val="0"/>
                <w:color w:val="000000"/>
                <w:sz w:val="21"/>
              </w:rPr>
              <w:t>Signed physical reconciliation; supported accounting balances; funded maintenance and replacement priorities; documented custody and disposal decisions.</w:t>
            </w:r>
          </w:p>
        </w:tc>
      </w:tr>
    </w:tbl>
    <w:p>
      <w:pPr>
        <w:pStyle w:val="Heading1"/>
      </w:pPr>
      <w:r>
        <w:t>Monitoring adoption and results</w:t>
      </w:r>
    </w:p>
    <w:p>
      <w:pPr>
        <w:widowControl/>
      </w:pPr>
      <w:r>
        <w:t>Progress should be assessed through a small set of measures: assets reconciled to a confirmed location and custodian; scheduled checks and services completed; faults awaiting action and their age; stored equipment awaiting installation; staff able to demonstrate safe operation; and assets returned to their intended use. Each measure should state its denominator, reporting period and evidence source. Facilities should establish a baseline before setting improvement targets.</w:t>
      </w:r>
    </w:p>
    <w:p>
      <w:pPr>
        <w:widowControl/>
      </w:pPr>
      <w:r>
        <w:t>Supervising offices should verify reported closures against records and selected physical assets. Shared examples should identify the funding, staff and technical support required so institutions can adapt the practice to local capacity.</w:t>
      </w:r>
    </w:p>
    <w:p>
      <w:pPr>
        <w:pStyle w:val="Heading1"/>
        <w:pageBreakBefore/>
      </w:pPr>
      <w:r>
        <w:t>Source references</w:t>
      </w:r>
    </w:p>
    <w:p>
      <w:pPr>
        <w:widowControl/>
        <w:spacing w:after="80" w:line="240" w:lineRule="auto"/>
      </w:pPr>
      <w:r>
        <w:rPr>
          <w:sz w:val="20"/>
        </w:rPr>
        <w:t>[1] UgIFT asset verification report, October 2026 final draft. Approach and methodology; Challenges and limitations; institutional findings; Field observations; Asset management; Recommendations.</w:t>
      </w:r>
    </w:p>
    <w:p>
      <w:pPr>
        <w:widowControl/>
        <w:spacing w:after="80" w:line="240" w:lineRule="auto"/>
      </w:pPr>
      <w:r>
        <w:rPr>
          <w:sz w:val="20"/>
        </w:rPr>
        <w:t>[2] UgIFT reconciled working report, 7 October 2026. Financial reconciliation and valuation limitations; Service date exceptions; Definitions used in the analysis; Programme list exceptions; Facility interview scope; Land records and ownership evidence.</w:t>
      </w:r>
    </w:p>
    <w:p>
      <w:pPr>
        <w:widowControl/>
        <w:spacing w:after="80" w:line="240" w:lineRule="auto"/>
      </w:pPr>
      <w:r>
        <w:rPr>
          <w:sz w:val="20"/>
        </w:rPr>
        <w:t>[3] Busaale Health Centre III, Kayunga District. UgIFT facility interview on maintenance funding, inventory records and quarterly condition checks, 2026.</w:t>
      </w:r>
    </w:p>
    <w:p>
      <w:pPr>
        <w:widowControl/>
        <w:spacing w:after="80" w:line="240" w:lineRule="auto"/>
      </w:pPr>
      <w:r>
        <w:rPr>
          <w:sz w:val="20"/>
        </w:rPr>
        <w:t>[4] Musiitwa Seed Secondary School, Kayunga District. UgIFT facility interview on termly checks, repairs, service benefits and use of the irrigation system, 2026.</w:t>
      </w:r>
    </w:p>
    <w:p>
      <w:pPr>
        <w:widowControl/>
        <w:spacing w:after="80" w:line="240" w:lineRule="auto"/>
      </w:pPr>
      <w:r>
        <w:rPr>
          <w:sz w:val="20"/>
        </w:rPr>
        <w:t>[5] Kagumba Health Centre III, Kamuli District. UgIFT facility interview on asset condition records and maternity services, 2026.</w:t>
      </w:r>
    </w:p>
    <w:p>
      <w:pPr>
        <w:widowControl/>
        <w:spacing w:after="80" w:line="240" w:lineRule="auto"/>
      </w:pPr>
      <w:r>
        <w:rPr>
          <w:sz w:val="20"/>
        </w:rPr>
        <w:t>[6] Nwoya District UgIFT asset verification report, 2026. Lungulu Seed Secondary School and Todora and Paraa Health Centres III.</w:t>
      </w:r>
    </w:p>
    <w:p>
      <w:pPr>
        <w:widowControl/>
        <w:spacing w:after="80" w:line="240" w:lineRule="auto"/>
      </w:pPr>
      <w:r>
        <w:rPr>
          <w:sz w:val="20"/>
        </w:rPr>
        <w:t>[7] Nebbi District UgIFT asset verification report, 2026. Pamaka Health Centre III interview on power, oxygen equipment and service constraints.</w:t>
      </w:r>
    </w:p>
    <w:p>
      <w:pPr>
        <w:widowControl/>
        <w:spacing w:after="80" w:line="240" w:lineRule="auto"/>
      </w:pPr>
      <w:r>
        <w:rPr>
          <w:sz w:val="20"/>
        </w:rPr>
        <w:t>[8] Avogera Health Centre III, Buliisa District. UgIFT facility interview on maintenance support, storage and user orientation, 2026.</w:t>
      </w:r>
    </w:p>
    <w:p>
      <w:pPr>
        <w:widowControl/>
        <w:spacing w:after="80" w:line="240" w:lineRule="auto"/>
      </w:pPr>
      <w:r>
        <w:rPr>
          <w:sz w:val="20"/>
        </w:rPr>
        <w:t>[9] Kyankaramata Health Centre III, Kyenjojo District. UgIFT facility interview on repair funding and consultation before procurement, 2026.</w:t>
      </w:r>
    </w:p>
    <w:p>
      <w:pPr>
        <w:widowControl/>
        <w:spacing w:after="80" w:line="240" w:lineRule="auto"/>
      </w:pPr>
      <w:r>
        <w:rPr>
          <w:sz w:val="20"/>
        </w:rPr>
        <w:t>[10] Ngwedo Seed Secondary School, Buliisa District. UgIFT facility interview on caretaker arrangements and furniture repairs, 2026.</w:t>
      </w:r>
    </w:p>
    <w:p>
      <w:pPr>
        <w:widowControl/>
        <w:spacing w:after="80" w:line="240" w:lineRule="auto"/>
      </w:pPr>
      <w:r>
        <w:rPr>
          <w:sz w:val="20"/>
        </w:rPr>
        <w:t>[11] Nyamarunda Health Centre III, Kibaale District. UgIFT facility interview on recording defective items and referral to the District Health Officer, September 2026.</w:t>
      </w:r>
    </w:p>
    <w:p>
      <w:pPr>
        <w:widowControl/>
        <w:spacing w:after="80" w:line="240" w:lineRule="auto"/>
      </w:pPr>
      <w:r>
        <w:rPr>
          <w:sz w:val="20"/>
        </w:rPr>
        <w:t>[12] Busia District local government verification report, 2026. Equipment transfer records relating to Masafu Hospital.</w:t>
      </w:r>
    </w:p>
    <w:p>
      <w:pPr>
        <w:widowControl/>
        <w:spacing w:after="80" w:line="240" w:lineRule="auto"/>
      </w:pPr>
      <w:r>
        <w:rPr>
          <w:sz w:val="20"/>
        </w:rPr>
        <w:t>[13] Lukale Health Centre III, Buvuma District. UgIFT facility interview on access to maternity services, 2026.</w:t>
      </w:r>
    </w:p>
    <w:p>
      <w:pPr>
        <w:widowControl/>
        <w:spacing w:after="80" w:line="240" w:lineRule="auto"/>
      </w:pPr>
      <w:r>
        <w:rPr>
          <w:sz w:val="20"/>
        </w:rPr>
        <w:t>[14] Bubago Health Centre, Kamuli District. UgIFT facility interview on oxygen concentrator operating skills and basic maintenance, 2026.</w:t>
      </w:r>
    </w:p>
    <w:sectPr w:rsidR="00FC693F" w:rsidRPr="0006063C" w:rsidSect="00034616">
      <w:footerReference w:type="default" r:id="rId9"/>
      <w:pgSz w:w="11905" w:h="16838"/>
      <w:pgMar w:top="1440" w:right="1440" w:bottom="1440" w:left="1440" w:header="720"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52"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line="252"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52" w:lineRule="auto" w:before="0"/>
      <w:contextualSpacing/>
      <w:jc w:val="left"/>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line="252" w:lineRule="auto"/>
    </w:pPr>
    <w:rPr>
      <w:rFonts w:ascii="Times New Roman" w:hAnsi="Times New Roman" w:eastAsia="Times New Roman" w:cs="Times New Roman"/>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UgIFT Lessons Learnt and Replicable Best Practices</dc:title>
  <dc:subject>Lessons and practices arising from UgIFT asset verification</dc:subject>
  <dc:creator/>
  <cp:keywords>UgIFT, asset management, lessons learnt, best practices</cp:keywords>
  <dc:description>generated by python-docx</dc:description>
  <cp:lastModifiedBy/>
  <cp:revision>1</cp:revision>
  <dcterms:created xsi:type="dcterms:W3CDTF">2013-12-23T23:15:00Z</dcterms:created>
  <dcterms:modified xsi:type="dcterms:W3CDTF">2013-12-23T23:15:00Z</dcterms:modified>
  <cp:category/>
</cp:coreProperties>
</file>