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Kamuli HC III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Kamuli HC III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Kamuli HCII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Tororo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The team reached Kamuli HC III on 30 August. The roadside signboard reads Kamuli Health Centre III. A hand-filled register naming the facility is on file together with 87 photographs. The register came in on 2 September, after the visit day. Tonny Kayengo is named as verifier on the cover page.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register. The informant says UgIFT assets are in good shape except the tables, and the facility holds a PHC vote for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Service delivery has improved and equipment quality is good, but staffing is low, the facility is not fenced and staff accommodation is short.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photographs of the wards, laboratory corner, waste pits and water tanks.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A refrigerator label names Kamuli HC III and asset HF0195. A Transtek blood pressure monitor serial was read. Most lines read not engraved.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A bench with torn upholstery is on the register; nothing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informant asks for fencing, staff houses and replacement of the poor-quality tables supplied.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The register records five adult beds redistributed to Atangi HC III and one delivery bed to Malaba HC IV; put the transfers on the district record.</w:t>
      </w:r>
    </w:p>
    <w:p>
      <w:pPr>
        <w:pStyle w:val="ListBullet"/>
      </w:pPr>
      <w:r>
        <w:rPr>
          <w:b w:val="0"/>
          <w:i w:val="0"/>
        </w:rPr>
        <w:t>Nothing here was counted.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p>
      <w:pPr>
        <w:pStyle w:val="ListBullet"/>
      </w:pPr>
      <w:r>
        <w:rPr>
          <w:b w:val="0"/>
          <w:i w:val="0"/>
        </w:rPr>
        <w:t>The programme list carries Kamuli HCII and the signboard reads level 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