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Sop Sop HC III - facility report</w:t>
      </w:r>
    </w:p>
    <w:p>
      <w:pPr>
        <w:pStyle w:val="Heading1"/>
      </w:pPr>
      <w:r>
        <w:t>1. Identification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Facility</w:t>
            </w:r>
          </w:p>
        </w:tc>
        <w:tc>
          <w:tcPr>
            <w:tcW w:type="dxa" w:w="4320"/>
          </w:tcPr>
          <w:p>
            <w:r>
              <w:rPr>
                <w:b/>
              </w:rPr>
            </w:r>
            <w:r>
              <w:rPr>
                <w:b/>
                <w:i w:val="0"/>
              </w:rPr>
              <w:t>Sop Sop HC III</w:t>
            </w:r>
          </w:p>
        </w:tc>
      </w:tr>
      <w:tr>
        <w:tc>
          <w:tcPr>
            <w:tcW w:type="dxa" w:w="4320"/>
          </w:tcPr>
          <w:p>
            <w:r/>
            <w:r>
              <w:rPr>
                <w:b w:val="0"/>
                <w:i w:val="0"/>
              </w:rPr>
              <w:t>Named on the programme list</w:t>
            </w:r>
          </w:p>
        </w:tc>
        <w:tc>
          <w:tcPr>
            <w:tcW w:type="dxa" w:w="4320"/>
          </w:tcPr>
          <w:p>
            <w:r/>
            <w:r>
              <w:rPr>
                <w:b w:val="0"/>
                <w:i w:val="0"/>
              </w:rPr>
              <w:t>Sop Sop HC II</w:t>
            </w:r>
          </w:p>
        </w:tc>
      </w:tr>
      <w:tr>
        <w:tc>
          <w:tcPr>
            <w:tcW w:type="dxa" w:w="4320"/>
          </w:tcPr>
          <w:p>
            <w:r/>
            <w:r>
              <w:rPr>
                <w:b w:val="0"/>
                <w:i w:val="0"/>
              </w:rPr>
              <w:t>Type</w:t>
            </w:r>
          </w:p>
        </w:tc>
        <w:tc>
          <w:tcPr>
            <w:tcW w:type="dxa" w:w="4320"/>
          </w:tcPr>
          <w:p>
            <w:r/>
            <w:r>
              <w:rPr>
                <w:b w:val="0"/>
                <w:i w:val="0"/>
              </w:rPr>
              <w:t>Health centre</w:t>
            </w:r>
          </w:p>
        </w:tc>
      </w:tr>
      <w:tr>
        <w:tc>
          <w:tcPr>
            <w:tcW w:type="dxa" w:w="4320"/>
          </w:tcPr>
          <w:p>
            <w:r/>
            <w:r>
              <w:rPr>
                <w:b w:val="0"/>
                <w:i w:val="0"/>
              </w:rPr>
              <w:t>Local government</w:t>
            </w:r>
          </w:p>
        </w:tc>
        <w:tc>
          <w:tcPr>
            <w:tcW w:type="dxa" w:w="4320"/>
          </w:tcPr>
          <w:p>
            <w:r/>
            <w:r>
              <w:rPr>
                <w:b w:val="0"/>
                <w:i w:val="0"/>
              </w:rPr>
              <w:t>Tororo District</w:t>
            </w:r>
          </w:p>
        </w:tc>
      </w:tr>
      <w:tr>
        <w:tc>
          <w:tcPr>
            <w:tcW w:type="dxa" w:w="4320"/>
          </w:tcPr>
          <w:p>
            <w:r/>
            <w:r>
              <w:rPr>
                <w:b w:val="0"/>
                <w:i w:val="0"/>
              </w:rPr>
              <w:t>Region / sub-region</w:t>
            </w:r>
          </w:p>
        </w:tc>
        <w:tc>
          <w:tcPr>
            <w:tcW w:type="dxa" w:w="4320"/>
          </w:tcPr>
          <w:p>
            <w:r/>
            <w:r>
              <w:rPr>
                <w:b w:val="0"/>
                <w:i w:val="0"/>
              </w:rPr>
              <w:t>Eastern / Bukedi</w:t>
            </w:r>
          </w:p>
        </w:tc>
      </w:tr>
      <w:tr>
        <w:tc>
          <w:tcPr>
            <w:tcW w:type="dxa" w:w="4320"/>
          </w:tcPr>
          <w:p>
            <w:r/>
            <w:r>
              <w:rPr>
                <w:b w:val="0"/>
                <w:i w:val="0"/>
              </w:rPr>
              <w:t>Date of visit</w:t>
            </w:r>
          </w:p>
        </w:tc>
        <w:tc>
          <w:tcPr>
            <w:tcW w:type="dxa" w:w="4320"/>
          </w:tcPr>
          <w:p>
            <w:r/>
            <w:r>
              <w:rPr>
                <w:b w:val="0"/>
                <w:i w:val="0"/>
              </w:rPr>
              <w:t>2026-08-31</w:t>
            </w:r>
          </w:p>
        </w:tc>
      </w:tr>
      <w:tr>
        <w:tc>
          <w:tcPr>
            <w:tcW w:type="dxa" w:w="4320"/>
          </w:tcPr>
          <w:p>
            <w:r/>
            <w:r>
              <w:rPr>
                <w:b w:val="0"/>
                <w:i w:val="0"/>
              </w:rPr>
              <w:t>Team members present</w:t>
            </w:r>
          </w:p>
        </w:tc>
        <w:tc>
          <w:tcPr>
            <w:tcW w:type="dxa" w:w="4320"/>
          </w:tcPr>
          <w:p>
            <w:r/>
            <w:r>
              <w:rPr>
                <w:b w:val="0"/>
                <w:i w:val="0"/>
              </w:rPr>
              <w:t>Kayongo Tonny, Lydia Nakiganda</w:t>
            </w:r>
          </w:p>
        </w:tc>
      </w:tr>
      <w:tr>
        <w:tc>
          <w:tcPr>
            <w:tcW w:type="dxa" w:w="4320"/>
          </w:tcPr>
          <w:p>
            <w:r/>
            <w:r>
              <w:rPr>
                <w:b w:val="0"/>
                <w:i w:val="0"/>
              </w:rPr>
              <w:t>Informant interviewed</w:t>
            </w:r>
          </w:p>
        </w:tc>
        <w:tc>
          <w:tcPr>
            <w:tcW w:type="dxa" w:w="4320"/>
          </w:tcPr>
          <w:p>
            <w:r/>
            <w:r>
              <w:rPr>
                <w:b w:val="0"/>
                <w:i w:val="0"/>
              </w:rPr>
              <w:t>None recorded</w:t>
            </w:r>
          </w:p>
        </w:tc>
      </w:tr>
      <w:tr>
        <w:tc>
          <w:tcPr>
            <w:tcW w:type="dxa" w:w="4320"/>
          </w:tcPr>
          <w:p>
            <w:r/>
            <w:r>
              <w:rPr>
                <w:b w:val="0"/>
                <w:i w:val="0"/>
              </w:rPr>
              <w:t>Supervisor</w:t>
            </w:r>
          </w:p>
        </w:tc>
        <w:tc>
          <w:tcPr>
            <w:tcW w:type="dxa" w:w="4320"/>
          </w:tcPr>
          <w:p>
            <w:r/>
            <w:r>
              <w:rPr>
                <w:b w:val="0"/>
                <w:i w:val="0"/>
              </w:rPr>
              <w:t>Kassim Luminsa</w:t>
            </w:r>
          </w:p>
        </w:tc>
      </w:tr>
      <w:tr>
        <w:tc>
          <w:tcPr>
            <w:tcW w:type="dxa" w:w="4320"/>
          </w:tcPr>
          <w:p>
            <w:r/>
            <w:r>
              <w:rPr>
                <w:b w:val="0"/>
                <w:i w:val="0"/>
              </w:rPr>
              <w:t>Supervisor's contact</w:t>
            </w:r>
          </w:p>
        </w:tc>
        <w:tc>
          <w:tcPr>
            <w:tcW w:type="dxa" w:w="4320"/>
          </w:tcPr>
          <w:p>
            <w:r/>
            <w:r>
              <w:rPr>
                <w:b w:val="0"/>
                <w:i w:val="0"/>
              </w:rPr>
              <w:t>+256 702 806116</w:t>
            </w:r>
          </w:p>
        </w:tc>
      </w:tr>
      <w:tr>
        <w:tc>
          <w:tcPr>
            <w:tcW w:type="dxa" w:w="4320"/>
          </w:tcPr>
          <w:p>
            <w:r/>
            <w:r>
              <w:rPr>
                <w:b w:val="0"/>
                <w:i w:val="0"/>
              </w:rPr>
              <w:t>Date of submission</w:t>
            </w:r>
          </w:p>
        </w:tc>
        <w:tc>
          <w:tcPr>
            <w:tcW w:type="dxa" w:w="4320"/>
          </w:tcPr>
          <w:p>
            <w:r/>
          </w:p>
        </w:tc>
      </w:tr>
    </w:tbl>
    <w:p/>
    <w:p>
      <w:pPr>
        <w:pStyle w:val="Heading1"/>
      </w:pPr>
      <w:r>
        <w:t>2. Entry</w:t>
      </w:r>
    </w:p>
    <w:p>
      <w:r>
        <w:rPr>
          <w:b w:val="0"/>
          <w:i w:val="0"/>
        </w:rPr>
        <w:t>The team reached Sop Sop HC III on 31 August. A hand-filled register naming the facility is on file together with 86 photographs and delivery notes. The register came in on 2 September, after the visit day. Lydia Nakiganda is named as verifier on the cover page.</w:t>
      </w:r>
    </w:p>
    <w:p>
      <w:pPr>
        <w:pStyle w:val="Heading1"/>
      </w:pPr>
      <w:r>
        <w:t>3. Condition and status</w:t>
      </w:r>
    </w:p>
    <w:p>
      <w:r>
        <w:rPr>
          <w:b w:val="0"/>
          <w:i w:val="0"/>
        </w:rPr>
        <w:t>The four things the exercise exists to establish. Only what was established on site appears here; the rest is marked as not reported, not guessed.</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Dimension</w:t>
            </w:r>
          </w:p>
        </w:tc>
        <w:tc>
          <w:tcPr>
            <w:tcW w:type="dxa" w:w="4320"/>
          </w:tcPr>
          <w:p>
            <w:r>
              <w:rPr>
                <w:b/>
              </w:rPr>
            </w:r>
            <w:r>
              <w:rPr>
                <w:b/>
                <w:i w:val="0"/>
              </w:rPr>
              <w:t>What was established on site</w:t>
            </w:r>
          </w:p>
        </w:tc>
      </w:tr>
      <w:tr>
        <w:tc>
          <w:tcPr>
            <w:tcW w:type="dxa" w:w="4320"/>
          </w:tcPr>
          <w:p>
            <w:r/>
            <w:r>
              <w:rPr>
                <w:b w:val="0"/>
                <w:i w:val="0"/>
              </w:rPr>
              <w:t>Ownership</w:t>
            </w:r>
          </w:p>
        </w:tc>
        <w:tc>
          <w:tcPr>
            <w:tcW w:type="dxa" w:w="4320"/>
          </w:tcPr>
          <w:p>
            <w:r/>
            <w:r>
              <w:rPr>
                <w:b w:val="0"/>
                <w:i w:val="0"/>
              </w:rPr>
              <w:t>Not reported.</w:t>
            </w:r>
          </w:p>
        </w:tc>
      </w:tr>
      <w:tr>
        <w:tc>
          <w:tcPr>
            <w:tcW w:type="dxa" w:w="4320"/>
          </w:tcPr>
          <w:p>
            <w:r/>
            <w:r>
              <w:rPr>
                <w:b w:val="0"/>
                <w:i w:val="0"/>
              </w:rPr>
              <w:t>Functionality</w:t>
            </w:r>
          </w:p>
        </w:tc>
        <w:tc>
          <w:tcPr>
            <w:tcW w:type="dxa" w:w="4320"/>
          </w:tcPr>
          <w:p>
            <w:r/>
            <w:r>
              <w:rPr>
                <w:b w:val="0"/>
                <w:i w:val="0"/>
              </w:rPr>
              <w:t>Established on the hand-filled register. Refrigerators, centrifuges, glucometers, blood pressure machines, drip stands, water tanks, latrine blocks and ward beds are recorded, many marked kept in the store.</w:t>
            </w:r>
          </w:p>
        </w:tc>
      </w:tr>
      <w:tr>
        <w:tc>
          <w:tcPr>
            <w:tcW w:type="dxa" w:w="4320"/>
          </w:tcPr>
          <w:p>
            <w:r/>
            <w:r>
              <w:rPr>
                <w:b w:val="0"/>
                <w:i w:val="0"/>
              </w:rPr>
              <w:t>Usage / performance</w:t>
            </w:r>
          </w:p>
        </w:tc>
        <w:tc>
          <w:tcPr>
            <w:tcW w:type="dxa" w:w="4320"/>
          </w:tcPr>
          <w:p>
            <w:r/>
            <w:r>
              <w:rPr>
                <w:b w:val="0"/>
                <w:i w:val="0"/>
              </w:rPr>
              <w:t>Partly established. TB testing and maternity service have improved, but oxygen came without cylinders, staffing is low and the facility is not fenced.</w:t>
            </w:r>
          </w:p>
        </w:tc>
      </w:tr>
      <w:tr>
        <w:tc>
          <w:tcPr>
            <w:tcW w:type="dxa" w:w="4320"/>
          </w:tcPr>
          <w:p>
            <w:r/>
            <w:r>
              <w:rPr>
                <w:b w:val="0"/>
                <w:i w:val="0"/>
              </w:rPr>
              <w:t>Location</w:t>
            </w:r>
          </w:p>
        </w:tc>
        <w:tc>
          <w:tcPr>
            <w:tcW w:type="dxa" w:w="4320"/>
          </w:tcPr>
          <w:p>
            <w:r/>
            <w:r>
              <w:rPr>
                <w:b w:val="0"/>
                <w:i w:val="0"/>
              </w:rPr>
              <w:t>Recorded on the register and shown in photographs of the in-charge office, store, wards and compound structures.</w:t>
            </w:r>
          </w:p>
        </w:tc>
      </w:tr>
    </w:tbl>
    <w:p/>
    <w:p>
      <w:pPr>
        <w:pStyle w:val="Heading1"/>
      </w:pPr>
      <w:r>
        <w:t>4. Supplied against found</w:t>
      </w:r>
    </w:p>
    <w:p>
      <w:r>
        <w:rPr>
          <w:b w:val="0"/>
          <w:i w:val="0"/>
        </w:rPr>
        <w:t>The hand-filled register is the found side and delivery notes are on file; nothing was counted against either.</w:t>
      </w:r>
    </w:p>
    <w:p>
      <w:pPr>
        <w:pStyle w:val="Heading1"/>
      </w:pPr>
      <w:r>
        <w:t>5. Engraving and identification</w:t>
      </w:r>
    </w:p>
    <w:p>
      <w:r>
        <w:rPr>
          <w:b w:val="0"/>
          <w:i w:val="0"/>
        </w:rPr>
        <w:t>A weighing scale rim is marked SOP SOP H/C III. A desk carries MOES U-IFT RBF FY 2019/20 lettering.</w:t>
      </w:r>
    </w:p>
    <w:p>
      <w:pPr>
        <w:pStyle w:val="Heading1"/>
      </w:pPr>
      <w:r>
        <w:t>6. Obsolete, unserviceable or for disposal</w:t>
      </w:r>
    </w:p>
    <w:p>
      <w:r>
        <w:rPr>
          <w:b w:val="0"/>
          <w:i w:val="0"/>
        </w:rPr>
        <w:t>Nothing was named for disposal.</w:t>
      </w:r>
    </w:p>
    <w:p>
      <w:pPr>
        <w:pStyle w:val="Heading1"/>
      </w:pPr>
      <w:r>
        <w:t>7. Operation and maintenance</w:t>
      </w:r>
    </w:p>
    <w:p>
      <w:r>
        <w:rPr>
          <w:b w:val="0"/>
          <w:i w:val="0"/>
        </w:rPr>
        <w:t>The discussion guide was answered. The informant says much of the equipment delivered is still in the store because staff lack knowledge of how to operate it, and asks for training, more staff and fencing.</w:t>
      </w:r>
    </w:p>
    <w:p>
      <w:pPr>
        <w:pStyle w:val="Heading1"/>
      </w:pPr>
      <w:r>
        <w:t>8. Queries</w:t>
      </w:r>
    </w:p>
    <w:p>
      <w:pPr>
        <w:pStyle w:val="ListBullet"/>
      </w:pPr>
      <w:r>
        <w:rPr>
          <w:b w:val="0"/>
          <w:i w:val="0"/>
        </w:rPr>
        <w:t>Set the delivery notes against a physical count and against the register lines marked kept in the store.</w:t>
      </w:r>
    </w:p>
    <w:p>
      <w:pPr>
        <w:pStyle w:val="ListBullet"/>
      </w:pPr>
      <w:r>
        <w:rPr>
          <w:b w:val="0"/>
          <w:i w:val="0"/>
        </w:rPr>
        <w:t>Train staff on equipment still in the store and record what is in use room by room.</w:t>
      </w:r>
    </w:p>
    <w:p>
      <w:pPr>
        <w:pStyle w:val="ListBullet"/>
      </w:pPr>
      <w:r>
        <w:rPr>
          <w:b w:val="0"/>
          <w:i w:val="0"/>
        </w:rPr>
        <w:t>Ownership was not established.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