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48"/>
          <w:szCs w:val="48"/>
          <w:u w:val="single"/>
        </w:rPr>
      </w:pPr>
      <w:bookmarkStart w:colFirst="0" w:colLast="0" w:name="_tpowghaop1px" w:id="0"/>
      <w:bookmarkEnd w:id="0"/>
      <w:r w:rsidDel="00000000" w:rsidR="00000000" w:rsidRPr="00000000">
        <w:rPr>
          <w:b w:val="1"/>
          <w:sz w:val="48"/>
          <w:szCs w:val="48"/>
          <w:u w:val="single"/>
          <w:rtl w:val="0"/>
        </w:rPr>
        <w:t xml:space="preserve">CONCLUSION</w:t>
      </w:r>
    </w:p>
    <w:p w:rsidR="00000000" w:rsidDel="00000000" w:rsidP="00000000" w:rsidRDefault="00000000" w:rsidRPr="00000000" w14:paraId="00000002">
      <w:pPr>
        <w:spacing w:after="240" w:before="240" w:lineRule="auto"/>
        <w:rPr/>
      </w:pPr>
      <w:r w:rsidDel="00000000" w:rsidR="00000000" w:rsidRPr="00000000">
        <w:rPr>
          <w:rtl w:val="0"/>
        </w:rPr>
        <w:br w:type="textWrapping"/>
        <w:br w:type="textWrapping"/>
      </w:r>
      <w:r w:rsidDel="00000000" w:rsidR="00000000" w:rsidRPr="00000000">
        <w:rPr>
          <w:rtl w:val="0"/>
        </w:rPr>
        <w:t xml:space="preserve">The Expense Tracker project exemplifies the power of user-centered, agile development in delivering a practical, real-world software solution. Designed for individuals seeking to take control of their personal finances, the application successfully balances modern design principles with robust backend functionality, providing a platform that is as insightful as it is intuitive.</w:t>
      </w:r>
    </w:p>
    <w:p w:rsidR="00000000" w:rsidDel="00000000" w:rsidP="00000000" w:rsidRDefault="00000000" w:rsidRPr="00000000" w14:paraId="00000003">
      <w:pPr>
        <w:spacing w:after="240" w:before="240" w:lineRule="auto"/>
        <w:rPr/>
      </w:pPr>
      <w:r w:rsidDel="00000000" w:rsidR="00000000" w:rsidRPr="00000000">
        <w:rPr>
          <w:rtl w:val="0"/>
        </w:rPr>
        <w:t xml:space="preserve">From the early stages of ideation—where empathy mapping and problem definition guided our priorities—to the final implementation of secure authentication, data visualizations, and Excel import/export functionality, each phase of development was shaped by the goal of delivering value to the end user. By leveraging the MERN stack (MongoDB, Express.js, React, Node.js), our team was able to create a dynamic, full-stack web application that responds well to both user needs and technical demands.</w:t>
      </w:r>
    </w:p>
    <w:p w:rsidR="00000000" w:rsidDel="00000000" w:rsidP="00000000" w:rsidRDefault="00000000" w:rsidRPr="00000000" w14:paraId="00000004">
      <w:pPr>
        <w:spacing w:after="240" w:before="240" w:lineRule="auto"/>
        <w:rPr/>
      </w:pPr>
      <w:r w:rsidDel="00000000" w:rsidR="00000000" w:rsidRPr="00000000">
        <w:rPr>
          <w:rtl w:val="0"/>
        </w:rPr>
        <w:t xml:space="preserve">Key highlights of the project include: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A responsive and aesthetically pleasing user interface crafted using Tailwind CSS.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Secure login and registration processes that build user trust.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The use of charts to translate raw financial data into actionable insights.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Scalable backend architecture with potential for future enhancements such as budgeting tools, role-based access, and mobile offline functionality.</w:t>
      </w:r>
    </w:p>
    <w:p w:rsidR="00000000" w:rsidDel="00000000" w:rsidP="00000000" w:rsidRDefault="00000000" w:rsidRPr="00000000" w14:paraId="00000009">
      <w:pPr>
        <w:spacing w:after="240" w:before="240" w:lineRule="auto"/>
        <w:rPr/>
      </w:pPr>
      <w:r w:rsidDel="00000000" w:rsidR="00000000" w:rsidRPr="00000000">
        <w:rPr>
          <w:rtl w:val="0"/>
        </w:rPr>
        <w:t xml:space="preserve">Although certain limitations remain—such as the absence of advanced budget planning features and offline capabilities—the current version of the application lays a strong foundation for continuous improvement. It has already demonstrated its usefulness by organizing financial data in a digestible, visually rich format that users can engage with confidently.</w:t>
      </w:r>
    </w:p>
    <w:p w:rsidR="00000000" w:rsidDel="00000000" w:rsidP="00000000" w:rsidRDefault="00000000" w:rsidRPr="00000000" w14:paraId="0000000A">
      <w:pPr>
        <w:spacing w:after="240" w:before="240" w:lineRule="auto"/>
        <w:rPr/>
      </w:pPr>
      <w:r w:rsidDel="00000000" w:rsidR="00000000" w:rsidRPr="00000000">
        <w:rPr>
          <w:rtl w:val="0"/>
        </w:rPr>
        <w:t xml:space="preserve">In conclusion, the Expense Tracker not only achieves its initial objectives but also opens up numerous pathways for future expansion. It serves as a practical, secure, and visually effective financial management tool, built with scalability, maintainability, and user satisfaction at its core.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B">
      <w:pPr>
        <w:rPr/>
      </w:pPr>
      <w:r w:rsidDel="00000000" w:rsidR="00000000" w:rsidRPr="00000000">
        <w:rPr/>
        <w:drawing>
          <wp:inline distB="114300" distT="114300" distL="114300" distR="114300">
            <wp:extent cx="5943600" cy="1854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