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MINISTRY OF HEALTH AND HUMAN SERVICES, MAKURDI.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DEPARTMENT OF PUBLIC HEALTH.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Vision : To meet targets on disease control and reduce morbidity and mortality to the barest minimum to improve life expectancy of Benue People.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Mission : To develop, implement and appraise policies and programmes with strategies and actions that strengthen the State Health System to deliver effective, efficient, qualitative and affordable health services that Foster improved health status of Benue people and accelerated socio-economic and sustainable development.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Mandate of the Ministry - The State Ministry of Health and Human Services has the cabinet responsibility of implementing National and State Government's Health policies as well as providing technical input to assist the State Government in formulation of its health policies and execution with the primary aim of maintaining the health security of its citizenry.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Functions of the Department of Public Health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Provision of advice on Public Health Care Policy Development and Policy analysis for Public Health Planning and Management.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ii. Advice on State and Local Government (through State Planning Commission) planning, implementation and supervision, monitoring and evaluation of Health Care Activities (Public and Private).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iii. Liaison with NGOs, Donor Agencies, MDAs on Public Health service delivery issues i.e advances proposals and development plans to government and development partners on disease control activities.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iv. Provision of Promotive and Preventive Services. Immunization, Disease Surveillance; Epidemics and Emergency Management and Health Promotion (Education, Pre and Protection)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 Assist in strengthening the health sector response to Communicable Diseases such as HIV/AIDS/STI, Neglected Tropical Diseases, Malaria, and TBL Programmes through improvement in technical capacity and sourcing of donor funds.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vi. Provision of special services during Humanitarian Emergencies (working with SEMA, etc) such as Flood, Epidemics, to Internally Displaced Persons (IDPs) or Refugees.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vii. Represents the Ministry on appropriate professional bodies/meetings.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viii. Control of Non-Communicable Diseases such as Diabetes, Hypertension, Mental Disorders, Sickle Cell Disease, etc.</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