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MINISTRY OF HEALTH AND HUMAN SERVICES, MAKURDI.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ADMINISTRATION AND SUPPLY.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   The Department of Administration and Supply is a department which coordinates the activities of other departments in the Ministry.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  Functions of the Department.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   The department which is the coordinating department in the Ministry has the following responsibilities: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</w:t>
        <w:tab/>
        <w:t xml:space="preserve"> Advising the Ministry on all administrative matters.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</w:t>
        <w:tab/>
        <w:t xml:space="preserve">Initiation and implementation of personnel policies and decisions which include: -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Staff recruitment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Staff promotion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Posting of staff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Maintenance of staff records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Staff welfare and discipline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Coordinating of Senior Management Committee (SMC and Junior Staff    Committee (JSC).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iii</w:t>
        <w:tab/>
        <w:t xml:space="preserve"> Providing supportive services to other departments of the Ministry.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Iv</w:t>
        <w:tab/>
        <w:t xml:space="preserve"> Providing secretariat services for meetings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</w:t>
        <w:tab/>
        <w:t xml:space="preserve"> Information Management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</w:t>
        <w:tab/>
        <w:t xml:space="preserve"> Stores Management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Vii</w:t>
        <w:tab/>
        <w:t xml:space="preserve">Vehicle Management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Viii.</w:t>
        <w:tab/>
        <w:t xml:space="preserve">Legal unit which handles all legal matters of the Ministry.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3.0.    Composition of the Department.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3.1    The department is made up of the following units/sectors.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