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README</w:t>
      </w:r>
    </w:p>
    <w:p>
      <w:pPr>
        <w:spacing w:after="120"/>
      </w:pPr>
      <w:r>
        <w:t xml:space="preserve">This repository contains the data, scripts, and analyses supporting the World Bank report on regulatory and governance challenges in Peru's infrastructure sectors, with a focus on telecommunications. Topics covered include the impact of leadership changes on regulatory milestones, private sector constraints from policy mandates, governance-outcome relationships, and cross-country comparisons of regulatory stringency, regulator governance, and ICT affordability.</w:t>
      </w:r>
    </w:p>
    <w:p>
      <w:pPr>
        <w:spacing w:after="120"/>
      </w:pPr>
      <w:r>
        <w:t xml:space="preserve">Key data sources: Ministry of Justice (Peru); Ministry of Transportation and Communications (Peru); World Bank CPSDs, WDI, and country income classifications; OECD PMR sector indicators and 2023 GSR indicators; ITU ICT Price Baskets.</w:t>
      </w:r>
    </w:p>
    <w:p>
      <w:pPr>
        <w:spacing w:after="120"/>
      </w:pPr>
      <w:r>
        <w:t xml:space="preserve">Peru-specific figures were prepared in Excel; cross-country figures were produced in Stata using the master do-file 1_Figure.do.</w:t>
      </w:r>
    </w:p>
    <w:p>
      <w:pPr>
        <w:pBdr>
          <w:bottom w:val="single" w:color="CCCCCC" w:sz="6"/>
        </w:pBdr>
        <w:spacing w:before="120" w:after="120"/>
      </w:pPr>
    </w:p>
    <w:p>
      <w:pPr>
        <w:pStyle w:val="Heading2"/>
        <w:spacing w:before="240" w:after="120"/>
      </w:pPr>
      <w:r>
        <w:t xml:space="preserve">Reproducibility Setup</w:t>
      </w:r>
    </w:p>
    <w:p>
      <w:pPr>
        <w:spacing w:after="120"/>
      </w:pPr>
      <w:r>
        <w:t xml:space="preserve">1_Figure.do is the master script and produces Figures 3.3 and 3.6 (panels a–d). Set the working directory in the global root macro at the top of the file. The script expects three subfolders:</w:t>
      </w:r>
    </w:p>
    <w:p>
      <w:pPr>
        <w:pStyle w:val="ListParagraph"/>
        <w:numPr>
          <w:ilvl w:val="0"/>
          <w:numId w:val="1"/>
        </w:numPr>
        <w:spacing w:after="60"/>
      </w:pPr>
      <w:r>
        <w:t xml:space="preserve">/Datain — raw inputs</w:t>
      </w:r>
    </w:p>
    <w:p>
      <w:pPr>
        <w:pStyle w:val="ListParagraph"/>
        <w:numPr>
          <w:ilvl w:val="0"/>
          <w:numId w:val="1"/>
        </w:numPr>
        <w:spacing w:after="60"/>
      </w:pPr>
      <w:r>
        <w:t xml:space="preserve">/Output — figures and intermediate datasets</w:t>
      </w:r>
    </w:p>
    <w:p>
      <w:pPr>
        <w:pStyle w:val="ListParagraph"/>
        <w:numPr>
          <w:ilvl w:val="0"/>
          <w:numId w:val="1"/>
        </w:numPr>
        <w:spacing w:after="60"/>
      </w:pPr>
      <w:r>
        <w:t xml:space="preserve">/Do — do-files</w:t>
      </w:r>
    </w:p>
    <w:p>
      <w:pPr>
        <w:spacing w:after="120"/>
      </w:pPr>
      <w:r>
        <w:t xml:space="preserve">The wbopendata package is auto-installed if not present. At runtime, the script generates 2labelvars.do, which assigns variable labels to GSR question codes. This file is overwritten on each run and should not be edited manually.</w:t>
      </w:r>
    </w:p>
    <w:p>
      <w:pPr>
        <w:pBdr>
          <w:bottom w:val="single" w:color="CCCCCC" w:sz="6"/>
        </w:pBdr>
        <w:spacing w:before="120" w:after="120"/>
      </w:pPr>
    </w:p>
    <w:p>
      <w:pPr>
        <w:pStyle w:val="Heading2"/>
        <w:spacing w:before="240" w:after="120"/>
      </w:pPr>
      <w:r>
        <w:t xml:space="preserve">Figure 3.3: Regulatory Stringency and ICT Affordability Across Income Levels</w:t>
      </w:r>
    </w:p>
    <w:p>
      <w:pPr>
        <w:pStyle w:val="Heading3"/>
        <w:spacing w:before="240" w:after="120"/>
      </w:pPr>
      <w:r>
        <w:t xml:space="preserve">Data</w:t>
      </w:r>
    </w:p>
    <w:p>
      <w:pPr>
        <w:pStyle w:val="ListParagraph"/>
        <w:numPr>
          <w:ilvl w:val="0"/>
          <w:numId w:val="1"/>
        </w:numPr>
        <w:spacing w:after="60"/>
      </w:pPr>
      <w:r>
        <w:t xml:space="preserve">OECD PMR Sector Indicators, 2023–24 wave. </w:t>
      </w:r>
      <w:hyperlink w:history="1" r:id="rIdesvh6ymibzeag9w9rmivp">
        <w:r>
          <w:rPr>
            <w:color w:val="0563C1"/>
            <w:u w:val="single"/>
          </w:rPr>
          <w:t xml:space="preserve">Download</w:t>
        </w:r>
      </w:hyperlink>
      <w:r>
        <w:t xml:space="preserve"> (</w:t>
      </w:r>
      <w:hyperlink w:history="1" r:id="rIdfyitudiv2lcsdazfofyhy">
        <w:r>
          <w:rPr>
            <w:color w:val="0563C1"/>
            <w:u w:val="single"/>
          </w:rPr>
          <w:t xml:space="preserve">direct file</w:t>
        </w:r>
      </w:hyperlink>
      <w:r>
        <w:t xml:space="preserve">). Accessed August 2025. The script reads sheet PMRSectorNetwork2023-24clea from $raw/UpdatedPMR Sector Indicator2023-24 and 2018.xlsx. Column names were manually adjusted for Stata compatibility. Variable used (x-axis): ecommunicationsmobile_ecomm. Note: The OECD has refreshed this file since access; replication against the current version may yield slightly different values.</w:t>
      </w:r>
    </w:p>
    <w:p>
      <w:pPr>
        <w:pStyle w:val="ListParagraph"/>
        <w:numPr>
          <w:ilvl w:val="0"/>
          <w:numId w:val="1"/>
        </w:numPr>
        <w:spacing w:after="60"/>
      </w:pPr>
      <w:r>
        <w:t xml:space="preserve">ITU ICT Price Baskets, 2008–2024. </w:t>
      </w:r>
      <w:hyperlink w:history="1" r:id="rIdxfko0gaubk4j8kxjeppce">
        <w:r>
          <w:rPr>
            <w:color w:val="0563C1"/>
            <w:u w:val="single"/>
          </w:rPr>
          <w:t xml:space="preserve">Download</w:t>
        </w:r>
      </w:hyperlink>
      <w:r>
        <w:t xml:space="preserve">. Accessed June 12, 2025. The script reads sheet economies2008-2024 from $raw/ITUICTPriceBaskets2008-2024.xlsx. Variable used (y-axis): i271mbts_gni (data-only mobile-broadband basket as % of GNI per capita), year 2023. Note: ITU has refreshed this data; replication with the latest version may yield different results.</w:t>
      </w:r>
    </w:p>
    <w:p>
      <w:pPr>
        <w:pStyle w:val="ListParagraph"/>
        <w:numPr>
          <w:ilvl w:val="0"/>
          <w:numId w:val="1"/>
        </w:numPr>
        <w:spacing w:after="60"/>
      </w:pPr>
      <w:r>
        <w:t xml:space="preserve">World Bank Country Income Classification, July 2025. File: $raw/CLASS202507_02.xlsx. </w:t>
      </w:r>
      <w:hyperlink w:history="1" r:id="rIdeibwteaq930cfagkfwnxp">
        <w:r>
          <w:rPr>
            <w:color w:val="0563C1"/>
            <w:u w:val="single"/>
          </w:rPr>
          <w:t xml:space="preserve">Reference</w:t>
        </w:r>
      </w:hyperlink>
      <w:r>
        <w:t xml:space="preserve">. Income groups (HIC, UMC, LMC) are added to the PMR Excel file via VLOOKUP before Stata import. This step must be completed before running the script.</w:t>
      </w:r>
    </w:p>
    <w:p>
      <w:pPr>
        <w:pStyle w:val="ListParagraph"/>
        <w:numPr>
          <w:ilvl w:val="0"/>
          <w:numId w:val="1"/>
        </w:numPr>
        <w:spacing w:after="60"/>
      </w:pPr>
      <w:r>
        <w:t xml:space="preserve">World Development Indicators (WDI). Pulled live via wbopendata. For Figure 3.3, WDI variables are loaded into the working file for context but are not used in the published chart, which relies solely on PMR and ITU data.</w:t>
      </w:r>
    </w:p>
    <w:p>
      <w:pPr>
        <w:pStyle w:val="Heading3"/>
        <w:spacing w:before="240" w:after="120"/>
      </w:pPr>
      <w:r>
        <w:t xml:space="preserve">Construction Notes</w:t>
      </w:r>
    </w:p>
    <w:p>
      <w:pPr>
        <w:spacing w:after="120"/>
      </w:pPr>
      <w:r>
        <w:t xml:space="preserve">Albania (ALB) is dropped as an outlier. Observations are split into HIC, UMC, and LMC series; a linear fit (lfit) is overlaid on the pooled sample. Output: Figure3.3comms_price.png saved to $clean/Charts/.</w:t>
      </w:r>
    </w:p>
    <w:p>
      <w:pPr>
        <w:pBdr>
          <w:bottom w:val="single" w:color="CCCCCC" w:sz="6"/>
        </w:pBdr>
        <w:spacing w:before="120" w:after="120"/>
      </w:pPr>
    </w:p>
    <w:p>
      <w:pPr>
        <w:pStyle w:val="Heading2"/>
        <w:spacing w:before="240" w:after="120"/>
      </w:pPr>
      <w:r>
        <w:t xml:space="preserve">Figure 3.6 (a–d): Regulator Financing Arrangements Across Income Levels</w:t>
      </w:r>
    </w:p>
    <w:p>
      <w:pPr>
        <w:spacing w:after="120"/>
      </w:pPr>
      <w:r>
        <w:t xml:space="preserve">The four panels show financing arrangements for: (a) Telecoms (Q2ba22), (b) Rail (Q3aba22), (c) Air transportation (Q3bba22), and (d) Energy (Q1ba22) regulators. All panels use the same underlying question: "Is the regulator funded through fees, the national budget, or a mix of both?"</w:t>
      </w:r>
    </w:p>
    <w:p>
      <w:pPr>
        <w:pStyle w:val="Heading3"/>
        <w:spacing w:before="240" w:after="120"/>
      </w:pPr>
      <w:r>
        <w:t xml:space="preserve">Data</w:t>
      </w:r>
    </w:p>
    <w:p>
      <w:pPr>
        <w:pStyle w:val="ListParagraph"/>
        <w:numPr>
          <w:ilvl w:val="0"/>
          <w:numId w:val="1"/>
        </w:numPr>
        <w:spacing w:after="60"/>
      </w:pPr>
      <w:r>
        <w:t xml:space="preserve">OECD 2023 Indicators on the Governance of Sector Regulators (GSR). </w:t>
      </w:r>
      <w:hyperlink w:history="1" r:id="rIdjzbaazq_6wasvn6bcj8yv">
        <w:r>
          <w:rPr>
            <w:color w:val="0563C1"/>
            <w:u w:val="single"/>
          </w:rPr>
          <w:t xml:space="preserve">Download</w:t>
        </w:r>
      </w:hyperlink>
      <w:r>
        <w:t xml:space="preserve"> (</w:t>
      </w:r>
      <w:hyperlink w:history="1" r:id="rIdtaepytvcqjyk6iizt9lpm">
        <w:r>
          <w:rPr>
            <w:color w:val="0563C1"/>
            <w:u w:val="single"/>
          </w:rPr>
          <w:t xml:space="preserve">direct file</w:t>
        </w:r>
      </w:hyperlink>
      <w:r>
        <w:t xml:space="preserve">.xlsx)). Accessed September 2025. The script reads sheet Databaseclean from $raw/GSRData.xlsx. The OECD file was lightly cleaned (sheet structure flattened) for Stata import. Brazil reports two regulators in some sectors; the second entry (variables suffixed BRA2) is dropped to avoid double-counting.</w:t>
      </w:r>
    </w:p>
    <w:p>
      <w:pPr>
        <w:pStyle w:val="ListParagraph"/>
        <w:numPr>
          <w:ilvl w:val="0"/>
          <w:numId w:val="1"/>
        </w:numPr>
        <w:spacing w:after="60"/>
      </w:pPr>
      <w:r>
        <w:t xml:space="preserve">World Development Indicators (WDI). Pulled via wbopendata. Variables used: NY.GNP.PCAP.CD (GNI per capita, current USD) for income tercile construction; NY.GDP.PCAP.PP.KD (GDP per capita, PPP, constant 2021 USD) retained for reference. Year: 2023.</w:t>
      </w:r>
    </w:p>
    <w:p>
      <w:pPr>
        <w:pStyle w:val="ListParagraph"/>
        <w:numPr>
          <w:ilvl w:val="0"/>
          <w:numId w:val="1"/>
        </w:numPr>
        <w:spacing w:after="60"/>
      </w:pPr>
      <w:r>
        <w:t xml:space="preserve">World Bank Country Income Classification (CLASS202507_02.xlsx) is available as a complementary reference, but income stratification in this figure uses GNI per capita terciles computed inline.</w:t>
      </w:r>
    </w:p>
    <w:p>
      <w:pPr>
        <w:pStyle w:val="Heading3"/>
        <w:spacing w:before="240" w:after="120"/>
      </w:pPr>
      <w:r>
        <w:t xml:space="preserve">Construction Notes</w:t>
      </w:r>
    </w:p>
    <w:p>
      <w:pPr>
        <w:spacing w:after="120"/>
      </w:pPr>
      <w:r>
        <w:t xml:space="preserve">Income terciles are computed with xtile quint = gnipccurrent, nq(3). (The variable name quint is a holdover; the figure uses three groups.) Tercile 1 = lowest GNI-per-capita third; tercile 3 = highest. Stacked bars show the share of countries in each tercile by financing arrangement (budget, fees, or both); bars sum to 100% within each tercile.</w:t>
      </w:r>
    </w:p>
    <w:p>
      <w:pPr>
        <w:pStyle w:val="Heading3"/>
        <w:spacing w:before="240" w:after="120"/>
      </w:pPr>
      <w:r>
        <w:t xml:space="preserve">Output Files ($clean/charts/)</w:t>
      </w:r>
    </w:p>
    <w:p>
      <w:pPr>
        <w:pStyle w:val="ListParagraph"/>
        <w:numPr>
          <w:ilvl w:val="0"/>
          <w:numId w:val="1"/>
        </w:numPr>
        <w:spacing w:after="60"/>
      </w:pPr>
      <w:r>
        <w:t xml:space="preserve">Fig36CommsSourcesgraphQ2ba22.png — Panel A: Telecoms</w:t>
      </w:r>
    </w:p>
    <w:p>
      <w:pPr>
        <w:pStyle w:val="ListParagraph"/>
        <w:numPr>
          <w:ilvl w:val="0"/>
          <w:numId w:val="1"/>
        </w:numPr>
        <w:spacing w:after="60"/>
      </w:pPr>
      <w:r>
        <w:t xml:space="preserve">Fig36RailSourcesgraphQ3aba22.png — Panel B: Rail</w:t>
      </w:r>
    </w:p>
    <w:p>
      <w:pPr>
        <w:pStyle w:val="ListParagraph"/>
        <w:numPr>
          <w:ilvl w:val="0"/>
          <w:numId w:val="1"/>
        </w:numPr>
        <w:spacing w:after="60"/>
      </w:pPr>
      <w:r>
        <w:t xml:space="preserve">Fig36AirSourcesgraphQ3bba22.png — Panel C: Air transportation</w:t>
      </w:r>
    </w:p>
    <w:p>
      <w:pPr>
        <w:pStyle w:val="ListParagraph"/>
        <w:numPr>
          <w:ilvl w:val="0"/>
          <w:numId w:val="1"/>
        </w:numPr>
        <w:spacing w:after="60"/>
      </w:pPr>
      <w:r>
        <w:t xml:space="preserve">Fig36EnergySourcesgraphQ1ba22.png — Panel D: Energy</w:t>
      </w:r>
    </w:p>
    <w:p>
      <w:pPr>
        <w:pBdr>
          <w:bottom w:val="single" w:color="CCCCCC" w:sz="6"/>
        </w:pBdr>
        <w:spacing w:before="120" w:after="120"/>
      </w:pPr>
    </w:p>
    <w:p>
      <w:pPr>
        <w:pStyle w:val="Heading2"/>
        <w:spacing w:before="240" w:after="120"/>
      </w:pPr>
      <w:r>
        <w:t xml:space="preserve">Figure 3.12: Leadership Turnover and Regulatory Milestones (Peru)</w:t>
      </w:r>
    </w:p>
    <w:p>
      <w:pPr>
        <w:spacing w:after="120"/>
      </w:pPr>
      <w:r>
        <w:t xml:space="preserve">This figure replaces the chart previously labeled E.5 / 4.9. All inputs, including the compilation Excel file and underlying PDF norms, are consolidated in $raw/MinisterialTurnOver/.</w:t>
      </w:r>
    </w:p>
    <w:p>
      <w:pPr>
        <w:pStyle w:val="Heading3"/>
        <w:spacing w:before="240" w:after="120"/>
      </w:pPr>
      <w:r>
        <w:t xml:space="preserve">Data</w:t>
      </w:r>
    </w:p>
    <w:p>
      <w:pPr>
        <w:pStyle w:val="ListParagraph"/>
        <w:numPr>
          <w:ilvl w:val="0"/>
          <w:numId w:val="1"/>
        </w:numPr>
        <w:spacing w:after="60"/>
      </w:pPr>
      <w:r>
        <w:t xml:space="preserve">Ministerial duration. Extracted from legal appointment norms for Ministers of Communications and Transportation, downloaded from the </w:t>
      </w:r>
      <w:hyperlink w:history="1" r:id="rId_51oonm6tbi3esidjzjbl">
        <w:r>
          <w:rPr>
            <w:color w:val="0563C1"/>
            <w:u w:val="single"/>
          </w:rPr>
          <w:t xml:space="preserve">Ministry of Justice</w:t>
        </w:r>
      </w:hyperlink>
      <w:r>
        <w:t xml:space="preserve">. The Excel compilation file lists links to each norm; PDF source files are stored in the MCT_appointments subfolder.</w:t>
      </w:r>
    </w:p>
    <w:p>
      <w:pPr>
        <w:pStyle w:val="ListParagraph"/>
        <w:numPr>
          <w:ilvl w:val="0"/>
          <w:numId w:val="1"/>
        </w:numPr>
        <w:spacing w:after="60"/>
      </w:pPr>
      <w:r>
        <w:t xml:space="preserve">Regulatory milestones. Dates extracted from the </w:t>
      </w:r>
      <w:hyperlink w:history="1" r:id="rIdwingvextfoflmwygengvf">
        <w:r>
          <w:rPr>
            <w:color w:val="0563C1"/>
            <w:u w:val="single"/>
          </w:rPr>
          <w:t xml:space="preserve">Ministry of Transportation and Communications</w:t>
        </w:r>
      </w:hyperlink>
      <w:r>
        <w:t xml:space="preserve">, </w:t>
      </w:r>
      <w:hyperlink w:history="1" r:id="rIdwux0jwrazb0b5dcbfjhzf">
        <w:r>
          <w:rPr>
            <w:color w:val="0563C1"/>
            <w:u w:val="single"/>
          </w:rPr>
          <w:t xml:space="preserve">OSIPTEL</w:t>
        </w:r>
      </w:hyperlink>
      <w:r>
        <w:t xml:space="preserve">, </w:t>
      </w:r>
      <w:hyperlink w:history="1" r:id="rIdjrqbowbcuuwunvkbub-8-">
        <w:r>
          <w:rPr>
            <w:color w:val="0563C1"/>
            <w:u w:val="single"/>
          </w:rPr>
          <w:t xml:space="preserve">ProInversión</w:t>
        </w:r>
      </w:hyperlink>
      <w:r>
        <w:t xml:space="preserve">, and the </w:t>
      </w:r>
      <w:hyperlink w:history="1" r:id="rIdx9yvidyvuouejnwe8k97r">
        <w:r>
          <w:rPr>
            <w:color w:val="0563C1"/>
            <w:u w:val="single"/>
          </w:rPr>
          <w:t xml:space="preserve">Plataforma Digital Única del Estado Peruano</w:t>
        </w:r>
      </w:hyperlink>
      <w:r>
        <w:t xml:space="preserve">. The Excel compilation file links to each source norm; PDFs are stored alongside.</w:t>
      </w:r>
    </w:p>
    <w:p>
      <w:pPr>
        <w:pStyle w:val="Heading3"/>
        <w:spacing w:before="240" w:after="120"/>
      </w:pPr>
      <w:r>
        <w:t xml:space="preserve">Construction Notes</w:t>
      </w:r>
    </w:p>
    <w:p>
      <w:pPr>
        <w:spacing w:after="120"/>
      </w:pPr>
      <w:r>
        <w:t xml:space="preserve">Figure 3.12 is produced in Excel and is not generated by 1_Figure.do.</w:t>
      </w:r>
    </w:p>
    <w:p>
      <w:pPr>
        <w:pBdr>
          <w:bottom w:val="single" w:color="CCCCCC" w:sz="6"/>
        </w:pBdr>
        <w:spacing w:before="120" w:after="120"/>
      </w:pPr>
    </w:p>
    <w:p>
      <w:pPr>
        <w:spacing w:after="120"/>
      </w:pPr>
      <w:r>
        <w:t xml:space="preserve">This document was generated by mAI.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svh6ymibzeag9w9rmivp" Type="http://schemas.openxmlformats.org/officeDocument/2006/relationships/hyperlink" Target="https://www.oecd.org/en/topics/product-market-regulation.html" TargetMode="External"/><Relationship Id="rIdfyitudiv2lcsdazfofyhy" Type="http://schemas.openxmlformats.org/officeDocument/2006/relationships/hyperlink" Target="https://www.oecd.org/content/dam/oecd/en/topics/policy-sub-issues/product-market-regulation/PMR_Sector_Indicator_2023-24_and_2018_March2026.xlsx" TargetMode="External"/><Relationship Id="rIdxfko0gaubk4j8kxjeppce" Type="http://schemas.openxmlformats.org/officeDocument/2006/relationships/hyperlink" Target="https://www.itu.int/en/ITU-D/Statistics/Pages/ICTprices/default.aspx" TargetMode="External"/><Relationship Id="rIdeibwteaq930cfagkfwnxp" Type="http://schemas.openxmlformats.org/officeDocument/2006/relationships/hyperlink" Target="https://datahelpdesk.worldbank.org/knowledgebase/articles/906519" TargetMode="External"/><Relationship Id="rIdjzbaazq_6wasvn6bcj8yv" Type="http://schemas.openxmlformats.org/officeDocument/2006/relationships/hyperlink" Target="https://www.oecd.org/en/data/datasets/oecd-government-at-a-glance-database.html" TargetMode="External"/><Relationship Id="rIdtaepytvcqjyk6iizt9lpm" Type="http://schemas.openxmlformats.org/officeDocument/2006/relationships/hyperlink" Target="https://www.oecd.org/content/dam/oecd/en/publications/support-materials/2025/03/the-2023-indicators-on-the-governance-of-sector-regulators_eb33f9bb/2023%20Indicators%20on%20the%20Governance%20of%20Sector%20Regulators%20(February%202025" TargetMode="External"/><Relationship Id="rId_51oonm6tbi3esidjzjbl" Type="http://schemas.openxmlformats.org/officeDocument/2006/relationships/hyperlink" Target="https://spijweb.minjus.gob.pe/" TargetMode="External"/><Relationship Id="rIdwingvextfoflmwygengvf" Type="http://schemas.openxmlformats.org/officeDocument/2006/relationships/hyperlink" Target="https://www.gob.pe/institucion/mtc/normas-legales/" TargetMode="External"/><Relationship Id="rIdwux0jwrazb0b5dcbfjhzf" Type="http://schemas.openxmlformats.org/officeDocument/2006/relationships/hyperlink" Target="https://www.osiptel.gob.pe/" TargetMode="External"/><Relationship Id="rIdjrqbowbcuuwunvkbub-8-" Type="http://schemas.openxmlformats.org/officeDocument/2006/relationships/hyperlink" Target="https://www.investinperu.pe/" TargetMode="External"/><Relationship Id="rIdx9yvidyvuouejnwe8k97r" Type="http://schemas.openxmlformats.org/officeDocument/2006/relationships/hyperlink" Target="https://www.gob.pe/"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2026-05-14T17:27:32.582Z</dcterms:created>
  <dcterms:modified xsi:type="dcterms:W3CDTF">2026-05-14T17:27:32.582Z</dcterms:modified>
</cp:coreProperties>
</file>

<file path=docProps/custom.xml><?xml version="1.0" encoding="utf-8"?>
<Properties xmlns="http://schemas.openxmlformats.org/officeDocument/2006/custom-properties" xmlns:vt="http://schemas.openxmlformats.org/officeDocument/2006/docPropsVTypes"/>
</file>