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62579" w14:textId="77777777" w:rsidR="000B6805" w:rsidRDefault="00000000">
      <w:pPr>
        <w:pStyle w:val="Heading1"/>
      </w:pPr>
      <w:r>
        <w:t xml:space="preserve">README for the Reproducibility Package for </w:t>
      </w:r>
    </w:p>
    <w:p w14:paraId="12A3219C" w14:textId="09A0DC0A" w:rsidR="007725EB" w:rsidRDefault="00000000">
      <w:pPr>
        <w:pStyle w:val="Heading1"/>
      </w:pPr>
      <w:r>
        <w:t>Public Institutions Global Observatory: Annual Review 2025</w:t>
      </w:r>
    </w:p>
    <w:p w14:paraId="174D211C" w14:textId="77777777" w:rsidR="007725EB" w:rsidRDefault="007725EB"/>
    <w:p w14:paraId="04FBF4EF" w14:textId="77777777" w:rsidR="007725EB" w:rsidRDefault="00000000">
      <w:pPr>
        <w:pStyle w:val="Heading2"/>
      </w:pPr>
      <w:r>
        <w:t>Overview</w:t>
      </w:r>
    </w:p>
    <w:p w14:paraId="50F02C6C" w14:textId="77777777" w:rsidR="007725EB" w:rsidRDefault="00000000">
      <w:r>
        <w:t>This reproducibility package recreates all analyses featured in the Public Institutions Global Observatory (PIGO) Annual Review 2025, produced by the EGVPI. It bundles every data transformation, customed functions and plotting scripts needed to replicate the report’s findings. Chapter 1 workflows examine global and regional patterns in institutional capacity, while Chapter 2 delivers a more granular, cluster-level analysis of operational engagements and evidence on institutional capacity.</w:t>
      </w:r>
    </w:p>
    <w:p w14:paraId="28E4FC89" w14:textId="77777777" w:rsidR="007725EB" w:rsidRDefault="007725EB"/>
    <w:p w14:paraId="73B8CA51" w14:textId="77777777" w:rsidR="007725EB" w:rsidRDefault="00000000">
      <w:pPr>
        <w:pStyle w:val="Heading2"/>
      </w:pPr>
      <w:r>
        <w:t>Data Availability</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63"/>
        <w:gridCol w:w="2425"/>
        <w:gridCol w:w="4146"/>
        <w:gridCol w:w="595"/>
        <w:gridCol w:w="887"/>
      </w:tblGrid>
      <w:tr w:rsidR="007725EB" w14:paraId="0F704B1A" w14:textId="77777777">
        <w:tblPrEx>
          <w:tblCellMar>
            <w:top w:w="0" w:type="dxa"/>
            <w:bottom w:w="0" w:type="dxa"/>
          </w:tblCellMar>
        </w:tblPrEx>
        <w:tc>
          <w:tcPr>
            <w:tcW w:w="0" w:type="auto"/>
          </w:tcPr>
          <w:p w14:paraId="13366842" w14:textId="77777777" w:rsidR="007725EB" w:rsidRDefault="00000000">
            <w:r>
              <w:t>Source</w:t>
            </w:r>
          </w:p>
        </w:tc>
        <w:tc>
          <w:tcPr>
            <w:tcW w:w="0" w:type="auto"/>
          </w:tcPr>
          <w:p w14:paraId="294A75EF" w14:textId="77777777" w:rsidR="007725EB" w:rsidRDefault="00000000">
            <w:r>
              <w:t>Dataset</w:t>
            </w:r>
          </w:p>
        </w:tc>
        <w:tc>
          <w:tcPr>
            <w:tcW w:w="0" w:type="auto"/>
          </w:tcPr>
          <w:p w14:paraId="289B1004" w14:textId="77777777" w:rsidR="007725EB" w:rsidRDefault="00000000">
            <w:r>
              <w:t>Link</w:t>
            </w:r>
          </w:p>
        </w:tc>
        <w:tc>
          <w:tcPr>
            <w:tcW w:w="0" w:type="auto"/>
          </w:tcPr>
          <w:p w14:paraId="5FC23A26" w14:textId="77777777" w:rsidR="007725EB" w:rsidRDefault="00000000">
            <w:r>
              <w:t>Year</w:t>
            </w:r>
          </w:p>
        </w:tc>
        <w:tc>
          <w:tcPr>
            <w:tcW w:w="0" w:type="auto"/>
          </w:tcPr>
          <w:p w14:paraId="393DB5B2" w14:textId="77777777" w:rsidR="007725EB" w:rsidRDefault="00000000">
            <w:r>
              <w:t>Access</w:t>
            </w:r>
          </w:p>
        </w:tc>
      </w:tr>
      <w:tr w:rsidR="007725EB" w14:paraId="6DCEBB33" w14:textId="77777777">
        <w:tblPrEx>
          <w:tblCellMar>
            <w:top w:w="0" w:type="dxa"/>
            <w:bottom w:w="0" w:type="dxa"/>
          </w:tblCellMar>
        </w:tblPrEx>
        <w:tc>
          <w:tcPr>
            <w:tcW w:w="0" w:type="auto"/>
          </w:tcPr>
          <w:p w14:paraId="61FDEB53" w14:textId="77777777" w:rsidR="007725EB" w:rsidRDefault="00000000">
            <w:r>
              <w:t>CLIAR Dashboard</w:t>
            </w:r>
          </w:p>
        </w:tc>
        <w:tc>
          <w:tcPr>
            <w:tcW w:w="0" w:type="auto"/>
          </w:tcPr>
          <w:p w14:paraId="6539C8E9" w14:textId="77777777" w:rsidR="007725EB" w:rsidRDefault="00000000">
            <w:proofErr w:type="spellStart"/>
            <w:r>
              <w:t>cliar</w:t>
            </w:r>
            <w:proofErr w:type="spellEnd"/>
            <w:r>
              <w:t>\db_variables.xlsx</w:t>
            </w:r>
          </w:p>
        </w:tc>
        <w:tc>
          <w:tcPr>
            <w:tcW w:w="0" w:type="auto"/>
          </w:tcPr>
          <w:p w14:paraId="74DD72D9" w14:textId="77777777" w:rsidR="007725EB" w:rsidRDefault="00000000">
            <w:r>
              <w:t>https://w0lxdrconn01.worldbank.org/CLIAR/ This is a codebook, team's curation of data sources</w:t>
            </w:r>
          </w:p>
        </w:tc>
        <w:tc>
          <w:tcPr>
            <w:tcW w:w="0" w:type="auto"/>
          </w:tcPr>
          <w:p w14:paraId="6E8BF7B9" w14:textId="77777777" w:rsidR="007725EB" w:rsidRDefault="00000000">
            <w:r>
              <w:t>May 2025</w:t>
            </w:r>
          </w:p>
        </w:tc>
        <w:tc>
          <w:tcPr>
            <w:tcW w:w="0" w:type="auto"/>
          </w:tcPr>
          <w:p w14:paraId="0AAB6F05" w14:textId="77777777" w:rsidR="007725EB" w:rsidRDefault="00000000">
            <w:r>
              <w:t>Accessible</w:t>
            </w:r>
          </w:p>
        </w:tc>
      </w:tr>
      <w:tr w:rsidR="007725EB" w14:paraId="145AED73" w14:textId="77777777">
        <w:tblPrEx>
          <w:tblCellMar>
            <w:top w:w="0" w:type="dxa"/>
            <w:bottom w:w="0" w:type="dxa"/>
          </w:tblCellMar>
        </w:tblPrEx>
        <w:tc>
          <w:tcPr>
            <w:tcW w:w="0" w:type="auto"/>
          </w:tcPr>
          <w:p w14:paraId="2EF0900F" w14:textId="77777777" w:rsidR="007725EB" w:rsidRDefault="00000000">
            <w:r>
              <w:t>CLIAR Dashboard</w:t>
            </w:r>
          </w:p>
        </w:tc>
        <w:tc>
          <w:tcPr>
            <w:tcW w:w="0" w:type="auto"/>
          </w:tcPr>
          <w:p w14:paraId="5DD36517" w14:textId="77777777" w:rsidR="007725EB" w:rsidRDefault="00000000">
            <w:proofErr w:type="spellStart"/>
            <w:r>
              <w:t>cliar</w:t>
            </w:r>
            <w:proofErr w:type="spellEnd"/>
            <w:r>
              <w:t>\dynamic_ctf_032525.dta</w:t>
            </w:r>
          </w:p>
        </w:tc>
        <w:tc>
          <w:tcPr>
            <w:tcW w:w="0" w:type="auto"/>
          </w:tcPr>
          <w:p w14:paraId="11DA14CD" w14:textId="77777777" w:rsidR="007725EB" w:rsidRDefault="00000000">
            <w:r>
              <w:t xml:space="preserve">https://w0lxdrconn01.worldbank.org/CLIAR/ </w:t>
            </w:r>
          </w:p>
        </w:tc>
        <w:tc>
          <w:tcPr>
            <w:tcW w:w="0" w:type="auto"/>
          </w:tcPr>
          <w:p w14:paraId="765CB018" w14:textId="77777777" w:rsidR="007725EB" w:rsidRDefault="00000000">
            <w:r>
              <w:t>March 2025</w:t>
            </w:r>
          </w:p>
        </w:tc>
        <w:tc>
          <w:tcPr>
            <w:tcW w:w="0" w:type="auto"/>
          </w:tcPr>
          <w:p w14:paraId="5CDC8EB0" w14:textId="77777777" w:rsidR="007725EB" w:rsidRDefault="00000000">
            <w:r>
              <w:t>Limited</w:t>
            </w:r>
          </w:p>
        </w:tc>
      </w:tr>
      <w:tr w:rsidR="007725EB" w14:paraId="5F4B900C" w14:textId="77777777">
        <w:tblPrEx>
          <w:tblCellMar>
            <w:top w:w="0" w:type="dxa"/>
            <w:bottom w:w="0" w:type="dxa"/>
          </w:tblCellMar>
        </w:tblPrEx>
        <w:tc>
          <w:tcPr>
            <w:tcW w:w="0" w:type="auto"/>
          </w:tcPr>
          <w:p w14:paraId="7F5423C0" w14:textId="77777777" w:rsidR="007725EB" w:rsidRDefault="00000000">
            <w:r>
              <w:t>-</w:t>
            </w:r>
          </w:p>
        </w:tc>
        <w:tc>
          <w:tcPr>
            <w:tcW w:w="0" w:type="auto"/>
          </w:tcPr>
          <w:p w14:paraId="59EC67D2" w14:textId="77777777" w:rsidR="007725EB" w:rsidRDefault="00000000">
            <w:r>
              <w:t>-</w:t>
            </w:r>
          </w:p>
        </w:tc>
        <w:tc>
          <w:tcPr>
            <w:tcW w:w="0" w:type="auto"/>
          </w:tcPr>
          <w:p w14:paraId="5D57D2DB" w14:textId="77777777" w:rsidR="007725EB" w:rsidRDefault="00000000">
            <w:r>
              <w:t>-</w:t>
            </w:r>
          </w:p>
        </w:tc>
        <w:tc>
          <w:tcPr>
            <w:tcW w:w="0" w:type="auto"/>
          </w:tcPr>
          <w:p w14:paraId="0D410729" w14:textId="77777777" w:rsidR="007725EB" w:rsidRDefault="00000000">
            <w:r>
              <w:t>-</w:t>
            </w:r>
          </w:p>
        </w:tc>
        <w:tc>
          <w:tcPr>
            <w:tcW w:w="0" w:type="auto"/>
          </w:tcPr>
          <w:p w14:paraId="12BC5D14" w14:textId="77777777" w:rsidR="007725EB" w:rsidRDefault="00000000">
            <w:r>
              <w:t>Limited</w:t>
            </w:r>
          </w:p>
        </w:tc>
      </w:tr>
    </w:tbl>
    <w:p w14:paraId="70E1F6A5" w14:textId="77777777" w:rsidR="007725EB" w:rsidRDefault="007725EB"/>
    <w:p w14:paraId="27C0136D" w14:textId="77777777" w:rsidR="007725EB" w:rsidRDefault="00000000">
      <w:pPr>
        <w:pStyle w:val="Heading2"/>
      </w:pPr>
      <w:r>
        <w:t>Statement about Rights</w:t>
      </w:r>
    </w:p>
    <w:p w14:paraId="0EB5FD44" w14:textId="77777777" w:rsidR="007725EB" w:rsidRDefault="00000000">
      <w:r>
        <w:t>I certify that the author(s) of the manuscript have legitimate access to and permission to use the data used in this manuscript.</w:t>
      </w:r>
    </w:p>
    <w:p w14:paraId="76C1C3CF" w14:textId="77777777" w:rsidR="007725EB" w:rsidRDefault="00000000">
      <w:r>
        <w:t>I certify that the author(s) of the manuscript have documented permission to redistribute/publish the data contained within this replication package. Appropriate permissions are documented in the LICENSE.txt file.</w:t>
      </w:r>
    </w:p>
    <w:p w14:paraId="0281DF8D" w14:textId="77777777" w:rsidR="007725EB" w:rsidRDefault="007725EB"/>
    <w:p w14:paraId="4B69E7BC" w14:textId="77777777" w:rsidR="007725EB" w:rsidRDefault="00000000">
      <w:pPr>
        <w:pStyle w:val="Heading2"/>
      </w:pPr>
      <w:r>
        <w:t>Instructions for Replicators</w:t>
      </w:r>
    </w:p>
    <w:p w14:paraId="38EBE407" w14:textId="77777777" w:rsidR="007725EB" w:rsidRDefault="00000000">
      <w:r>
        <w:t xml:space="preserve">As stated in the </w:t>
      </w:r>
      <w:proofErr w:type="spellStart"/>
      <w:r>
        <w:t>README.Rmd</w:t>
      </w:r>
      <w:proofErr w:type="spellEnd"/>
      <w:r>
        <w:t xml:space="preserve"> of the project, there are two stages to reproduce the results of this workflow. Following ones: This package’s workflow is organized into two sequential phases:</w:t>
      </w:r>
    </w:p>
    <w:p w14:paraId="4C97AB05" w14:textId="77777777" w:rsidR="007725EB" w:rsidRDefault="00000000">
      <w:r>
        <w:t>1. Restoring Dependencies</w:t>
      </w:r>
    </w:p>
    <w:p w14:paraId="7188CDC8" w14:textId="77777777" w:rsidR="007725EB" w:rsidRDefault="00000000">
      <w:r>
        <w:t xml:space="preserve">Before you run any scripts, make sure you’re using the exact package versions recorded in </w:t>
      </w:r>
      <w:proofErr w:type="spellStart"/>
      <w:proofErr w:type="gramStart"/>
      <w:r>
        <w:t>renv.lock</w:t>
      </w:r>
      <w:proofErr w:type="spellEnd"/>
      <w:proofErr w:type="gramEnd"/>
      <w:r>
        <w:t xml:space="preserve">. In RStudio, open </w:t>
      </w:r>
      <w:proofErr w:type="spellStart"/>
      <w:proofErr w:type="gramStart"/>
      <w:r>
        <w:t>pigographs.Rproj</w:t>
      </w:r>
      <w:proofErr w:type="spellEnd"/>
      <w:proofErr w:type="gramEnd"/>
      <w:r>
        <w:t xml:space="preserve"> and execute </w:t>
      </w:r>
      <w:proofErr w:type="spellStart"/>
      <w:proofErr w:type="gramStart"/>
      <w:r>
        <w:t>renv</w:t>
      </w:r>
      <w:proofErr w:type="spellEnd"/>
      <w:r>
        <w:t>::restore(</w:t>
      </w:r>
      <w:proofErr w:type="gramEnd"/>
      <w:r>
        <w:t>).</w:t>
      </w:r>
    </w:p>
    <w:p w14:paraId="284B723C" w14:textId="77777777" w:rsidR="007725EB" w:rsidRDefault="00000000">
      <w:r>
        <w:t>2. Running the Full Workflow</w:t>
      </w:r>
    </w:p>
    <w:p w14:paraId="716A35F2" w14:textId="77777777" w:rsidR="007725EB" w:rsidRDefault="00000000">
      <w:r>
        <w:t xml:space="preserve">To run it, just run the chink section mentioned in the </w:t>
      </w:r>
      <w:proofErr w:type="spellStart"/>
      <w:r>
        <w:t>README.Rmd</w:t>
      </w:r>
      <w:proofErr w:type="spellEnd"/>
      <w:r>
        <w:t>. The package’s workflow is organized into two sequential phases:</w:t>
      </w:r>
    </w:p>
    <w:p w14:paraId="12A47011" w14:textId="77777777" w:rsidR="007725EB" w:rsidRDefault="00000000">
      <w:r>
        <w:t>Data Transformation</w:t>
      </w:r>
    </w:p>
    <w:p w14:paraId="496BE60F" w14:textId="77777777" w:rsidR="007725EB" w:rsidRDefault="00000000">
      <w:r>
        <w:t>Confirm that you have the input/ folder provided by the EGVPI team.</w:t>
      </w:r>
    </w:p>
    <w:p w14:paraId="4B65BBE5" w14:textId="77777777" w:rsidR="007725EB" w:rsidRDefault="00000000">
      <w:r>
        <w:t>Source every raw-data preprocessing script in data-raw/source/.</w:t>
      </w:r>
    </w:p>
    <w:p w14:paraId="18E60FFE" w14:textId="77777777" w:rsidR="007725EB" w:rsidRDefault="00000000">
      <w:r>
        <w:t>Data Analysis &amp; Visualization</w:t>
      </w:r>
    </w:p>
    <w:p w14:paraId="4D0047E8" w14:textId="77777777" w:rsidR="007725EB" w:rsidRDefault="00000000">
      <w:r>
        <w:t>Source all analysis and plotting scripts in analysis/. Verify that each plot in the figures folder reproduces exactly as in the PIGO Annual Review.</w:t>
      </w:r>
    </w:p>
    <w:p w14:paraId="1ED377CF" w14:textId="77777777" w:rsidR="007725EB" w:rsidRDefault="007725EB"/>
    <w:p w14:paraId="31A80296" w14:textId="77777777" w:rsidR="007725EB" w:rsidRDefault="00000000">
      <w:pPr>
        <w:pStyle w:val="Heading2"/>
      </w:pPr>
      <w:r>
        <w:t>Software Requirements</w:t>
      </w:r>
    </w:p>
    <w:p w14:paraId="15780BC9" w14:textId="77777777" w:rsidR="007725EB" w:rsidRDefault="00000000">
      <w:r>
        <w:t>R: Version 4.3 or higher</w:t>
      </w:r>
    </w:p>
    <w:p w14:paraId="3968E8F3" w14:textId="77777777" w:rsidR="007725EB" w:rsidRDefault="00000000">
      <w:r>
        <w:t xml:space="preserve">Dependency Management: </w:t>
      </w:r>
      <w:proofErr w:type="spellStart"/>
      <w:r>
        <w:t>renv</w:t>
      </w:r>
      <w:proofErr w:type="spellEnd"/>
      <w:r>
        <w:t xml:space="preserve"> for managing package dependencies</w:t>
      </w:r>
    </w:p>
    <w:p w14:paraId="08BD7E55" w14:textId="77777777" w:rsidR="007725EB" w:rsidRDefault="00000000">
      <w:r>
        <w:t xml:space="preserve">Development Tools: </w:t>
      </w:r>
      <w:proofErr w:type="spellStart"/>
      <w:r>
        <w:t>devtools</w:t>
      </w:r>
      <w:proofErr w:type="spellEnd"/>
      <w:r>
        <w:t xml:space="preserve"> for package loading</w:t>
      </w:r>
    </w:p>
    <w:p w14:paraId="68A4445D" w14:textId="77777777" w:rsidR="007725EB" w:rsidRDefault="007725EB"/>
    <w:p w14:paraId="00DF9A8D" w14:textId="77777777" w:rsidR="007725EB" w:rsidRDefault="00000000">
      <w:pPr>
        <w:pStyle w:val="Heading2"/>
      </w:pPr>
      <w:r>
        <w:t>Memory, Runtime, and Storage Requirements</w:t>
      </w:r>
    </w:p>
    <w:p w14:paraId="1D38C2E1" w14:textId="77777777" w:rsidR="007725EB" w:rsidRDefault="00000000">
      <w:r>
        <w:t>Memory: No minimum required, but 16 GB is recommended for optimal performance.</w:t>
      </w:r>
    </w:p>
    <w:p w14:paraId="2598F94C" w14:textId="77777777" w:rsidR="007725EB" w:rsidRDefault="00000000">
      <w:r>
        <w:t>Run Time: ~3 minutes on recommended hardware.</w:t>
      </w:r>
    </w:p>
    <w:p w14:paraId="78A0A97E" w14:textId="49479145" w:rsidR="000B6805" w:rsidRDefault="000B6805">
      <w:r>
        <w:br w:type="page"/>
      </w:r>
    </w:p>
    <w:p w14:paraId="599CE552" w14:textId="77777777" w:rsidR="007725EB" w:rsidRDefault="007725EB"/>
    <w:p w14:paraId="469336E7" w14:textId="77777777" w:rsidR="007725EB" w:rsidRDefault="00000000">
      <w:pPr>
        <w:pStyle w:val="Heading2"/>
      </w:pPr>
      <w:r>
        <w:t>Folder Structure</w:t>
      </w:r>
    </w:p>
    <w:p w14:paraId="18AE2259" w14:textId="77777777" w:rsidR="007725EB" w:rsidRDefault="00000000">
      <w:r>
        <w:t>The repository is organized as follows:</w:t>
      </w:r>
    </w:p>
    <w:p w14:paraId="6B686F6B" w14:textId="77777777" w:rsidR="007725EB" w:rsidRDefault="00000000">
      <w:r>
        <w:t>├── data-raw</w:t>
      </w:r>
    </w:p>
    <w:p w14:paraId="208759D4" w14:textId="1B09D53A" w:rsidR="007725EB" w:rsidRDefault="00000000">
      <w:r>
        <w:t xml:space="preserve">│   ├── source                  </w:t>
      </w:r>
      <w:r w:rsidR="000B6805">
        <w:tab/>
      </w:r>
      <w:r>
        <w:t># Scripts for transforming raw data</w:t>
      </w:r>
    </w:p>
    <w:p w14:paraId="038DDA88" w14:textId="258C8653" w:rsidR="007725EB" w:rsidRDefault="00000000">
      <w:r>
        <w:t xml:space="preserve">│   ├── input                   </w:t>
      </w:r>
      <w:r w:rsidR="000B6805">
        <w:tab/>
      </w:r>
      <w:r w:rsidR="000B6805">
        <w:tab/>
      </w:r>
      <w:r>
        <w:t># Raw data files (provided by the EGVPI Team)</w:t>
      </w:r>
    </w:p>
    <w:p w14:paraId="740555F1" w14:textId="25BB036F" w:rsidR="007725EB" w:rsidRDefault="00000000">
      <w:r>
        <w:t xml:space="preserve">│   └── output                 </w:t>
      </w:r>
      <w:r w:rsidR="000B6805">
        <w:tab/>
      </w:r>
      <w:r w:rsidR="000B6805">
        <w:tab/>
      </w:r>
      <w:r>
        <w:t># Transformed data for ad-hoc analysis</w:t>
      </w:r>
    </w:p>
    <w:p w14:paraId="0BBEE3C8" w14:textId="126F2BA5" w:rsidR="007725EB" w:rsidRDefault="00000000">
      <w:r>
        <w:t xml:space="preserve">├── analysis                   </w:t>
      </w:r>
      <w:r w:rsidR="000B6805">
        <w:tab/>
      </w:r>
      <w:r w:rsidR="000B6805">
        <w:tab/>
      </w:r>
      <w:r>
        <w:t># Scripts for data analysis and plotting</w:t>
      </w:r>
    </w:p>
    <w:p w14:paraId="3535326B" w14:textId="3F260335" w:rsidR="007725EB" w:rsidRDefault="00000000">
      <w:r>
        <w:t xml:space="preserve">├── R                           </w:t>
      </w:r>
      <w:r w:rsidR="000B6805">
        <w:tab/>
      </w:r>
      <w:r w:rsidR="000B6805">
        <w:tab/>
      </w:r>
      <w:r>
        <w:t># Package functions</w:t>
      </w:r>
    </w:p>
    <w:p w14:paraId="54DC06A4" w14:textId="5D62E5FD" w:rsidR="007725EB" w:rsidRDefault="00000000">
      <w:r>
        <w:t xml:space="preserve">├── documentation              </w:t>
      </w:r>
      <w:r w:rsidR="000B6805">
        <w:tab/>
      </w:r>
      <w:r>
        <w:t># Documentation for reproducibility (e.g., DAS)</w:t>
      </w:r>
    </w:p>
    <w:p w14:paraId="17F79E44" w14:textId="7770E165" w:rsidR="007725EB" w:rsidRDefault="00000000">
      <w:r>
        <w:t xml:space="preserve">├── data                        </w:t>
      </w:r>
      <w:r w:rsidR="000B6805">
        <w:tab/>
      </w:r>
      <w:r w:rsidR="000B6805">
        <w:tab/>
      </w:r>
      <w:r>
        <w:t xml:space="preserve"># Transformed data frames available for </w:t>
      </w:r>
      <w:proofErr w:type="gramStart"/>
      <w:r>
        <w:t>lazy-loading</w:t>
      </w:r>
      <w:proofErr w:type="gramEnd"/>
    </w:p>
    <w:p w14:paraId="117F64A2" w14:textId="1B908434" w:rsidR="007725EB" w:rsidRDefault="00000000">
      <w:r>
        <w:t xml:space="preserve">├── figures                     </w:t>
      </w:r>
      <w:r w:rsidR="000B6805">
        <w:tab/>
      </w:r>
      <w:r w:rsidR="000B6805">
        <w:tab/>
      </w:r>
      <w:r>
        <w:t># Final outputs (e.g., plots) for verification</w:t>
      </w:r>
    </w:p>
    <w:p w14:paraId="5F444ABB" w14:textId="4FEF9D84" w:rsidR="007725EB" w:rsidRDefault="00000000">
      <w:r>
        <w:t xml:space="preserve">├── </w:t>
      </w:r>
      <w:proofErr w:type="spellStart"/>
      <w:r>
        <w:t>renv</w:t>
      </w:r>
      <w:proofErr w:type="spellEnd"/>
      <w:r>
        <w:t xml:space="preserve">                        </w:t>
      </w:r>
      <w:r w:rsidR="000B6805">
        <w:tab/>
      </w:r>
      <w:r w:rsidR="000B6805">
        <w:tab/>
      </w:r>
      <w:r>
        <w:t># Dependency management directory</w:t>
      </w:r>
    </w:p>
    <w:p w14:paraId="59F3C465" w14:textId="367AAF83" w:rsidR="007725EB" w:rsidRDefault="00000000">
      <w:r>
        <w:t xml:space="preserve">├── </w:t>
      </w:r>
      <w:proofErr w:type="spellStart"/>
      <w:r>
        <w:t>README.Rmd</w:t>
      </w:r>
      <w:proofErr w:type="spellEnd"/>
      <w:r>
        <w:t xml:space="preserve">                  </w:t>
      </w:r>
      <w:r w:rsidR="000B6805">
        <w:tab/>
      </w:r>
      <w:r>
        <w:t># This file (knit to reproduce the analysis)</w:t>
      </w:r>
    </w:p>
    <w:p w14:paraId="77C23612" w14:textId="1BAC1746" w:rsidR="007725EB" w:rsidRDefault="00000000">
      <w:r>
        <w:t xml:space="preserve">└── </w:t>
      </w:r>
      <w:proofErr w:type="spellStart"/>
      <w:proofErr w:type="gramStart"/>
      <w:r>
        <w:t>pigographs.Rproj</w:t>
      </w:r>
      <w:proofErr w:type="spellEnd"/>
      <w:proofErr w:type="gramEnd"/>
      <w:r>
        <w:t xml:space="preserve">            </w:t>
      </w:r>
      <w:r w:rsidR="000B6805">
        <w:tab/>
      </w:r>
      <w:r>
        <w:t># RStudio project file</w:t>
      </w:r>
    </w:p>
    <w:p w14:paraId="70A15981" w14:textId="77777777" w:rsidR="007725EB" w:rsidRDefault="007725EB"/>
    <w:p w14:paraId="655D0021" w14:textId="77777777" w:rsidR="001B3086" w:rsidRDefault="001B3086">
      <w:pPr>
        <w:sectPr w:rsidR="001B3086">
          <w:pgSz w:w="11906" w:h="16838"/>
          <w:pgMar w:top="1440" w:right="1440" w:bottom="1440" w:left="1440" w:header="708" w:footer="708" w:gutter="0"/>
          <w:cols w:space="720"/>
          <w:docGrid w:linePitch="360"/>
        </w:sectPr>
      </w:pPr>
      <w:r>
        <w:br w:type="page"/>
      </w:r>
    </w:p>
    <w:p w14:paraId="2E8BDE33" w14:textId="77777777" w:rsidR="001B3086" w:rsidRDefault="001B3086"/>
    <w:p w14:paraId="4324729A" w14:textId="1E6040D5" w:rsidR="001B3086" w:rsidRDefault="001B3086" w:rsidP="001B3086">
      <w:pPr>
        <w:pStyle w:val="Heading2"/>
      </w:pPr>
      <w:r>
        <w:t>List of Exhibits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5"/>
        <w:gridCol w:w="2790"/>
        <w:gridCol w:w="2795"/>
        <w:gridCol w:w="4408"/>
      </w:tblGrid>
      <w:tr w:rsidR="001B3086" w:rsidRPr="001B3086" w14:paraId="36F3FF4C" w14:textId="77777777" w:rsidTr="001B3086">
        <w:trPr>
          <w:trHeight w:val="300"/>
        </w:trPr>
        <w:tc>
          <w:tcPr>
            <w:tcW w:w="1418" w:type="pct"/>
            <w:shd w:val="clear" w:color="auto" w:fill="auto"/>
            <w:noWrap/>
            <w:vAlign w:val="bottom"/>
            <w:hideMark/>
          </w:tcPr>
          <w:p w14:paraId="7F0E3814" w14:textId="77777777" w:rsidR="001B3086" w:rsidRPr="001B3086" w:rsidRDefault="001B3086" w:rsidP="001B3086">
            <w:pPr>
              <w:rPr>
                <w:rFonts w:ascii="Aptos Narrow" w:hAnsi="Aptos Narrow"/>
                <w:b/>
                <w:bCs/>
                <w:color w:val="000000"/>
                <w:sz w:val="22"/>
                <w:szCs w:val="22"/>
              </w:rPr>
            </w:pPr>
            <w:r w:rsidRPr="001B3086">
              <w:rPr>
                <w:rFonts w:ascii="Aptos Narrow" w:hAnsi="Aptos Narrow"/>
                <w:b/>
                <w:bCs/>
                <w:color w:val="000000"/>
                <w:sz w:val="22"/>
                <w:szCs w:val="22"/>
              </w:rPr>
              <w:t xml:space="preserve">Exhibit name </w:t>
            </w:r>
          </w:p>
        </w:tc>
        <w:tc>
          <w:tcPr>
            <w:tcW w:w="1000" w:type="pct"/>
            <w:shd w:val="clear" w:color="auto" w:fill="auto"/>
            <w:noWrap/>
            <w:vAlign w:val="bottom"/>
            <w:hideMark/>
          </w:tcPr>
          <w:p w14:paraId="5F8A591D" w14:textId="77777777" w:rsidR="001B3086" w:rsidRPr="001B3086" w:rsidRDefault="001B3086" w:rsidP="001B3086">
            <w:pPr>
              <w:rPr>
                <w:rFonts w:ascii="Aptos Narrow" w:hAnsi="Aptos Narrow"/>
                <w:b/>
                <w:bCs/>
                <w:color w:val="000000"/>
                <w:sz w:val="22"/>
                <w:szCs w:val="22"/>
              </w:rPr>
            </w:pPr>
            <w:r w:rsidRPr="001B3086">
              <w:rPr>
                <w:rFonts w:ascii="Aptos Narrow" w:hAnsi="Aptos Narrow"/>
                <w:b/>
                <w:bCs/>
                <w:color w:val="000000"/>
                <w:sz w:val="22"/>
                <w:szCs w:val="22"/>
              </w:rPr>
              <w:t>Output filename</w:t>
            </w:r>
          </w:p>
        </w:tc>
        <w:tc>
          <w:tcPr>
            <w:tcW w:w="1002" w:type="pct"/>
            <w:shd w:val="clear" w:color="auto" w:fill="auto"/>
            <w:noWrap/>
            <w:vAlign w:val="bottom"/>
            <w:hideMark/>
          </w:tcPr>
          <w:p w14:paraId="5989A57E" w14:textId="77777777" w:rsidR="001B3086" w:rsidRPr="001B3086" w:rsidRDefault="001B3086" w:rsidP="001B3086">
            <w:pPr>
              <w:rPr>
                <w:rFonts w:ascii="Aptos Narrow" w:hAnsi="Aptos Narrow"/>
                <w:b/>
                <w:bCs/>
                <w:color w:val="000000"/>
                <w:sz w:val="22"/>
                <w:szCs w:val="22"/>
              </w:rPr>
            </w:pPr>
            <w:r w:rsidRPr="001B3086">
              <w:rPr>
                <w:rFonts w:ascii="Aptos Narrow" w:hAnsi="Aptos Narrow"/>
                <w:b/>
                <w:bCs/>
                <w:color w:val="000000"/>
                <w:sz w:val="22"/>
                <w:szCs w:val="22"/>
              </w:rPr>
              <w:t>Script</w:t>
            </w:r>
          </w:p>
        </w:tc>
        <w:tc>
          <w:tcPr>
            <w:tcW w:w="1580" w:type="pct"/>
            <w:shd w:val="clear" w:color="auto" w:fill="auto"/>
            <w:noWrap/>
            <w:vAlign w:val="bottom"/>
            <w:hideMark/>
          </w:tcPr>
          <w:p w14:paraId="109ECB90" w14:textId="77777777" w:rsidR="001B3086" w:rsidRPr="001B3086" w:rsidRDefault="001B3086" w:rsidP="001B3086">
            <w:pPr>
              <w:rPr>
                <w:rFonts w:ascii="Aptos Narrow" w:hAnsi="Aptos Narrow"/>
                <w:b/>
                <w:bCs/>
                <w:color w:val="000000"/>
                <w:sz w:val="22"/>
                <w:szCs w:val="22"/>
              </w:rPr>
            </w:pPr>
            <w:r w:rsidRPr="001B3086">
              <w:rPr>
                <w:rFonts w:ascii="Aptos Narrow" w:hAnsi="Aptos Narrow"/>
                <w:b/>
                <w:bCs/>
                <w:color w:val="000000"/>
                <w:sz w:val="22"/>
                <w:szCs w:val="22"/>
              </w:rPr>
              <w:t>Note</w:t>
            </w:r>
          </w:p>
        </w:tc>
      </w:tr>
      <w:tr w:rsidR="001B3086" w:rsidRPr="001B3086" w14:paraId="119C735F" w14:textId="77777777" w:rsidTr="001B3086">
        <w:trPr>
          <w:trHeight w:val="300"/>
        </w:trPr>
        <w:tc>
          <w:tcPr>
            <w:tcW w:w="1418" w:type="pct"/>
            <w:shd w:val="clear" w:color="auto" w:fill="auto"/>
            <w:noWrap/>
            <w:vAlign w:val="center"/>
            <w:hideMark/>
          </w:tcPr>
          <w:p w14:paraId="4995D1FD"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Figure 1. Country-Level Institutional Assessment and Review (CLIAR) Framework</w:t>
            </w:r>
          </w:p>
        </w:tc>
        <w:tc>
          <w:tcPr>
            <w:tcW w:w="1000" w:type="pct"/>
            <w:shd w:val="clear" w:color="auto" w:fill="auto"/>
            <w:noWrap/>
            <w:vAlign w:val="bottom"/>
            <w:hideMark/>
          </w:tcPr>
          <w:p w14:paraId="13A5A669"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NA</w:t>
            </w:r>
          </w:p>
        </w:tc>
        <w:tc>
          <w:tcPr>
            <w:tcW w:w="1002" w:type="pct"/>
            <w:shd w:val="clear" w:color="auto" w:fill="auto"/>
            <w:noWrap/>
            <w:vAlign w:val="bottom"/>
            <w:hideMark/>
          </w:tcPr>
          <w:p w14:paraId="54EDD945"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NA</w:t>
            </w:r>
          </w:p>
        </w:tc>
        <w:tc>
          <w:tcPr>
            <w:tcW w:w="1580" w:type="pct"/>
            <w:shd w:val="clear" w:color="auto" w:fill="auto"/>
            <w:noWrap/>
            <w:vAlign w:val="bottom"/>
            <w:hideMark/>
          </w:tcPr>
          <w:p w14:paraId="43B4FEB6"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 xml:space="preserve">Image. Source: CLIAR </w:t>
            </w:r>
            <w:proofErr w:type="gramStart"/>
            <w:r w:rsidRPr="001B3086">
              <w:rPr>
                <w:rFonts w:ascii="Aptos Narrow" w:hAnsi="Aptos Narrow"/>
                <w:color w:val="000000"/>
                <w:sz w:val="22"/>
                <w:szCs w:val="22"/>
              </w:rPr>
              <w:t>Methodology  note</w:t>
            </w:r>
            <w:proofErr w:type="gramEnd"/>
            <w:r w:rsidRPr="001B3086">
              <w:rPr>
                <w:rFonts w:ascii="Aptos Narrow" w:hAnsi="Aptos Narrow"/>
                <w:color w:val="000000"/>
                <w:sz w:val="22"/>
                <w:szCs w:val="22"/>
              </w:rPr>
              <w:t xml:space="preserve"> (https://w0lxdrconn01.worldbank.org/CLIAR/)</w:t>
            </w:r>
          </w:p>
        </w:tc>
      </w:tr>
      <w:tr w:rsidR="001B3086" w:rsidRPr="001B3086" w14:paraId="270D0D13" w14:textId="77777777" w:rsidTr="001B3086">
        <w:trPr>
          <w:trHeight w:val="300"/>
        </w:trPr>
        <w:tc>
          <w:tcPr>
            <w:tcW w:w="1418" w:type="pct"/>
            <w:shd w:val="clear" w:color="auto" w:fill="auto"/>
            <w:noWrap/>
            <w:vAlign w:val="center"/>
            <w:hideMark/>
          </w:tcPr>
          <w:p w14:paraId="3A02C287"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Figure 2. Quality of institutions and levels of economic development are positively correlated</w:t>
            </w:r>
          </w:p>
        </w:tc>
        <w:tc>
          <w:tcPr>
            <w:tcW w:w="1000" w:type="pct"/>
            <w:shd w:val="clear" w:color="auto" w:fill="auto"/>
            <w:noWrap/>
            <w:vAlign w:val="bottom"/>
            <w:hideMark/>
          </w:tcPr>
          <w:p w14:paraId="16ED85AB"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GDPpercapitaPPPconstant2021international_main</w:t>
            </w:r>
          </w:p>
        </w:tc>
        <w:tc>
          <w:tcPr>
            <w:tcW w:w="1002" w:type="pct"/>
            <w:shd w:val="clear" w:color="auto" w:fill="auto"/>
            <w:noWrap/>
            <w:vAlign w:val="bottom"/>
            <w:hideMark/>
          </w:tcPr>
          <w:p w14:paraId="312DB5AF" w14:textId="77777777" w:rsidR="001B3086" w:rsidRPr="001B3086" w:rsidRDefault="001B3086" w:rsidP="001B3086">
            <w:pPr>
              <w:rPr>
                <w:rFonts w:ascii="Aptos Narrow" w:hAnsi="Aptos Narrow"/>
                <w:color w:val="000000"/>
                <w:sz w:val="22"/>
                <w:szCs w:val="22"/>
              </w:rPr>
            </w:pPr>
          </w:p>
        </w:tc>
        <w:tc>
          <w:tcPr>
            <w:tcW w:w="1580" w:type="pct"/>
            <w:shd w:val="clear" w:color="auto" w:fill="auto"/>
            <w:noWrap/>
            <w:vAlign w:val="bottom"/>
            <w:hideMark/>
          </w:tcPr>
          <w:p w14:paraId="419FB5C5" w14:textId="77777777" w:rsidR="001B3086" w:rsidRPr="001B3086" w:rsidRDefault="001B3086" w:rsidP="001B3086"/>
        </w:tc>
      </w:tr>
      <w:tr w:rsidR="001B3086" w:rsidRPr="001B3086" w14:paraId="1FEFE76D" w14:textId="77777777" w:rsidTr="001B3086">
        <w:trPr>
          <w:trHeight w:val="300"/>
        </w:trPr>
        <w:tc>
          <w:tcPr>
            <w:tcW w:w="1418" w:type="pct"/>
            <w:shd w:val="clear" w:color="auto" w:fill="auto"/>
            <w:noWrap/>
            <w:vAlign w:val="center"/>
            <w:hideMark/>
          </w:tcPr>
          <w:p w14:paraId="3ABB68D2"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Figure 3. Higher levels of institutional capacity are associated with lower levels of poverty</w:t>
            </w:r>
          </w:p>
        </w:tc>
        <w:tc>
          <w:tcPr>
            <w:tcW w:w="1000" w:type="pct"/>
            <w:shd w:val="clear" w:color="auto" w:fill="auto"/>
            <w:noWrap/>
            <w:vAlign w:val="bottom"/>
            <w:hideMark/>
          </w:tcPr>
          <w:p w14:paraId="42B10EBD"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Povertyheadcountratioat215aday2017PPPofpopulation_main</w:t>
            </w:r>
          </w:p>
        </w:tc>
        <w:tc>
          <w:tcPr>
            <w:tcW w:w="1002" w:type="pct"/>
            <w:shd w:val="clear" w:color="auto" w:fill="auto"/>
            <w:noWrap/>
            <w:vAlign w:val="bottom"/>
            <w:hideMark/>
          </w:tcPr>
          <w:p w14:paraId="1D8F4952" w14:textId="77777777" w:rsidR="001B3086" w:rsidRPr="001B3086" w:rsidRDefault="001B3086" w:rsidP="001B3086">
            <w:pPr>
              <w:rPr>
                <w:rFonts w:ascii="Aptos Narrow" w:hAnsi="Aptos Narrow"/>
                <w:color w:val="000000"/>
                <w:sz w:val="22"/>
                <w:szCs w:val="22"/>
              </w:rPr>
            </w:pPr>
          </w:p>
        </w:tc>
        <w:tc>
          <w:tcPr>
            <w:tcW w:w="1580" w:type="pct"/>
            <w:shd w:val="clear" w:color="auto" w:fill="auto"/>
            <w:noWrap/>
            <w:vAlign w:val="bottom"/>
            <w:hideMark/>
          </w:tcPr>
          <w:p w14:paraId="1CFC8E68" w14:textId="77777777" w:rsidR="001B3086" w:rsidRPr="001B3086" w:rsidRDefault="001B3086" w:rsidP="001B3086"/>
        </w:tc>
      </w:tr>
      <w:tr w:rsidR="001B3086" w:rsidRPr="001B3086" w14:paraId="6AC899E8" w14:textId="77777777" w:rsidTr="001B3086">
        <w:trPr>
          <w:trHeight w:val="300"/>
        </w:trPr>
        <w:tc>
          <w:tcPr>
            <w:tcW w:w="1418" w:type="pct"/>
            <w:shd w:val="clear" w:color="auto" w:fill="auto"/>
            <w:noWrap/>
            <w:vAlign w:val="center"/>
            <w:hideMark/>
          </w:tcPr>
          <w:p w14:paraId="518E0A8D"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Figure 4. Higher levels of institutional capacity are correlated with lower country risk</w:t>
            </w:r>
          </w:p>
        </w:tc>
        <w:tc>
          <w:tcPr>
            <w:tcW w:w="1000" w:type="pct"/>
            <w:shd w:val="clear" w:color="auto" w:fill="auto"/>
            <w:noWrap/>
            <w:vAlign w:val="bottom"/>
            <w:hideMark/>
          </w:tcPr>
          <w:p w14:paraId="5137A7C7" w14:textId="77777777" w:rsidR="001B3086" w:rsidRPr="001B3086" w:rsidRDefault="001B3086" w:rsidP="001B3086">
            <w:pPr>
              <w:rPr>
                <w:rFonts w:ascii="Aptos Narrow" w:hAnsi="Aptos Narrow"/>
                <w:color w:val="000000"/>
                <w:sz w:val="22"/>
                <w:szCs w:val="22"/>
              </w:rPr>
            </w:pPr>
            <w:proofErr w:type="spellStart"/>
            <w:r w:rsidRPr="001B3086">
              <w:rPr>
                <w:rFonts w:ascii="Aptos Narrow" w:hAnsi="Aptos Narrow"/>
                <w:color w:val="000000"/>
                <w:sz w:val="22"/>
                <w:szCs w:val="22"/>
              </w:rPr>
              <w:t>CountryRisk_vs_CTF_main</w:t>
            </w:r>
            <w:proofErr w:type="spellEnd"/>
          </w:p>
        </w:tc>
        <w:tc>
          <w:tcPr>
            <w:tcW w:w="1002" w:type="pct"/>
            <w:shd w:val="clear" w:color="auto" w:fill="auto"/>
            <w:noWrap/>
            <w:vAlign w:val="bottom"/>
            <w:hideMark/>
          </w:tcPr>
          <w:p w14:paraId="5F2C4DFD" w14:textId="77777777" w:rsidR="001B3086" w:rsidRPr="001B3086" w:rsidRDefault="001B3086" w:rsidP="001B3086">
            <w:pPr>
              <w:rPr>
                <w:rFonts w:ascii="Aptos Narrow" w:hAnsi="Aptos Narrow"/>
                <w:color w:val="000000"/>
                <w:sz w:val="22"/>
                <w:szCs w:val="22"/>
              </w:rPr>
            </w:pPr>
          </w:p>
        </w:tc>
        <w:tc>
          <w:tcPr>
            <w:tcW w:w="1580" w:type="pct"/>
            <w:shd w:val="clear" w:color="auto" w:fill="auto"/>
            <w:noWrap/>
            <w:vAlign w:val="bottom"/>
            <w:hideMark/>
          </w:tcPr>
          <w:p w14:paraId="41B8D4CD" w14:textId="77777777" w:rsidR="001B3086" w:rsidRPr="001B3086" w:rsidRDefault="001B3086" w:rsidP="001B3086"/>
        </w:tc>
      </w:tr>
      <w:tr w:rsidR="001B3086" w:rsidRPr="001B3086" w14:paraId="1B9708FC" w14:textId="77777777" w:rsidTr="001B3086">
        <w:trPr>
          <w:trHeight w:val="300"/>
        </w:trPr>
        <w:tc>
          <w:tcPr>
            <w:tcW w:w="1418" w:type="pct"/>
            <w:shd w:val="clear" w:color="auto" w:fill="auto"/>
            <w:noWrap/>
            <w:vAlign w:val="center"/>
            <w:hideMark/>
          </w:tcPr>
          <w:p w14:paraId="2CC54687"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Figure 5. Regional variation in the policy arena (political and social)</w:t>
            </w:r>
          </w:p>
        </w:tc>
        <w:tc>
          <w:tcPr>
            <w:tcW w:w="1000" w:type="pct"/>
            <w:shd w:val="clear" w:color="auto" w:fill="auto"/>
            <w:noWrap/>
            <w:vAlign w:val="bottom"/>
            <w:hideMark/>
          </w:tcPr>
          <w:p w14:paraId="272F7C97" w14:textId="77777777" w:rsidR="001B3086" w:rsidRPr="001B3086" w:rsidRDefault="001B3086" w:rsidP="001B3086">
            <w:pPr>
              <w:rPr>
                <w:rFonts w:ascii="Aptos Narrow" w:hAnsi="Aptos Narrow"/>
                <w:color w:val="000000"/>
                <w:sz w:val="22"/>
                <w:szCs w:val="22"/>
                <w:lang w:val="pt-BR"/>
              </w:rPr>
            </w:pPr>
            <w:r w:rsidRPr="001B3086">
              <w:rPr>
                <w:rFonts w:ascii="Aptos Narrow" w:hAnsi="Aptos Narrow"/>
                <w:color w:val="000000"/>
                <w:sz w:val="22"/>
                <w:szCs w:val="22"/>
                <w:lang w:val="pt-BR"/>
              </w:rPr>
              <w:t>05-poli-arena-regional-dumbbells.png</w:t>
            </w:r>
          </w:p>
        </w:tc>
        <w:tc>
          <w:tcPr>
            <w:tcW w:w="1002" w:type="pct"/>
            <w:shd w:val="clear" w:color="auto" w:fill="auto"/>
            <w:noWrap/>
            <w:vAlign w:val="bottom"/>
            <w:hideMark/>
          </w:tcPr>
          <w:p w14:paraId="63CB74A3" w14:textId="77777777" w:rsidR="001B3086" w:rsidRPr="001B3086" w:rsidRDefault="001B3086" w:rsidP="001B3086">
            <w:pPr>
              <w:rPr>
                <w:rFonts w:ascii="Aptos Narrow" w:hAnsi="Aptos Narrow"/>
                <w:color w:val="000000"/>
                <w:sz w:val="22"/>
                <w:szCs w:val="22"/>
                <w:lang w:val="pt-BR"/>
              </w:rPr>
            </w:pPr>
          </w:p>
        </w:tc>
        <w:tc>
          <w:tcPr>
            <w:tcW w:w="1580" w:type="pct"/>
            <w:shd w:val="clear" w:color="auto" w:fill="auto"/>
            <w:noWrap/>
            <w:vAlign w:val="bottom"/>
            <w:hideMark/>
          </w:tcPr>
          <w:p w14:paraId="0F466B82" w14:textId="77777777" w:rsidR="001B3086" w:rsidRPr="001B3086" w:rsidRDefault="001B3086" w:rsidP="001B3086">
            <w:pPr>
              <w:rPr>
                <w:lang w:val="pt-BR"/>
              </w:rPr>
            </w:pPr>
          </w:p>
        </w:tc>
      </w:tr>
      <w:tr w:rsidR="001B3086" w:rsidRPr="001B3086" w14:paraId="09715D8B" w14:textId="77777777" w:rsidTr="001B3086">
        <w:trPr>
          <w:trHeight w:val="300"/>
        </w:trPr>
        <w:tc>
          <w:tcPr>
            <w:tcW w:w="1418" w:type="pct"/>
            <w:shd w:val="clear" w:color="auto" w:fill="auto"/>
            <w:noWrap/>
            <w:vAlign w:val="center"/>
            <w:hideMark/>
          </w:tcPr>
          <w:p w14:paraId="0C406C37"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Figure 5. Regional variation in the policy arena (political and social)</w:t>
            </w:r>
          </w:p>
        </w:tc>
        <w:tc>
          <w:tcPr>
            <w:tcW w:w="1000" w:type="pct"/>
            <w:shd w:val="clear" w:color="auto" w:fill="auto"/>
            <w:noWrap/>
            <w:vAlign w:val="bottom"/>
            <w:hideMark/>
          </w:tcPr>
          <w:p w14:paraId="1E842418" w14:textId="77777777" w:rsidR="001B3086" w:rsidRPr="001B3086" w:rsidRDefault="001B3086" w:rsidP="001B3086">
            <w:pPr>
              <w:rPr>
                <w:rFonts w:ascii="Aptos Narrow" w:hAnsi="Aptos Narrow"/>
                <w:color w:val="000000"/>
                <w:sz w:val="22"/>
                <w:szCs w:val="22"/>
                <w:lang w:val="pt-BR"/>
              </w:rPr>
            </w:pPr>
            <w:r w:rsidRPr="001B3086">
              <w:rPr>
                <w:rFonts w:ascii="Aptos Narrow" w:hAnsi="Aptos Narrow"/>
                <w:color w:val="000000"/>
                <w:sz w:val="22"/>
                <w:szCs w:val="22"/>
                <w:lang w:val="pt-BR"/>
              </w:rPr>
              <w:t>05-social-arena-regional-dumbbells.png</w:t>
            </w:r>
          </w:p>
        </w:tc>
        <w:tc>
          <w:tcPr>
            <w:tcW w:w="1002" w:type="pct"/>
            <w:shd w:val="clear" w:color="auto" w:fill="auto"/>
            <w:noWrap/>
            <w:vAlign w:val="bottom"/>
            <w:hideMark/>
          </w:tcPr>
          <w:p w14:paraId="4E696357" w14:textId="77777777" w:rsidR="001B3086" w:rsidRPr="001B3086" w:rsidRDefault="001B3086" w:rsidP="001B3086">
            <w:pPr>
              <w:rPr>
                <w:rFonts w:ascii="Aptos Narrow" w:hAnsi="Aptos Narrow"/>
                <w:color w:val="000000"/>
                <w:sz w:val="22"/>
                <w:szCs w:val="22"/>
                <w:lang w:val="pt-BR"/>
              </w:rPr>
            </w:pPr>
          </w:p>
        </w:tc>
        <w:tc>
          <w:tcPr>
            <w:tcW w:w="1580" w:type="pct"/>
            <w:shd w:val="clear" w:color="auto" w:fill="auto"/>
            <w:noWrap/>
            <w:vAlign w:val="bottom"/>
            <w:hideMark/>
          </w:tcPr>
          <w:p w14:paraId="3C14EA68" w14:textId="77777777" w:rsidR="001B3086" w:rsidRPr="001B3086" w:rsidRDefault="001B3086" w:rsidP="001B3086">
            <w:pPr>
              <w:rPr>
                <w:lang w:val="pt-BR"/>
              </w:rPr>
            </w:pPr>
          </w:p>
        </w:tc>
      </w:tr>
      <w:tr w:rsidR="001B3086" w:rsidRPr="001B3086" w14:paraId="38D6DE47" w14:textId="77777777" w:rsidTr="001B3086">
        <w:trPr>
          <w:trHeight w:val="300"/>
        </w:trPr>
        <w:tc>
          <w:tcPr>
            <w:tcW w:w="1418" w:type="pct"/>
            <w:shd w:val="clear" w:color="auto" w:fill="auto"/>
            <w:noWrap/>
            <w:vAlign w:val="center"/>
            <w:hideMark/>
          </w:tcPr>
          <w:p w14:paraId="5D1E5517"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Figure 6. Regional variation in institutions at the center of government</w:t>
            </w:r>
          </w:p>
        </w:tc>
        <w:tc>
          <w:tcPr>
            <w:tcW w:w="1000" w:type="pct"/>
            <w:shd w:val="clear" w:color="auto" w:fill="auto"/>
            <w:noWrap/>
            <w:vAlign w:val="bottom"/>
            <w:hideMark/>
          </w:tcPr>
          <w:p w14:paraId="6FB34B03"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06-center-of-gov-digital-regional-dumbbells.png</w:t>
            </w:r>
          </w:p>
        </w:tc>
        <w:tc>
          <w:tcPr>
            <w:tcW w:w="1002" w:type="pct"/>
            <w:shd w:val="clear" w:color="auto" w:fill="auto"/>
            <w:noWrap/>
            <w:vAlign w:val="bottom"/>
            <w:hideMark/>
          </w:tcPr>
          <w:p w14:paraId="4C51B55D" w14:textId="77777777" w:rsidR="001B3086" w:rsidRPr="001B3086" w:rsidRDefault="001B3086" w:rsidP="001B3086">
            <w:pPr>
              <w:rPr>
                <w:rFonts w:ascii="Aptos Narrow" w:hAnsi="Aptos Narrow"/>
                <w:color w:val="000000"/>
                <w:sz w:val="22"/>
                <w:szCs w:val="22"/>
              </w:rPr>
            </w:pPr>
          </w:p>
        </w:tc>
        <w:tc>
          <w:tcPr>
            <w:tcW w:w="1580" w:type="pct"/>
            <w:shd w:val="clear" w:color="auto" w:fill="auto"/>
            <w:noWrap/>
            <w:vAlign w:val="bottom"/>
            <w:hideMark/>
          </w:tcPr>
          <w:p w14:paraId="75A7939D" w14:textId="77777777" w:rsidR="001B3086" w:rsidRPr="001B3086" w:rsidRDefault="001B3086" w:rsidP="001B3086"/>
        </w:tc>
      </w:tr>
      <w:tr w:rsidR="001B3086" w:rsidRPr="001B3086" w14:paraId="0DED5326" w14:textId="77777777" w:rsidTr="001B3086">
        <w:trPr>
          <w:trHeight w:val="300"/>
        </w:trPr>
        <w:tc>
          <w:tcPr>
            <w:tcW w:w="1418" w:type="pct"/>
            <w:shd w:val="clear" w:color="auto" w:fill="auto"/>
            <w:noWrap/>
            <w:vAlign w:val="center"/>
            <w:hideMark/>
          </w:tcPr>
          <w:p w14:paraId="261A2788"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Figure 6. Regional variation in institutions at the center of government</w:t>
            </w:r>
          </w:p>
        </w:tc>
        <w:tc>
          <w:tcPr>
            <w:tcW w:w="1000" w:type="pct"/>
            <w:shd w:val="clear" w:color="auto" w:fill="auto"/>
            <w:noWrap/>
            <w:vAlign w:val="bottom"/>
            <w:hideMark/>
          </w:tcPr>
          <w:p w14:paraId="546B48CC"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06-center-of-gov-hrm-regional-dumbbells.png</w:t>
            </w:r>
          </w:p>
        </w:tc>
        <w:tc>
          <w:tcPr>
            <w:tcW w:w="1002" w:type="pct"/>
            <w:shd w:val="clear" w:color="auto" w:fill="auto"/>
            <w:noWrap/>
            <w:vAlign w:val="bottom"/>
            <w:hideMark/>
          </w:tcPr>
          <w:p w14:paraId="32D4A362" w14:textId="77777777" w:rsidR="001B3086" w:rsidRPr="001B3086" w:rsidRDefault="001B3086" w:rsidP="001B3086">
            <w:pPr>
              <w:rPr>
                <w:rFonts w:ascii="Aptos Narrow" w:hAnsi="Aptos Narrow"/>
                <w:color w:val="000000"/>
                <w:sz w:val="22"/>
                <w:szCs w:val="22"/>
              </w:rPr>
            </w:pPr>
          </w:p>
        </w:tc>
        <w:tc>
          <w:tcPr>
            <w:tcW w:w="1580" w:type="pct"/>
            <w:shd w:val="clear" w:color="auto" w:fill="auto"/>
            <w:noWrap/>
            <w:vAlign w:val="bottom"/>
            <w:hideMark/>
          </w:tcPr>
          <w:p w14:paraId="228CC84F" w14:textId="77777777" w:rsidR="001B3086" w:rsidRPr="001B3086" w:rsidRDefault="001B3086" w:rsidP="001B3086"/>
        </w:tc>
      </w:tr>
      <w:tr w:rsidR="001B3086" w:rsidRPr="001B3086" w14:paraId="6A25737F" w14:textId="77777777" w:rsidTr="001B3086">
        <w:trPr>
          <w:trHeight w:val="300"/>
        </w:trPr>
        <w:tc>
          <w:tcPr>
            <w:tcW w:w="1418" w:type="pct"/>
            <w:shd w:val="clear" w:color="auto" w:fill="auto"/>
            <w:noWrap/>
            <w:vAlign w:val="center"/>
            <w:hideMark/>
          </w:tcPr>
          <w:p w14:paraId="649B811D"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Figure 7. Regional Variation in Degree of Integrity and Transparency and Accountability</w:t>
            </w:r>
          </w:p>
        </w:tc>
        <w:tc>
          <w:tcPr>
            <w:tcW w:w="1000" w:type="pct"/>
            <w:shd w:val="clear" w:color="auto" w:fill="auto"/>
            <w:noWrap/>
            <w:vAlign w:val="bottom"/>
            <w:hideMark/>
          </w:tcPr>
          <w:p w14:paraId="3CB52B19"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07-integrity-regional-dumbbells.png</w:t>
            </w:r>
          </w:p>
        </w:tc>
        <w:tc>
          <w:tcPr>
            <w:tcW w:w="1002" w:type="pct"/>
            <w:shd w:val="clear" w:color="auto" w:fill="auto"/>
            <w:noWrap/>
            <w:vAlign w:val="bottom"/>
            <w:hideMark/>
          </w:tcPr>
          <w:p w14:paraId="0D4337B3" w14:textId="77777777" w:rsidR="001B3086" w:rsidRPr="001B3086" w:rsidRDefault="001B3086" w:rsidP="001B3086">
            <w:pPr>
              <w:rPr>
                <w:rFonts w:ascii="Aptos Narrow" w:hAnsi="Aptos Narrow"/>
                <w:color w:val="000000"/>
                <w:sz w:val="22"/>
                <w:szCs w:val="22"/>
              </w:rPr>
            </w:pPr>
          </w:p>
        </w:tc>
        <w:tc>
          <w:tcPr>
            <w:tcW w:w="1580" w:type="pct"/>
            <w:shd w:val="clear" w:color="auto" w:fill="auto"/>
            <w:noWrap/>
            <w:vAlign w:val="bottom"/>
            <w:hideMark/>
          </w:tcPr>
          <w:p w14:paraId="66BC8ACB" w14:textId="77777777" w:rsidR="001B3086" w:rsidRPr="001B3086" w:rsidRDefault="001B3086" w:rsidP="001B3086"/>
        </w:tc>
      </w:tr>
      <w:tr w:rsidR="001B3086" w:rsidRPr="001B3086" w14:paraId="0F8970DF" w14:textId="77777777" w:rsidTr="001B3086">
        <w:trPr>
          <w:trHeight w:val="300"/>
        </w:trPr>
        <w:tc>
          <w:tcPr>
            <w:tcW w:w="1418" w:type="pct"/>
            <w:shd w:val="clear" w:color="auto" w:fill="auto"/>
            <w:noWrap/>
            <w:vAlign w:val="center"/>
            <w:hideMark/>
          </w:tcPr>
          <w:p w14:paraId="39CCC29A"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Figure 7. Regional Variation in Degree of Integrity and Transparency and Accountability</w:t>
            </w:r>
          </w:p>
        </w:tc>
        <w:tc>
          <w:tcPr>
            <w:tcW w:w="1000" w:type="pct"/>
            <w:shd w:val="clear" w:color="auto" w:fill="auto"/>
            <w:noWrap/>
            <w:vAlign w:val="bottom"/>
            <w:hideMark/>
          </w:tcPr>
          <w:p w14:paraId="7F526442"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07-transp-regional-dumbbells.png</w:t>
            </w:r>
          </w:p>
        </w:tc>
        <w:tc>
          <w:tcPr>
            <w:tcW w:w="1002" w:type="pct"/>
            <w:shd w:val="clear" w:color="auto" w:fill="auto"/>
            <w:noWrap/>
            <w:vAlign w:val="bottom"/>
            <w:hideMark/>
          </w:tcPr>
          <w:p w14:paraId="16DD41C6" w14:textId="77777777" w:rsidR="001B3086" w:rsidRPr="001B3086" w:rsidRDefault="001B3086" w:rsidP="001B3086">
            <w:pPr>
              <w:rPr>
                <w:rFonts w:ascii="Aptos Narrow" w:hAnsi="Aptos Narrow"/>
                <w:color w:val="000000"/>
                <w:sz w:val="22"/>
                <w:szCs w:val="22"/>
              </w:rPr>
            </w:pPr>
          </w:p>
        </w:tc>
        <w:tc>
          <w:tcPr>
            <w:tcW w:w="1580" w:type="pct"/>
            <w:shd w:val="clear" w:color="auto" w:fill="auto"/>
            <w:noWrap/>
            <w:vAlign w:val="bottom"/>
            <w:hideMark/>
          </w:tcPr>
          <w:p w14:paraId="4130FDE7" w14:textId="77777777" w:rsidR="001B3086" w:rsidRPr="001B3086" w:rsidRDefault="001B3086" w:rsidP="001B3086"/>
        </w:tc>
      </w:tr>
      <w:tr w:rsidR="001B3086" w:rsidRPr="001B3086" w14:paraId="7657317D" w14:textId="77777777" w:rsidTr="001B3086">
        <w:trPr>
          <w:trHeight w:val="300"/>
        </w:trPr>
        <w:tc>
          <w:tcPr>
            <w:tcW w:w="1418" w:type="pct"/>
            <w:shd w:val="clear" w:color="auto" w:fill="auto"/>
            <w:noWrap/>
            <w:vAlign w:val="center"/>
            <w:hideMark/>
          </w:tcPr>
          <w:p w14:paraId="26BBC858"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Figure 8. Regional variation in specific thematic areas: Justice and Energy and Environment</w:t>
            </w:r>
          </w:p>
        </w:tc>
        <w:tc>
          <w:tcPr>
            <w:tcW w:w="1000" w:type="pct"/>
            <w:shd w:val="clear" w:color="auto" w:fill="auto"/>
            <w:noWrap/>
            <w:vAlign w:val="bottom"/>
            <w:hideMark/>
          </w:tcPr>
          <w:p w14:paraId="0D01ADB1"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08-enviroment-regional-dumbbells.png</w:t>
            </w:r>
          </w:p>
        </w:tc>
        <w:tc>
          <w:tcPr>
            <w:tcW w:w="1002" w:type="pct"/>
            <w:shd w:val="clear" w:color="auto" w:fill="auto"/>
            <w:noWrap/>
            <w:vAlign w:val="bottom"/>
            <w:hideMark/>
          </w:tcPr>
          <w:p w14:paraId="14710AFD" w14:textId="77777777" w:rsidR="001B3086" w:rsidRPr="001B3086" w:rsidRDefault="001B3086" w:rsidP="001B3086">
            <w:pPr>
              <w:rPr>
                <w:rFonts w:ascii="Aptos Narrow" w:hAnsi="Aptos Narrow"/>
                <w:color w:val="000000"/>
                <w:sz w:val="22"/>
                <w:szCs w:val="22"/>
              </w:rPr>
            </w:pPr>
          </w:p>
        </w:tc>
        <w:tc>
          <w:tcPr>
            <w:tcW w:w="1580" w:type="pct"/>
            <w:shd w:val="clear" w:color="auto" w:fill="auto"/>
            <w:noWrap/>
            <w:vAlign w:val="bottom"/>
            <w:hideMark/>
          </w:tcPr>
          <w:p w14:paraId="4FBF3B6A" w14:textId="77777777" w:rsidR="001B3086" w:rsidRPr="001B3086" w:rsidRDefault="001B3086" w:rsidP="001B3086"/>
        </w:tc>
      </w:tr>
      <w:tr w:rsidR="001B3086" w:rsidRPr="001B3086" w14:paraId="3023F7BB" w14:textId="77777777" w:rsidTr="001B3086">
        <w:trPr>
          <w:trHeight w:val="300"/>
        </w:trPr>
        <w:tc>
          <w:tcPr>
            <w:tcW w:w="1418" w:type="pct"/>
            <w:shd w:val="clear" w:color="auto" w:fill="auto"/>
            <w:noWrap/>
            <w:vAlign w:val="center"/>
            <w:hideMark/>
          </w:tcPr>
          <w:p w14:paraId="0A127C67"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lastRenderedPageBreak/>
              <w:t>Figure 8. Regional variation in specific thematic areas: Justice and Energy and Environment</w:t>
            </w:r>
          </w:p>
        </w:tc>
        <w:tc>
          <w:tcPr>
            <w:tcW w:w="1000" w:type="pct"/>
            <w:shd w:val="clear" w:color="auto" w:fill="auto"/>
            <w:noWrap/>
            <w:vAlign w:val="bottom"/>
            <w:hideMark/>
          </w:tcPr>
          <w:p w14:paraId="023B35CB"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08-justice-regional-dumbbells.png</w:t>
            </w:r>
          </w:p>
        </w:tc>
        <w:tc>
          <w:tcPr>
            <w:tcW w:w="1002" w:type="pct"/>
            <w:shd w:val="clear" w:color="auto" w:fill="auto"/>
            <w:noWrap/>
            <w:vAlign w:val="bottom"/>
            <w:hideMark/>
          </w:tcPr>
          <w:p w14:paraId="348B4CF7" w14:textId="77777777" w:rsidR="001B3086" w:rsidRPr="001B3086" w:rsidRDefault="001B3086" w:rsidP="001B3086">
            <w:pPr>
              <w:rPr>
                <w:rFonts w:ascii="Aptos Narrow" w:hAnsi="Aptos Narrow"/>
                <w:color w:val="000000"/>
                <w:sz w:val="22"/>
                <w:szCs w:val="22"/>
              </w:rPr>
            </w:pPr>
          </w:p>
        </w:tc>
        <w:tc>
          <w:tcPr>
            <w:tcW w:w="1580" w:type="pct"/>
            <w:shd w:val="clear" w:color="auto" w:fill="auto"/>
            <w:noWrap/>
            <w:vAlign w:val="bottom"/>
            <w:hideMark/>
          </w:tcPr>
          <w:p w14:paraId="5F147D9E" w14:textId="77777777" w:rsidR="001B3086" w:rsidRPr="001B3086" w:rsidRDefault="001B3086" w:rsidP="001B3086"/>
        </w:tc>
      </w:tr>
      <w:tr w:rsidR="001B3086" w:rsidRPr="001B3086" w14:paraId="4FBCB604" w14:textId="77777777" w:rsidTr="001B3086">
        <w:trPr>
          <w:trHeight w:val="300"/>
        </w:trPr>
        <w:tc>
          <w:tcPr>
            <w:tcW w:w="1418" w:type="pct"/>
            <w:shd w:val="clear" w:color="auto" w:fill="auto"/>
            <w:noWrap/>
            <w:vAlign w:val="center"/>
            <w:hideMark/>
          </w:tcPr>
          <w:p w14:paraId="6EE398E6"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Figure 9. Change in political institutions over time (2018 vs 2022)</w:t>
            </w:r>
          </w:p>
        </w:tc>
        <w:tc>
          <w:tcPr>
            <w:tcW w:w="1000" w:type="pct"/>
            <w:shd w:val="clear" w:color="auto" w:fill="auto"/>
            <w:noWrap/>
            <w:vAlign w:val="bottom"/>
            <w:hideMark/>
          </w:tcPr>
          <w:p w14:paraId="2C6D92D6"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09-political-cluster-change.png</w:t>
            </w:r>
          </w:p>
        </w:tc>
        <w:tc>
          <w:tcPr>
            <w:tcW w:w="1002" w:type="pct"/>
            <w:shd w:val="clear" w:color="auto" w:fill="auto"/>
            <w:noWrap/>
            <w:vAlign w:val="bottom"/>
            <w:hideMark/>
          </w:tcPr>
          <w:p w14:paraId="02A6E926" w14:textId="77777777" w:rsidR="001B3086" w:rsidRPr="001B3086" w:rsidRDefault="001B3086" w:rsidP="001B3086">
            <w:pPr>
              <w:rPr>
                <w:rFonts w:ascii="Aptos Narrow" w:hAnsi="Aptos Narrow"/>
                <w:color w:val="000000"/>
                <w:sz w:val="22"/>
                <w:szCs w:val="22"/>
              </w:rPr>
            </w:pPr>
          </w:p>
        </w:tc>
        <w:tc>
          <w:tcPr>
            <w:tcW w:w="1580" w:type="pct"/>
            <w:shd w:val="clear" w:color="auto" w:fill="auto"/>
            <w:noWrap/>
            <w:vAlign w:val="bottom"/>
            <w:hideMark/>
          </w:tcPr>
          <w:p w14:paraId="584AFC45" w14:textId="77777777" w:rsidR="001B3086" w:rsidRPr="001B3086" w:rsidRDefault="001B3086" w:rsidP="001B3086"/>
        </w:tc>
      </w:tr>
      <w:tr w:rsidR="001B3086" w:rsidRPr="001B3086" w14:paraId="05A372D4" w14:textId="77777777" w:rsidTr="001B3086">
        <w:trPr>
          <w:trHeight w:val="300"/>
        </w:trPr>
        <w:tc>
          <w:tcPr>
            <w:tcW w:w="1418" w:type="pct"/>
            <w:shd w:val="clear" w:color="auto" w:fill="auto"/>
            <w:noWrap/>
            <w:vAlign w:val="center"/>
            <w:hideMark/>
          </w:tcPr>
          <w:p w14:paraId="159F84DB"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Figure 10. Change in social institutions over time (2018 vs 2022)</w:t>
            </w:r>
          </w:p>
        </w:tc>
        <w:tc>
          <w:tcPr>
            <w:tcW w:w="1000" w:type="pct"/>
            <w:shd w:val="clear" w:color="auto" w:fill="auto"/>
            <w:noWrap/>
            <w:vAlign w:val="bottom"/>
            <w:hideMark/>
          </w:tcPr>
          <w:p w14:paraId="23B89163"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10-social-cluster-change.png</w:t>
            </w:r>
          </w:p>
        </w:tc>
        <w:tc>
          <w:tcPr>
            <w:tcW w:w="1002" w:type="pct"/>
            <w:shd w:val="clear" w:color="auto" w:fill="auto"/>
            <w:noWrap/>
            <w:vAlign w:val="bottom"/>
            <w:hideMark/>
          </w:tcPr>
          <w:p w14:paraId="7AAE55E8" w14:textId="77777777" w:rsidR="001B3086" w:rsidRPr="001B3086" w:rsidRDefault="001B3086" w:rsidP="001B3086">
            <w:pPr>
              <w:rPr>
                <w:rFonts w:ascii="Aptos Narrow" w:hAnsi="Aptos Narrow"/>
                <w:color w:val="000000"/>
                <w:sz w:val="22"/>
                <w:szCs w:val="22"/>
              </w:rPr>
            </w:pPr>
          </w:p>
        </w:tc>
        <w:tc>
          <w:tcPr>
            <w:tcW w:w="1580" w:type="pct"/>
            <w:shd w:val="clear" w:color="auto" w:fill="auto"/>
            <w:noWrap/>
            <w:vAlign w:val="bottom"/>
            <w:hideMark/>
          </w:tcPr>
          <w:p w14:paraId="0D22A869" w14:textId="77777777" w:rsidR="001B3086" w:rsidRPr="001B3086" w:rsidRDefault="001B3086" w:rsidP="001B3086"/>
        </w:tc>
      </w:tr>
      <w:tr w:rsidR="001B3086" w:rsidRPr="001B3086" w14:paraId="350BBD31" w14:textId="77777777" w:rsidTr="001B3086">
        <w:trPr>
          <w:trHeight w:val="300"/>
        </w:trPr>
        <w:tc>
          <w:tcPr>
            <w:tcW w:w="1418" w:type="pct"/>
            <w:shd w:val="clear" w:color="auto" w:fill="auto"/>
            <w:noWrap/>
            <w:vAlign w:val="center"/>
            <w:hideMark/>
          </w:tcPr>
          <w:p w14:paraId="6A78E8B5"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Figure 11. Change in public human resource management institutions over time (2018-2022)</w:t>
            </w:r>
          </w:p>
        </w:tc>
        <w:tc>
          <w:tcPr>
            <w:tcW w:w="1000" w:type="pct"/>
            <w:shd w:val="clear" w:color="auto" w:fill="auto"/>
            <w:noWrap/>
            <w:vAlign w:val="bottom"/>
            <w:hideMark/>
          </w:tcPr>
          <w:p w14:paraId="3B8462B6"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11-hrm-cluster-change.png</w:t>
            </w:r>
          </w:p>
        </w:tc>
        <w:tc>
          <w:tcPr>
            <w:tcW w:w="1002" w:type="pct"/>
            <w:shd w:val="clear" w:color="auto" w:fill="auto"/>
            <w:noWrap/>
            <w:vAlign w:val="bottom"/>
            <w:hideMark/>
          </w:tcPr>
          <w:p w14:paraId="60CBBCBA" w14:textId="77777777" w:rsidR="001B3086" w:rsidRPr="001B3086" w:rsidRDefault="001B3086" w:rsidP="001B3086">
            <w:pPr>
              <w:rPr>
                <w:rFonts w:ascii="Aptos Narrow" w:hAnsi="Aptos Narrow"/>
                <w:color w:val="000000"/>
                <w:sz w:val="22"/>
                <w:szCs w:val="22"/>
              </w:rPr>
            </w:pPr>
          </w:p>
        </w:tc>
        <w:tc>
          <w:tcPr>
            <w:tcW w:w="1580" w:type="pct"/>
            <w:shd w:val="clear" w:color="auto" w:fill="auto"/>
            <w:noWrap/>
            <w:vAlign w:val="bottom"/>
            <w:hideMark/>
          </w:tcPr>
          <w:p w14:paraId="031418E5" w14:textId="77777777" w:rsidR="001B3086" w:rsidRPr="001B3086" w:rsidRDefault="001B3086" w:rsidP="001B3086"/>
        </w:tc>
      </w:tr>
      <w:tr w:rsidR="001B3086" w:rsidRPr="001B3086" w14:paraId="2E5135E9" w14:textId="77777777" w:rsidTr="001B3086">
        <w:trPr>
          <w:trHeight w:val="300"/>
        </w:trPr>
        <w:tc>
          <w:tcPr>
            <w:tcW w:w="1418" w:type="pct"/>
            <w:shd w:val="clear" w:color="auto" w:fill="auto"/>
            <w:noWrap/>
            <w:vAlign w:val="center"/>
            <w:hideMark/>
          </w:tcPr>
          <w:p w14:paraId="1E65DCE4"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Figure 12. Change in degree of integrity over time (2018-2022)</w:t>
            </w:r>
          </w:p>
        </w:tc>
        <w:tc>
          <w:tcPr>
            <w:tcW w:w="1000" w:type="pct"/>
            <w:shd w:val="clear" w:color="auto" w:fill="auto"/>
            <w:noWrap/>
            <w:vAlign w:val="bottom"/>
            <w:hideMark/>
          </w:tcPr>
          <w:p w14:paraId="44D7EA60"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12-integrity-cluster-change.png</w:t>
            </w:r>
          </w:p>
        </w:tc>
        <w:tc>
          <w:tcPr>
            <w:tcW w:w="1002" w:type="pct"/>
            <w:shd w:val="clear" w:color="auto" w:fill="auto"/>
            <w:noWrap/>
            <w:vAlign w:val="bottom"/>
            <w:hideMark/>
          </w:tcPr>
          <w:p w14:paraId="2A472CA8" w14:textId="77777777" w:rsidR="001B3086" w:rsidRPr="001B3086" w:rsidRDefault="001B3086" w:rsidP="001B3086">
            <w:pPr>
              <w:rPr>
                <w:rFonts w:ascii="Aptos Narrow" w:hAnsi="Aptos Narrow"/>
                <w:color w:val="000000"/>
                <w:sz w:val="22"/>
                <w:szCs w:val="22"/>
              </w:rPr>
            </w:pPr>
          </w:p>
        </w:tc>
        <w:tc>
          <w:tcPr>
            <w:tcW w:w="1580" w:type="pct"/>
            <w:shd w:val="clear" w:color="auto" w:fill="auto"/>
            <w:noWrap/>
            <w:vAlign w:val="bottom"/>
            <w:hideMark/>
          </w:tcPr>
          <w:p w14:paraId="07890353" w14:textId="77777777" w:rsidR="001B3086" w:rsidRPr="001B3086" w:rsidRDefault="001B3086" w:rsidP="001B3086"/>
        </w:tc>
      </w:tr>
      <w:tr w:rsidR="001B3086" w:rsidRPr="001B3086" w14:paraId="2B70B49A" w14:textId="77777777" w:rsidTr="001B3086">
        <w:trPr>
          <w:trHeight w:val="360"/>
        </w:trPr>
        <w:tc>
          <w:tcPr>
            <w:tcW w:w="1418" w:type="pct"/>
            <w:shd w:val="clear" w:color="auto" w:fill="auto"/>
            <w:noWrap/>
            <w:vAlign w:val="center"/>
            <w:hideMark/>
          </w:tcPr>
          <w:p w14:paraId="7C8DEC4E"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Figure 13. Regional variation in the share of workers with tertiary education in the public and private sectors</w:t>
            </w:r>
          </w:p>
        </w:tc>
        <w:tc>
          <w:tcPr>
            <w:tcW w:w="1000" w:type="pct"/>
            <w:shd w:val="clear" w:color="auto" w:fill="auto"/>
            <w:noWrap/>
            <w:vAlign w:val="bottom"/>
            <w:hideMark/>
          </w:tcPr>
          <w:p w14:paraId="6BAF632B"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NA</w:t>
            </w:r>
          </w:p>
        </w:tc>
        <w:tc>
          <w:tcPr>
            <w:tcW w:w="1002" w:type="pct"/>
            <w:shd w:val="clear" w:color="auto" w:fill="auto"/>
            <w:noWrap/>
            <w:vAlign w:val="bottom"/>
            <w:hideMark/>
          </w:tcPr>
          <w:p w14:paraId="427C6C1F"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NA</w:t>
            </w:r>
          </w:p>
        </w:tc>
        <w:tc>
          <w:tcPr>
            <w:tcW w:w="1580" w:type="pct"/>
            <w:shd w:val="clear" w:color="auto" w:fill="auto"/>
            <w:noWrap/>
            <w:vAlign w:val="bottom"/>
            <w:hideMark/>
          </w:tcPr>
          <w:p w14:paraId="3A4CB2B6"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Image. Source: Worldwide Bureaucracy Indicators</w:t>
            </w:r>
          </w:p>
        </w:tc>
      </w:tr>
      <w:tr w:rsidR="001B3086" w:rsidRPr="001B3086" w14:paraId="48C45C7C" w14:textId="77777777" w:rsidTr="001B3086">
        <w:trPr>
          <w:trHeight w:val="300"/>
        </w:trPr>
        <w:tc>
          <w:tcPr>
            <w:tcW w:w="1418" w:type="pct"/>
            <w:shd w:val="clear" w:color="auto" w:fill="auto"/>
            <w:noWrap/>
            <w:vAlign w:val="center"/>
            <w:hideMark/>
          </w:tcPr>
          <w:p w14:paraId="1DCD5289"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Figure 14. Global datasets on public financial management</w:t>
            </w:r>
          </w:p>
        </w:tc>
        <w:tc>
          <w:tcPr>
            <w:tcW w:w="1000" w:type="pct"/>
            <w:shd w:val="clear" w:color="auto" w:fill="auto"/>
            <w:noWrap/>
            <w:vAlign w:val="bottom"/>
            <w:hideMark/>
          </w:tcPr>
          <w:p w14:paraId="68E41C65"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NA</w:t>
            </w:r>
          </w:p>
        </w:tc>
        <w:tc>
          <w:tcPr>
            <w:tcW w:w="1002" w:type="pct"/>
            <w:shd w:val="clear" w:color="auto" w:fill="auto"/>
            <w:noWrap/>
            <w:vAlign w:val="bottom"/>
            <w:hideMark/>
          </w:tcPr>
          <w:p w14:paraId="12224B9A"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NA</w:t>
            </w:r>
          </w:p>
        </w:tc>
        <w:tc>
          <w:tcPr>
            <w:tcW w:w="1580" w:type="pct"/>
            <w:shd w:val="clear" w:color="auto" w:fill="auto"/>
            <w:noWrap/>
            <w:vAlign w:val="bottom"/>
            <w:hideMark/>
          </w:tcPr>
          <w:p w14:paraId="48BAFE8E"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Hyperlinks references, not applicable</w:t>
            </w:r>
          </w:p>
        </w:tc>
      </w:tr>
      <w:tr w:rsidR="001B3086" w:rsidRPr="001B3086" w14:paraId="25E79894" w14:textId="77777777" w:rsidTr="001B3086">
        <w:trPr>
          <w:trHeight w:val="300"/>
        </w:trPr>
        <w:tc>
          <w:tcPr>
            <w:tcW w:w="1418" w:type="pct"/>
            <w:shd w:val="clear" w:color="auto" w:fill="auto"/>
            <w:noWrap/>
            <w:vAlign w:val="center"/>
            <w:hideMark/>
          </w:tcPr>
          <w:p w14:paraId="301CE527"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Figure 15. Regional variation in capital budget execution rate in service delivery (2019)</w:t>
            </w:r>
          </w:p>
        </w:tc>
        <w:tc>
          <w:tcPr>
            <w:tcW w:w="1000" w:type="pct"/>
            <w:shd w:val="clear" w:color="auto" w:fill="auto"/>
            <w:noWrap/>
            <w:vAlign w:val="bottom"/>
            <w:hideMark/>
          </w:tcPr>
          <w:p w14:paraId="5F8FD66B"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15-service-delivery-education-budget-execution.png</w:t>
            </w:r>
          </w:p>
        </w:tc>
        <w:tc>
          <w:tcPr>
            <w:tcW w:w="1002" w:type="pct"/>
            <w:shd w:val="clear" w:color="auto" w:fill="auto"/>
            <w:noWrap/>
            <w:vAlign w:val="bottom"/>
            <w:hideMark/>
          </w:tcPr>
          <w:p w14:paraId="2C21AB20" w14:textId="77777777" w:rsidR="001B3086" w:rsidRPr="001B3086" w:rsidRDefault="001B3086" w:rsidP="001B3086">
            <w:pPr>
              <w:rPr>
                <w:rFonts w:ascii="Aptos Narrow" w:hAnsi="Aptos Narrow"/>
                <w:color w:val="000000"/>
                <w:sz w:val="22"/>
                <w:szCs w:val="22"/>
              </w:rPr>
            </w:pPr>
          </w:p>
        </w:tc>
        <w:tc>
          <w:tcPr>
            <w:tcW w:w="1580" w:type="pct"/>
            <w:shd w:val="clear" w:color="auto" w:fill="auto"/>
            <w:noWrap/>
            <w:vAlign w:val="bottom"/>
            <w:hideMark/>
          </w:tcPr>
          <w:p w14:paraId="22AEC5D1" w14:textId="77777777" w:rsidR="001B3086" w:rsidRPr="001B3086" w:rsidRDefault="001B3086" w:rsidP="001B3086"/>
        </w:tc>
      </w:tr>
      <w:tr w:rsidR="001B3086" w:rsidRPr="001B3086" w14:paraId="1BCD6AA6" w14:textId="77777777" w:rsidTr="001B3086">
        <w:trPr>
          <w:trHeight w:val="300"/>
        </w:trPr>
        <w:tc>
          <w:tcPr>
            <w:tcW w:w="1418" w:type="pct"/>
            <w:shd w:val="clear" w:color="auto" w:fill="auto"/>
            <w:noWrap/>
            <w:vAlign w:val="center"/>
            <w:hideMark/>
          </w:tcPr>
          <w:p w14:paraId="40D51B57"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Figure 15. Regional variation in capital budget execution rate in service delivery (2019)</w:t>
            </w:r>
          </w:p>
        </w:tc>
        <w:tc>
          <w:tcPr>
            <w:tcW w:w="1000" w:type="pct"/>
            <w:shd w:val="clear" w:color="auto" w:fill="auto"/>
            <w:noWrap/>
            <w:vAlign w:val="bottom"/>
            <w:hideMark/>
          </w:tcPr>
          <w:p w14:paraId="4A86AD93"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15-service-delivery-health-budget-execution.png</w:t>
            </w:r>
          </w:p>
        </w:tc>
        <w:tc>
          <w:tcPr>
            <w:tcW w:w="1002" w:type="pct"/>
            <w:shd w:val="clear" w:color="auto" w:fill="auto"/>
            <w:noWrap/>
            <w:vAlign w:val="bottom"/>
            <w:hideMark/>
          </w:tcPr>
          <w:p w14:paraId="2BBDB97E" w14:textId="77777777" w:rsidR="001B3086" w:rsidRPr="001B3086" w:rsidRDefault="001B3086" w:rsidP="001B3086">
            <w:pPr>
              <w:rPr>
                <w:rFonts w:ascii="Aptos Narrow" w:hAnsi="Aptos Narrow"/>
                <w:color w:val="000000"/>
                <w:sz w:val="22"/>
                <w:szCs w:val="22"/>
              </w:rPr>
            </w:pPr>
          </w:p>
        </w:tc>
        <w:tc>
          <w:tcPr>
            <w:tcW w:w="1580" w:type="pct"/>
            <w:shd w:val="clear" w:color="auto" w:fill="auto"/>
            <w:noWrap/>
            <w:vAlign w:val="bottom"/>
            <w:hideMark/>
          </w:tcPr>
          <w:p w14:paraId="2881EF7E" w14:textId="77777777" w:rsidR="001B3086" w:rsidRPr="001B3086" w:rsidRDefault="001B3086" w:rsidP="001B3086"/>
        </w:tc>
      </w:tr>
      <w:tr w:rsidR="001B3086" w:rsidRPr="001B3086" w14:paraId="1B5CD543" w14:textId="77777777" w:rsidTr="001B3086">
        <w:trPr>
          <w:trHeight w:val="300"/>
        </w:trPr>
        <w:tc>
          <w:tcPr>
            <w:tcW w:w="1418" w:type="pct"/>
            <w:shd w:val="clear" w:color="auto" w:fill="auto"/>
            <w:noWrap/>
            <w:vAlign w:val="center"/>
            <w:hideMark/>
          </w:tcPr>
          <w:p w14:paraId="32812CC9"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Figure 16. Global datasets on government technologies</w:t>
            </w:r>
          </w:p>
        </w:tc>
        <w:tc>
          <w:tcPr>
            <w:tcW w:w="1000" w:type="pct"/>
            <w:shd w:val="clear" w:color="auto" w:fill="auto"/>
            <w:noWrap/>
            <w:vAlign w:val="bottom"/>
            <w:hideMark/>
          </w:tcPr>
          <w:p w14:paraId="209FE3A1"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NA</w:t>
            </w:r>
          </w:p>
        </w:tc>
        <w:tc>
          <w:tcPr>
            <w:tcW w:w="1002" w:type="pct"/>
            <w:shd w:val="clear" w:color="auto" w:fill="auto"/>
            <w:noWrap/>
            <w:vAlign w:val="bottom"/>
            <w:hideMark/>
          </w:tcPr>
          <w:p w14:paraId="30EC4B57"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NA</w:t>
            </w:r>
          </w:p>
        </w:tc>
        <w:tc>
          <w:tcPr>
            <w:tcW w:w="1580" w:type="pct"/>
            <w:shd w:val="clear" w:color="auto" w:fill="auto"/>
            <w:noWrap/>
            <w:vAlign w:val="bottom"/>
            <w:hideMark/>
          </w:tcPr>
          <w:p w14:paraId="741316C1"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Hyperlinks references, not applicable</w:t>
            </w:r>
          </w:p>
        </w:tc>
      </w:tr>
      <w:tr w:rsidR="001B3086" w:rsidRPr="001B3086" w14:paraId="57849C05" w14:textId="77777777" w:rsidTr="001B3086">
        <w:trPr>
          <w:trHeight w:val="300"/>
        </w:trPr>
        <w:tc>
          <w:tcPr>
            <w:tcW w:w="1418" w:type="pct"/>
            <w:shd w:val="clear" w:color="000000" w:fill="92D050"/>
            <w:noWrap/>
            <w:vAlign w:val="center"/>
            <w:hideMark/>
          </w:tcPr>
          <w:p w14:paraId="536E3B96"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Figure 17. Share of countries with operational management information systems, by region</w:t>
            </w:r>
          </w:p>
        </w:tc>
        <w:tc>
          <w:tcPr>
            <w:tcW w:w="1000" w:type="pct"/>
            <w:shd w:val="clear" w:color="000000" w:fill="92D050"/>
            <w:noWrap/>
            <w:vAlign w:val="bottom"/>
            <w:hideMark/>
          </w:tcPr>
          <w:p w14:paraId="46F0D7F0"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 </w:t>
            </w:r>
          </w:p>
        </w:tc>
        <w:tc>
          <w:tcPr>
            <w:tcW w:w="1002" w:type="pct"/>
            <w:shd w:val="clear" w:color="000000" w:fill="92D050"/>
            <w:noWrap/>
            <w:vAlign w:val="bottom"/>
            <w:hideMark/>
          </w:tcPr>
          <w:p w14:paraId="2098E1FD"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 </w:t>
            </w:r>
          </w:p>
        </w:tc>
        <w:tc>
          <w:tcPr>
            <w:tcW w:w="1580" w:type="pct"/>
            <w:shd w:val="clear" w:color="000000" w:fill="92D050"/>
            <w:noWrap/>
            <w:vAlign w:val="bottom"/>
            <w:hideMark/>
          </w:tcPr>
          <w:p w14:paraId="24226B8C"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 </w:t>
            </w:r>
          </w:p>
        </w:tc>
      </w:tr>
      <w:tr w:rsidR="001B3086" w:rsidRPr="001B3086" w14:paraId="0F9D2F4A" w14:textId="77777777" w:rsidTr="001B3086">
        <w:trPr>
          <w:trHeight w:val="300"/>
        </w:trPr>
        <w:tc>
          <w:tcPr>
            <w:tcW w:w="1418" w:type="pct"/>
            <w:shd w:val="clear" w:color="auto" w:fill="auto"/>
            <w:noWrap/>
            <w:vAlign w:val="center"/>
            <w:hideMark/>
          </w:tcPr>
          <w:p w14:paraId="15625492"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Figure 18. Global datasets on management practices</w:t>
            </w:r>
          </w:p>
        </w:tc>
        <w:tc>
          <w:tcPr>
            <w:tcW w:w="1000" w:type="pct"/>
            <w:shd w:val="clear" w:color="auto" w:fill="auto"/>
            <w:noWrap/>
            <w:vAlign w:val="bottom"/>
            <w:hideMark/>
          </w:tcPr>
          <w:p w14:paraId="785315F7"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NA</w:t>
            </w:r>
          </w:p>
        </w:tc>
        <w:tc>
          <w:tcPr>
            <w:tcW w:w="1002" w:type="pct"/>
            <w:shd w:val="clear" w:color="auto" w:fill="auto"/>
            <w:noWrap/>
            <w:vAlign w:val="bottom"/>
            <w:hideMark/>
          </w:tcPr>
          <w:p w14:paraId="267E9606"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NA</w:t>
            </w:r>
          </w:p>
        </w:tc>
        <w:tc>
          <w:tcPr>
            <w:tcW w:w="1580" w:type="pct"/>
            <w:shd w:val="clear" w:color="auto" w:fill="auto"/>
            <w:noWrap/>
            <w:vAlign w:val="bottom"/>
            <w:hideMark/>
          </w:tcPr>
          <w:p w14:paraId="614E303B"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Hyperlinks references, not applicable</w:t>
            </w:r>
          </w:p>
        </w:tc>
      </w:tr>
      <w:tr w:rsidR="001B3086" w:rsidRPr="001B3086" w14:paraId="7C8A0A4F" w14:textId="77777777" w:rsidTr="001B3086">
        <w:trPr>
          <w:trHeight w:val="300"/>
        </w:trPr>
        <w:tc>
          <w:tcPr>
            <w:tcW w:w="1418" w:type="pct"/>
            <w:shd w:val="clear" w:color="auto" w:fill="auto"/>
            <w:noWrap/>
            <w:vAlign w:val="center"/>
            <w:hideMark/>
          </w:tcPr>
          <w:p w14:paraId="1C2BD3EC"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Figure 19. Institutional-level variation in institutional target-setting (Guatemala and Ghana)</w:t>
            </w:r>
          </w:p>
        </w:tc>
        <w:tc>
          <w:tcPr>
            <w:tcW w:w="1000" w:type="pct"/>
            <w:shd w:val="clear" w:color="auto" w:fill="auto"/>
            <w:noWrap/>
            <w:vAlign w:val="bottom"/>
            <w:hideMark/>
          </w:tcPr>
          <w:p w14:paraId="586DB463"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19_mgmt_target.png</w:t>
            </w:r>
          </w:p>
        </w:tc>
        <w:tc>
          <w:tcPr>
            <w:tcW w:w="1002" w:type="pct"/>
            <w:shd w:val="clear" w:color="auto" w:fill="auto"/>
            <w:noWrap/>
            <w:vAlign w:val="bottom"/>
            <w:hideMark/>
          </w:tcPr>
          <w:p w14:paraId="03AE27E3" w14:textId="77777777" w:rsidR="001B3086" w:rsidRPr="001B3086" w:rsidRDefault="001B3086" w:rsidP="001B3086">
            <w:pPr>
              <w:rPr>
                <w:rFonts w:ascii="Aptos Narrow" w:hAnsi="Aptos Narrow"/>
                <w:color w:val="000000"/>
                <w:sz w:val="22"/>
                <w:szCs w:val="22"/>
              </w:rPr>
            </w:pPr>
          </w:p>
        </w:tc>
        <w:tc>
          <w:tcPr>
            <w:tcW w:w="1580" w:type="pct"/>
            <w:shd w:val="clear" w:color="auto" w:fill="auto"/>
            <w:noWrap/>
            <w:vAlign w:val="bottom"/>
            <w:hideMark/>
          </w:tcPr>
          <w:p w14:paraId="4B3CF4D9" w14:textId="77777777" w:rsidR="001B3086" w:rsidRPr="001B3086" w:rsidRDefault="001B3086" w:rsidP="001B3086"/>
        </w:tc>
      </w:tr>
      <w:tr w:rsidR="001B3086" w:rsidRPr="001B3086" w14:paraId="58BD66B2" w14:textId="77777777" w:rsidTr="001B3086">
        <w:trPr>
          <w:trHeight w:val="300"/>
        </w:trPr>
        <w:tc>
          <w:tcPr>
            <w:tcW w:w="1418" w:type="pct"/>
            <w:shd w:val="clear" w:color="auto" w:fill="auto"/>
            <w:noWrap/>
            <w:vAlign w:val="center"/>
            <w:hideMark/>
          </w:tcPr>
          <w:p w14:paraId="56BA84F7" w14:textId="77777777" w:rsidR="001B3086" w:rsidRPr="001B3086" w:rsidRDefault="001B3086" w:rsidP="001B3086">
            <w:pPr>
              <w:jc w:val="both"/>
              <w:rPr>
                <w:rFonts w:ascii="Aptos" w:hAnsi="Aptos"/>
                <w:color w:val="000000"/>
                <w:sz w:val="22"/>
                <w:szCs w:val="22"/>
              </w:rPr>
            </w:pPr>
            <w:bookmarkStart w:id="0" w:name="RANGE!B26"/>
            <w:r w:rsidRPr="001B3086">
              <w:rPr>
                <w:rFonts w:ascii="Aptos" w:hAnsi="Aptos"/>
                <w:color w:val="000000"/>
                <w:sz w:val="22"/>
                <w:szCs w:val="22"/>
              </w:rPr>
              <w:lastRenderedPageBreak/>
              <w:t>Annex 1. Additional Correlations between Institutional Dimensions and Prosperity Indicators (a)</w:t>
            </w:r>
            <w:bookmarkEnd w:id="0"/>
          </w:p>
        </w:tc>
        <w:tc>
          <w:tcPr>
            <w:tcW w:w="1000" w:type="pct"/>
            <w:shd w:val="clear" w:color="auto" w:fill="auto"/>
            <w:noWrap/>
            <w:vAlign w:val="bottom"/>
            <w:hideMark/>
          </w:tcPr>
          <w:p w14:paraId="4C8BD2C5"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GDPpercapitaPPPconstant2021international_annex</w:t>
            </w:r>
          </w:p>
        </w:tc>
        <w:tc>
          <w:tcPr>
            <w:tcW w:w="1002" w:type="pct"/>
            <w:shd w:val="clear" w:color="auto" w:fill="auto"/>
            <w:noWrap/>
            <w:vAlign w:val="bottom"/>
            <w:hideMark/>
          </w:tcPr>
          <w:p w14:paraId="2B219DA5" w14:textId="77777777" w:rsidR="001B3086" w:rsidRPr="001B3086" w:rsidRDefault="001B3086" w:rsidP="001B3086">
            <w:pPr>
              <w:rPr>
                <w:rFonts w:ascii="Aptos Narrow" w:hAnsi="Aptos Narrow"/>
                <w:color w:val="000000"/>
                <w:sz w:val="22"/>
                <w:szCs w:val="22"/>
              </w:rPr>
            </w:pPr>
          </w:p>
        </w:tc>
        <w:tc>
          <w:tcPr>
            <w:tcW w:w="1580" w:type="pct"/>
            <w:shd w:val="clear" w:color="auto" w:fill="auto"/>
            <w:noWrap/>
            <w:vAlign w:val="bottom"/>
            <w:hideMark/>
          </w:tcPr>
          <w:p w14:paraId="43A980C2" w14:textId="77777777" w:rsidR="001B3086" w:rsidRPr="001B3086" w:rsidRDefault="001B3086" w:rsidP="001B3086"/>
        </w:tc>
      </w:tr>
      <w:tr w:rsidR="001B3086" w:rsidRPr="001B3086" w14:paraId="76ECD1A9" w14:textId="77777777" w:rsidTr="001B3086">
        <w:trPr>
          <w:trHeight w:val="300"/>
        </w:trPr>
        <w:tc>
          <w:tcPr>
            <w:tcW w:w="1418" w:type="pct"/>
            <w:shd w:val="clear" w:color="auto" w:fill="auto"/>
            <w:noWrap/>
            <w:vAlign w:val="center"/>
            <w:hideMark/>
          </w:tcPr>
          <w:p w14:paraId="75199ACB"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Annex 1. Additional Correlations between Institutional Dimensions and Prosperity Indicators (b)</w:t>
            </w:r>
          </w:p>
        </w:tc>
        <w:tc>
          <w:tcPr>
            <w:tcW w:w="1000" w:type="pct"/>
            <w:shd w:val="clear" w:color="auto" w:fill="auto"/>
            <w:noWrap/>
            <w:vAlign w:val="bottom"/>
            <w:hideMark/>
          </w:tcPr>
          <w:p w14:paraId="72545FAB"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Povertyheadcountratioat215aday2017PPPofpopulation_annex</w:t>
            </w:r>
          </w:p>
        </w:tc>
        <w:tc>
          <w:tcPr>
            <w:tcW w:w="1002" w:type="pct"/>
            <w:shd w:val="clear" w:color="auto" w:fill="auto"/>
            <w:noWrap/>
            <w:vAlign w:val="bottom"/>
            <w:hideMark/>
          </w:tcPr>
          <w:p w14:paraId="29E72220" w14:textId="77777777" w:rsidR="001B3086" w:rsidRPr="001B3086" w:rsidRDefault="001B3086" w:rsidP="001B3086">
            <w:pPr>
              <w:rPr>
                <w:rFonts w:ascii="Aptos Narrow" w:hAnsi="Aptos Narrow"/>
                <w:color w:val="000000"/>
                <w:sz w:val="22"/>
                <w:szCs w:val="22"/>
              </w:rPr>
            </w:pPr>
          </w:p>
        </w:tc>
        <w:tc>
          <w:tcPr>
            <w:tcW w:w="1580" w:type="pct"/>
            <w:shd w:val="clear" w:color="auto" w:fill="auto"/>
            <w:noWrap/>
            <w:vAlign w:val="bottom"/>
            <w:hideMark/>
          </w:tcPr>
          <w:p w14:paraId="2314FAF8" w14:textId="77777777" w:rsidR="001B3086" w:rsidRPr="001B3086" w:rsidRDefault="001B3086" w:rsidP="001B3086"/>
        </w:tc>
      </w:tr>
      <w:tr w:rsidR="001B3086" w:rsidRPr="001B3086" w14:paraId="4DF95BB1" w14:textId="77777777" w:rsidTr="001B3086">
        <w:trPr>
          <w:trHeight w:val="300"/>
        </w:trPr>
        <w:tc>
          <w:tcPr>
            <w:tcW w:w="1418" w:type="pct"/>
            <w:shd w:val="clear" w:color="auto" w:fill="auto"/>
            <w:noWrap/>
            <w:vAlign w:val="center"/>
            <w:hideMark/>
          </w:tcPr>
          <w:p w14:paraId="76342ADD"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Annex 1. Additional Correlations between Institutional Dimensions and Prosperity Indicators (c)</w:t>
            </w:r>
          </w:p>
        </w:tc>
        <w:tc>
          <w:tcPr>
            <w:tcW w:w="1000" w:type="pct"/>
            <w:shd w:val="clear" w:color="auto" w:fill="auto"/>
            <w:noWrap/>
            <w:vAlign w:val="bottom"/>
            <w:hideMark/>
          </w:tcPr>
          <w:p w14:paraId="4A5D64D5" w14:textId="77777777" w:rsidR="001B3086" w:rsidRPr="001B3086" w:rsidRDefault="001B3086" w:rsidP="001B3086">
            <w:pPr>
              <w:rPr>
                <w:rFonts w:ascii="Aptos Narrow" w:hAnsi="Aptos Narrow"/>
                <w:color w:val="000000"/>
                <w:sz w:val="22"/>
                <w:szCs w:val="22"/>
              </w:rPr>
            </w:pPr>
            <w:proofErr w:type="spellStart"/>
            <w:r w:rsidRPr="001B3086">
              <w:rPr>
                <w:rFonts w:ascii="Aptos Narrow" w:hAnsi="Aptos Narrow"/>
                <w:color w:val="000000"/>
                <w:sz w:val="22"/>
                <w:szCs w:val="22"/>
              </w:rPr>
              <w:t>CountryRisk_vs_CTF_annex</w:t>
            </w:r>
            <w:proofErr w:type="spellEnd"/>
          </w:p>
        </w:tc>
        <w:tc>
          <w:tcPr>
            <w:tcW w:w="1002" w:type="pct"/>
            <w:shd w:val="clear" w:color="auto" w:fill="auto"/>
            <w:noWrap/>
            <w:vAlign w:val="bottom"/>
            <w:hideMark/>
          </w:tcPr>
          <w:p w14:paraId="7BF225A7" w14:textId="77777777" w:rsidR="001B3086" w:rsidRPr="001B3086" w:rsidRDefault="001B3086" w:rsidP="001B3086">
            <w:pPr>
              <w:rPr>
                <w:rFonts w:ascii="Aptos Narrow" w:hAnsi="Aptos Narrow"/>
                <w:color w:val="000000"/>
                <w:sz w:val="22"/>
                <w:szCs w:val="22"/>
              </w:rPr>
            </w:pPr>
          </w:p>
        </w:tc>
        <w:tc>
          <w:tcPr>
            <w:tcW w:w="1580" w:type="pct"/>
            <w:shd w:val="clear" w:color="auto" w:fill="auto"/>
            <w:noWrap/>
            <w:vAlign w:val="bottom"/>
            <w:hideMark/>
          </w:tcPr>
          <w:p w14:paraId="139B758D" w14:textId="77777777" w:rsidR="001B3086" w:rsidRPr="001B3086" w:rsidRDefault="001B3086" w:rsidP="001B3086"/>
        </w:tc>
      </w:tr>
      <w:tr w:rsidR="001B3086" w:rsidRPr="001B3086" w14:paraId="0484783B" w14:textId="77777777" w:rsidTr="001B3086">
        <w:trPr>
          <w:trHeight w:val="300"/>
        </w:trPr>
        <w:tc>
          <w:tcPr>
            <w:tcW w:w="1418" w:type="pct"/>
            <w:shd w:val="clear" w:color="auto" w:fill="auto"/>
            <w:noWrap/>
            <w:vAlign w:val="center"/>
            <w:hideMark/>
          </w:tcPr>
          <w:p w14:paraId="723F7B5A"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Annex 1. Additional Correlations between Institutional Dimensions and Prosperity Indicators (d)</w:t>
            </w:r>
          </w:p>
        </w:tc>
        <w:tc>
          <w:tcPr>
            <w:tcW w:w="2002" w:type="pct"/>
            <w:gridSpan w:val="2"/>
            <w:shd w:val="clear" w:color="auto" w:fill="auto"/>
            <w:noWrap/>
            <w:vAlign w:val="bottom"/>
            <w:hideMark/>
          </w:tcPr>
          <w:p w14:paraId="086C14AC"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Povertyheadcountratioat215aday2017PPPofpopulation_annex_nossa</w:t>
            </w:r>
          </w:p>
        </w:tc>
        <w:tc>
          <w:tcPr>
            <w:tcW w:w="1580" w:type="pct"/>
            <w:shd w:val="clear" w:color="auto" w:fill="auto"/>
            <w:noWrap/>
            <w:vAlign w:val="bottom"/>
            <w:hideMark/>
          </w:tcPr>
          <w:p w14:paraId="3561D065" w14:textId="77777777" w:rsidR="001B3086" w:rsidRPr="001B3086" w:rsidRDefault="001B3086" w:rsidP="001B3086">
            <w:pPr>
              <w:rPr>
                <w:rFonts w:ascii="Aptos Narrow" w:hAnsi="Aptos Narrow"/>
                <w:color w:val="000000"/>
                <w:sz w:val="22"/>
                <w:szCs w:val="22"/>
              </w:rPr>
            </w:pPr>
          </w:p>
        </w:tc>
      </w:tr>
      <w:tr w:rsidR="001B3086" w:rsidRPr="001B3086" w14:paraId="4B753245" w14:textId="77777777" w:rsidTr="001B3086">
        <w:trPr>
          <w:trHeight w:val="300"/>
        </w:trPr>
        <w:tc>
          <w:tcPr>
            <w:tcW w:w="1418" w:type="pct"/>
            <w:shd w:val="clear" w:color="auto" w:fill="auto"/>
            <w:noWrap/>
            <w:vAlign w:val="center"/>
            <w:hideMark/>
          </w:tcPr>
          <w:p w14:paraId="69051220"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Annex 2. Change in Sector-specific Institutions (a) - justice</w:t>
            </w:r>
          </w:p>
        </w:tc>
        <w:tc>
          <w:tcPr>
            <w:tcW w:w="1000" w:type="pct"/>
            <w:shd w:val="clear" w:color="auto" w:fill="auto"/>
            <w:noWrap/>
            <w:vAlign w:val="bottom"/>
            <w:hideMark/>
          </w:tcPr>
          <w:p w14:paraId="0295334A"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annex-a-justice-cluster-change.png</w:t>
            </w:r>
          </w:p>
        </w:tc>
        <w:tc>
          <w:tcPr>
            <w:tcW w:w="1002" w:type="pct"/>
            <w:shd w:val="clear" w:color="auto" w:fill="auto"/>
            <w:noWrap/>
            <w:vAlign w:val="bottom"/>
            <w:hideMark/>
          </w:tcPr>
          <w:p w14:paraId="30DD534F" w14:textId="77777777" w:rsidR="001B3086" w:rsidRPr="001B3086" w:rsidRDefault="001B3086" w:rsidP="001B3086">
            <w:pPr>
              <w:rPr>
                <w:rFonts w:ascii="Aptos Narrow" w:hAnsi="Aptos Narrow"/>
                <w:color w:val="000000"/>
                <w:sz w:val="22"/>
                <w:szCs w:val="22"/>
              </w:rPr>
            </w:pPr>
          </w:p>
        </w:tc>
        <w:tc>
          <w:tcPr>
            <w:tcW w:w="1580" w:type="pct"/>
            <w:shd w:val="clear" w:color="auto" w:fill="auto"/>
            <w:noWrap/>
            <w:vAlign w:val="bottom"/>
            <w:hideMark/>
          </w:tcPr>
          <w:p w14:paraId="35D1C4BC" w14:textId="77777777" w:rsidR="001B3086" w:rsidRPr="001B3086" w:rsidRDefault="001B3086" w:rsidP="001B3086"/>
        </w:tc>
      </w:tr>
      <w:tr w:rsidR="001B3086" w:rsidRPr="001B3086" w14:paraId="046FEA1B" w14:textId="77777777" w:rsidTr="001B3086">
        <w:trPr>
          <w:trHeight w:val="300"/>
        </w:trPr>
        <w:tc>
          <w:tcPr>
            <w:tcW w:w="1418" w:type="pct"/>
            <w:shd w:val="clear" w:color="auto" w:fill="auto"/>
            <w:noWrap/>
            <w:vAlign w:val="center"/>
            <w:hideMark/>
          </w:tcPr>
          <w:p w14:paraId="6A164FF7" w14:textId="77777777" w:rsidR="001B3086" w:rsidRPr="001B3086" w:rsidRDefault="001B3086" w:rsidP="001B3086">
            <w:pPr>
              <w:jc w:val="both"/>
              <w:rPr>
                <w:rFonts w:ascii="Aptos" w:hAnsi="Aptos"/>
                <w:color w:val="000000"/>
                <w:sz w:val="22"/>
                <w:szCs w:val="22"/>
              </w:rPr>
            </w:pPr>
            <w:r w:rsidRPr="001B3086">
              <w:rPr>
                <w:rFonts w:ascii="Aptos" w:hAnsi="Aptos"/>
                <w:color w:val="000000"/>
                <w:sz w:val="22"/>
                <w:szCs w:val="22"/>
              </w:rPr>
              <w:t xml:space="preserve">Annex 2. Change in Sector-specific Institutions (b) - </w:t>
            </w:r>
            <w:proofErr w:type="spellStart"/>
            <w:r w:rsidRPr="001B3086">
              <w:rPr>
                <w:rFonts w:ascii="Aptos" w:hAnsi="Aptos"/>
                <w:color w:val="000000"/>
                <w:sz w:val="22"/>
                <w:szCs w:val="22"/>
              </w:rPr>
              <w:t>enviromental</w:t>
            </w:r>
            <w:proofErr w:type="spellEnd"/>
          </w:p>
        </w:tc>
        <w:tc>
          <w:tcPr>
            <w:tcW w:w="1000" w:type="pct"/>
            <w:shd w:val="clear" w:color="auto" w:fill="auto"/>
            <w:noWrap/>
            <w:vAlign w:val="bottom"/>
            <w:hideMark/>
          </w:tcPr>
          <w:p w14:paraId="75069AD5" w14:textId="77777777" w:rsidR="001B3086" w:rsidRPr="001B3086" w:rsidRDefault="001B3086" w:rsidP="001B3086">
            <w:pPr>
              <w:rPr>
                <w:rFonts w:ascii="Aptos Narrow" w:hAnsi="Aptos Narrow"/>
                <w:color w:val="000000"/>
                <w:sz w:val="22"/>
                <w:szCs w:val="22"/>
              </w:rPr>
            </w:pPr>
            <w:r w:rsidRPr="001B3086">
              <w:rPr>
                <w:rFonts w:ascii="Aptos Narrow" w:hAnsi="Aptos Narrow"/>
                <w:color w:val="000000"/>
                <w:sz w:val="22"/>
                <w:szCs w:val="22"/>
              </w:rPr>
              <w:t>annex-b-enviromental-cluster-change.png</w:t>
            </w:r>
          </w:p>
        </w:tc>
        <w:tc>
          <w:tcPr>
            <w:tcW w:w="1002" w:type="pct"/>
            <w:shd w:val="clear" w:color="auto" w:fill="auto"/>
            <w:noWrap/>
            <w:vAlign w:val="bottom"/>
            <w:hideMark/>
          </w:tcPr>
          <w:p w14:paraId="196ED0FF" w14:textId="77777777" w:rsidR="001B3086" w:rsidRPr="001B3086" w:rsidRDefault="001B3086" w:rsidP="001B3086">
            <w:pPr>
              <w:rPr>
                <w:rFonts w:ascii="Aptos Narrow" w:hAnsi="Aptos Narrow"/>
                <w:color w:val="000000"/>
                <w:sz w:val="22"/>
                <w:szCs w:val="22"/>
              </w:rPr>
            </w:pPr>
          </w:p>
        </w:tc>
        <w:tc>
          <w:tcPr>
            <w:tcW w:w="1580" w:type="pct"/>
            <w:shd w:val="clear" w:color="auto" w:fill="auto"/>
            <w:noWrap/>
            <w:vAlign w:val="bottom"/>
            <w:hideMark/>
          </w:tcPr>
          <w:p w14:paraId="4B54849A" w14:textId="77777777" w:rsidR="001B3086" w:rsidRPr="001B3086" w:rsidRDefault="001B3086" w:rsidP="001B3086"/>
        </w:tc>
      </w:tr>
    </w:tbl>
    <w:p w14:paraId="0F0C7D19" w14:textId="77777777" w:rsidR="001B3086" w:rsidRDefault="001B3086" w:rsidP="001B3086"/>
    <w:sectPr w:rsidR="001B3086" w:rsidSect="001B3086">
      <w:pgSz w:w="16838" w:h="11906" w:orient="landscape"/>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54DF8"/>
    <w:multiLevelType w:val="hybridMultilevel"/>
    <w:tmpl w:val="EAA45A2E"/>
    <w:lvl w:ilvl="0" w:tplc="0DE67968">
      <w:start w:val="1"/>
      <w:numFmt w:val="bullet"/>
      <w:lvlText w:val="●"/>
      <w:lvlJc w:val="left"/>
      <w:pPr>
        <w:ind w:left="720" w:hanging="360"/>
      </w:pPr>
    </w:lvl>
    <w:lvl w:ilvl="1" w:tplc="F496C2C0">
      <w:start w:val="1"/>
      <w:numFmt w:val="bullet"/>
      <w:lvlText w:val="○"/>
      <w:lvlJc w:val="left"/>
      <w:pPr>
        <w:ind w:left="1440" w:hanging="360"/>
      </w:pPr>
    </w:lvl>
    <w:lvl w:ilvl="2" w:tplc="C2641E2C">
      <w:start w:val="1"/>
      <w:numFmt w:val="bullet"/>
      <w:lvlText w:val="■"/>
      <w:lvlJc w:val="left"/>
      <w:pPr>
        <w:ind w:left="2160" w:hanging="360"/>
      </w:pPr>
    </w:lvl>
    <w:lvl w:ilvl="3" w:tplc="D8C0F236">
      <w:start w:val="1"/>
      <w:numFmt w:val="bullet"/>
      <w:lvlText w:val="●"/>
      <w:lvlJc w:val="left"/>
      <w:pPr>
        <w:ind w:left="2880" w:hanging="360"/>
      </w:pPr>
    </w:lvl>
    <w:lvl w:ilvl="4" w:tplc="A4FAA340">
      <w:start w:val="1"/>
      <w:numFmt w:val="bullet"/>
      <w:lvlText w:val="○"/>
      <w:lvlJc w:val="left"/>
      <w:pPr>
        <w:ind w:left="3600" w:hanging="360"/>
      </w:pPr>
    </w:lvl>
    <w:lvl w:ilvl="5" w:tplc="461290BE">
      <w:start w:val="1"/>
      <w:numFmt w:val="bullet"/>
      <w:lvlText w:val="■"/>
      <w:lvlJc w:val="left"/>
      <w:pPr>
        <w:ind w:left="4320" w:hanging="360"/>
      </w:pPr>
    </w:lvl>
    <w:lvl w:ilvl="6" w:tplc="40F685B0">
      <w:start w:val="1"/>
      <w:numFmt w:val="bullet"/>
      <w:lvlText w:val="●"/>
      <w:lvlJc w:val="left"/>
      <w:pPr>
        <w:ind w:left="5040" w:hanging="360"/>
      </w:pPr>
    </w:lvl>
    <w:lvl w:ilvl="7" w:tplc="2BBE90D2">
      <w:start w:val="1"/>
      <w:numFmt w:val="bullet"/>
      <w:lvlText w:val="●"/>
      <w:lvlJc w:val="left"/>
      <w:pPr>
        <w:ind w:left="5760" w:hanging="360"/>
      </w:pPr>
    </w:lvl>
    <w:lvl w:ilvl="8" w:tplc="3E6C1966">
      <w:start w:val="1"/>
      <w:numFmt w:val="bullet"/>
      <w:lvlText w:val="●"/>
      <w:lvlJc w:val="left"/>
      <w:pPr>
        <w:ind w:left="6480" w:hanging="360"/>
      </w:pPr>
    </w:lvl>
  </w:abstractNum>
  <w:num w:numId="1" w16cid:durableId="17989663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5EB"/>
    <w:rsid w:val="000B6805"/>
    <w:rsid w:val="001B3086"/>
    <w:rsid w:val="006503F6"/>
    <w:rsid w:val="00772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5C6FC"/>
  <w15:docId w15:val="{65B7DDAC-D491-475E-B03D-2D675A6B3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653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Ileana Beatriz Marroquin Martinez</cp:lastModifiedBy>
  <cp:revision>2</cp:revision>
  <dcterms:created xsi:type="dcterms:W3CDTF">2025-05-15T19:23:00Z</dcterms:created>
  <dcterms:modified xsi:type="dcterms:W3CDTF">2025-05-15T19:23:00Z</dcterms:modified>
</cp:coreProperties>
</file>