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25.png" ContentType="image/png"/>
  <Override PartName="/word/media/rId21.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IDA21 Policy Commitment: Institutional Strengthening</w:t>
      </w:r>
    </w:p>
    <w:p>
      <w:pPr>
        <w:pStyle w:val="Date"/>
      </w:pPr>
      <w:r>
        <w:t xml:space="preserve">May 12, 2026</w:t>
      </w:r>
    </w:p>
    <w:bookmarkStart w:id="20" w:name="overview"/>
    <w:p>
      <w:pPr>
        <w:pStyle w:val="Heading2"/>
      </w:pPr>
      <w:r>
        <w:t xml:space="preserve">Overview</w:t>
      </w:r>
    </w:p>
    <w:p>
      <w:pPr>
        <w:pStyle w:val="FirstParagraph"/>
      </w:pPr>
      <w:r>
        <w:t xml:space="preserve">This portfolio review monitors the World Bank Governance Global Practice (GOV) portfolio in IDA-eligible and Blend countries, in support of the IDA21 Policy Commitment on Institutional Strengthening. The portfolio covers active lending operations and Advisory Services and Analytics (ASA) led by the Governance GP. Projects are classified across four thematic areas: Public Financial Management, Public Procurement, Public Administration, and Environmental &amp; Social Governance.</w:t>
      </w:r>
    </w:p>
    <w:p>
      <w:pPr>
        <w:pStyle w:val="BodyText"/>
      </w:pPr>
      <w:r>
        <w:t xml:space="preserve">The current portfolio comprises</w:t>
      </w:r>
      <w:r>
        <w:t xml:space="preserve"> </w:t>
      </w:r>
      <w:r>
        <w:rPr>
          <w:b/>
          <w:bCs/>
        </w:rPr>
        <w:t xml:space="preserve">69 projects</w:t>
      </w:r>
      <w:r>
        <w:t xml:space="preserve"> </w:t>
      </w:r>
      <w:r>
        <w:t xml:space="preserve">across</w:t>
      </w:r>
      <w:r>
        <w:t xml:space="preserve"> </w:t>
      </w:r>
      <w:r>
        <w:rPr>
          <w:b/>
          <w:bCs/>
        </w:rPr>
        <w:t xml:space="preserve">35 countries</w:t>
      </w:r>
      <w:r>
        <w:t xml:space="preserve">, of which</w:t>
      </w:r>
      <w:r>
        <w:t xml:space="preserve"> </w:t>
      </w:r>
      <w:r>
        <w:rPr>
          <w:b/>
          <w:bCs/>
        </w:rPr>
        <w:t xml:space="preserve">40 are lending operations</w:t>
      </w:r>
      <w:r>
        <w:t xml:space="preserve"> </w:t>
      </w:r>
      <w:r>
        <w:t xml:space="preserve">and</w:t>
      </w:r>
      <w:r>
        <w:t xml:space="preserve"> </w:t>
      </w:r>
      <w:r>
        <w:rPr>
          <w:b/>
          <w:bCs/>
        </w:rPr>
        <w:t xml:space="preserve">29 are ASAs</w:t>
      </w:r>
      <w:r>
        <w:t xml:space="preserve">.</w:t>
      </w:r>
    </w:p>
    <w:p>
      <w:r>
        <w:pict>
          <v:rect style="width:0;height:1.5pt" o:hralign="center" o:hrstd="t" o:hr="t"/>
        </w:pict>
      </w:r>
    </w:p>
    <w:bookmarkEnd w:id="20"/>
    <w:bookmarkStart w:id="24" w:name="lending-portfolio-trends"/>
    <w:p>
      <w:pPr>
        <w:pStyle w:val="Heading2"/>
      </w:pPr>
      <w:r>
        <w:t xml:space="preserve">Lending portfolio trends</w:t>
      </w:r>
    </w:p>
    <w:p>
      <w:pPr>
        <w:pStyle w:val="FirstParagraph"/>
      </w:pPr>
      <w:r>
        <w:t xml:space="preserve">Number of GOV-led lending operations approved per fiscal year that are currently active in IDA/Blend countries.</w:t>
      </w:r>
    </w:p>
    <w:p>
      <w:pPr>
        <w:pStyle w:val="BodyText"/>
      </w:pPr>
      <w:r>
        <w:drawing>
          <wp:inline>
            <wp:extent cx="5334000" cy="3333750"/>
            <wp:effectExtent b="0" l="0" r="0" t="0"/>
            <wp:docPr descr="" title="" id="22" name="Picture"/>
            <a:graphic>
              <a:graphicData uri="http://schemas.openxmlformats.org/drawingml/2006/picture">
                <pic:pic>
                  <pic:nvPicPr>
                    <pic:cNvPr descr="ida21_policy_commitment_files/ida21_policy_commitment_files/figure-docx/lending-trends-1.png" id="23" name="Picture"/>
                    <pic:cNvPicPr>
                      <a:picLocks noChangeArrowheads="1" noChangeAspect="1"/>
                    </pic:cNvPicPr>
                  </pic:nvPicPr>
                  <pic:blipFill>
                    <a:blip r:embed="rId21"/>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24"/>
    <w:bookmarkStart w:id="28" w:name="lending-portfolio-by-region"/>
    <w:p>
      <w:pPr>
        <w:pStyle w:val="Heading2"/>
      </w:pPr>
      <w:r>
        <w:t xml:space="preserve">Lending portfolio by region</w:t>
      </w:r>
    </w:p>
    <w:p>
      <w:pPr>
        <w:pStyle w:val="FirstParagraph"/>
      </w:pPr>
      <w:r>
        <w:drawing>
          <wp:inline>
            <wp:extent cx="5334000" cy="3333750"/>
            <wp:effectExtent b="0" l="0" r="0" t="0"/>
            <wp:docPr descr="" title="" id="26" name="Picture"/>
            <a:graphic>
              <a:graphicData uri="http://schemas.openxmlformats.org/drawingml/2006/picture">
                <pic:pic>
                  <pic:nvPicPr>
                    <pic:cNvPr descr="ida21_policy_commitment_files/ida21_policy_commitment_files/figure-docx/lending-by-region-1.png" id="27" name="Picture"/>
                    <pic:cNvPicPr>
                      <a:picLocks noChangeArrowheads="1" noChangeAspect="1"/>
                    </pic:cNvPicPr>
                  </pic:nvPicPr>
                  <pic:blipFill>
                    <a:blip r:embed="rId25"/>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28"/>
    <w:bookmarkStart w:id="32" w:name="thematic-breakdown-over-time"/>
    <w:p>
      <w:pPr>
        <w:pStyle w:val="Heading2"/>
      </w:pPr>
      <w:r>
        <w:t xml:space="preserve">Thematic breakdown over time</w:t>
      </w:r>
    </w:p>
    <w:p>
      <w:pPr>
        <w:pStyle w:val="FirstParagraph"/>
      </w:pPr>
      <w:r>
        <w:t xml:space="preserve">Number of lending operations per thematic area by fiscal year.</w:t>
      </w:r>
    </w:p>
    <w:p>
      <w:pPr>
        <w:pStyle w:val="BodyText"/>
      </w:pPr>
      <w:r>
        <w:drawing>
          <wp:inline>
            <wp:extent cx="5334000" cy="3333750"/>
            <wp:effectExtent b="0" l="0" r="0" t="0"/>
            <wp:docPr descr="" title="" id="30" name="Picture"/>
            <a:graphic>
              <a:graphicData uri="http://schemas.openxmlformats.org/drawingml/2006/picture">
                <pic:pic>
                  <pic:nvPicPr>
                    <pic:cNvPr descr="ida21_policy_commitment_files/ida21_policy_commitment_files/figure-docx/theme-trends-1.png" id="31"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32"/>
    <w:bookmarkStart w:id="36" w:name="country-reach-by-ida-cycle"/>
    <w:p>
      <w:pPr>
        <w:pStyle w:val="Heading2"/>
      </w:pPr>
      <w:r>
        <w:t xml:space="preserve">Country reach by IDA cycle</w:t>
      </w:r>
    </w:p>
    <w:p>
      <w:pPr>
        <w:pStyle w:val="FirstParagraph"/>
      </w:pPr>
      <w:r>
        <w:t xml:space="preserve">Number of countries with at least one active project (lending or ASA), comparing the current IDA21 cycle (FY2026 onwards) to the preceding period.</w:t>
      </w:r>
    </w:p>
    <w:p>
      <w:pPr>
        <w:pStyle w:val="BodyText"/>
      </w:pPr>
      <w:r>
        <w:drawing>
          <wp:inline>
            <wp:extent cx="5334000" cy="3333750"/>
            <wp:effectExtent b="0" l="0" r="0" t="0"/>
            <wp:docPr descr="" title="" id="34" name="Picture"/>
            <a:graphic>
              <a:graphicData uri="http://schemas.openxmlformats.org/drawingml/2006/picture">
                <pic:pic>
                  <pic:nvPicPr>
                    <pic:cNvPr descr="ida21_policy_commitment_files/ida21_policy_commitment_files/figure-docx/country-count-by-cycle-1.png" id="35" name="Picture"/>
                    <pic:cNvPicPr>
                      <a:picLocks noChangeArrowheads="1" noChangeAspect="1"/>
                    </pic:cNvPicPr>
                  </pic:nvPicPr>
                  <pic:blipFill>
                    <a:blip r:embed="rId33"/>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36"/>
    <w:bookmarkStart w:id="40" w:name="X052b1999433eb934bdff211950c18c1be0e28dc"/>
    <w:p>
      <w:pPr>
        <w:pStyle w:val="Heading2"/>
      </w:pPr>
      <w:r>
        <w:t xml:space="preserve">Country reach by thematic area and IDA cycle</w:t>
      </w:r>
    </w:p>
    <w:p>
      <w:pPr>
        <w:pStyle w:val="FirstParagraph"/>
      </w:pPr>
      <w:r>
        <w:drawing>
          <wp:inline>
            <wp:extent cx="5334000" cy="4000500"/>
            <wp:effectExtent b="0" l="0" r="0" t="0"/>
            <wp:docPr descr="" title="" id="38" name="Picture"/>
            <a:graphic>
              <a:graphicData uri="http://schemas.openxmlformats.org/drawingml/2006/picture">
                <pic:pic>
                  <pic:nvPicPr>
                    <pic:cNvPr descr="ida21_policy_commitment_files/ida21_policy_commitment_files/figure-docx/country-count-by-theme-cycle-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IDA21 Policy Commitment: Institutional Strengthening</dc:title>
  <dc:creator/>
  <cp:keywords/>
  <dcterms:created xsi:type="dcterms:W3CDTF">2026-05-12T14:00:18Z</dcterms:created>
  <dcterms:modified xsi:type="dcterms:W3CDTF">2026-05-12T14:00:18Z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12, 2026</vt:lpwstr>
  </property>
  <property fmtid="{D5CDD505-2E9C-101B-9397-08002B2CF9AE}" pid="3" name="output">
    <vt:lpwstr/>
  </property>
</Properties>
</file>