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CREDIT AGREEMENT No.___-___/___-20__</w:t>
      </w:r>
    </w:p>
    <w:p>
      <w:r>
        <w:t>(Loan with transfer of funds)</w:t>
      </w:r>
    </w:p>
    <w:p>
      <w:r>
        <w:t>City/Village ___________                                “____” Month 20__</w:t>
      </w:r>
    </w:p>
    <w:p>
      <w:r>
        <w:br/>
        <w:t xml:space="preserve">The Bank, hereinafter referred to as the “Bank,” represented by (full name of authorized officer), acting on the basis of a Power of Attorney, </w:t>
        <w:br/>
        <w:t xml:space="preserve">on the one side, and (For individuals: Borrower’s name, passport series ____ No. ________ issued on ________); </w:t>
        <w:br/>
        <w:t xml:space="preserve">For sole proprietors: Borrower’s name, passport series ____ No. ________ issued on ________), hereinafter referred to as the “Borrower,” </w:t>
        <w:br/>
        <w:t>on the other side, collectively referred to as the “Parties,” and individually as a “Party” or as indicated above, have concluded this Credit Agreement (hereinafter – the “Agreement”) as follows:</w:t>
        <w:br/>
      </w:r>
    </w:p>
    <w:p>
      <w:pPr>
        <w:pStyle w:val="Heading1"/>
      </w:pPr>
      <w:r>
        <w:t>1. SUBJECT OF THE AGREEMENT</w:t>
      </w:r>
    </w:p>
    <w:p>
      <w:r>
        <w:t>1.1. The Bank provides the Borrower with a loan in the amount of (amount in figures) (amount in words) (currency), for a term of (term in figures) (term in words) months, for (loan purpose). The Borrower undertakes to repay the loan and pay interest at the rate of (rate in figures) (rate in words) percent per annum.</w:t>
      </w:r>
    </w:p>
    <w:p>
      <w:pPr>
        <w:pStyle w:val="Heading1"/>
      </w:pPr>
      <w:r>
        <w:t>2. CONDITIONS FOR LOAN PROVISION AND SETTLEMENT PROCEDURE</w:t>
      </w:r>
    </w:p>
    <w:p>
      <w:r>
        <w:t>2.1. The loan is provided in non-cash form by transferring funds to the Seller’s bank account (Seller’s full name) No. ________ at the Bank, as payment for real estate indicated in Clause 1.1 of this Agreement.</w:t>
        <w:br/>
        <w:t>2.2. The loan is considered issued on the date funds are transferred to the Seller’s account (Clause 2.1).</w:t>
        <w:br/>
        <w:t>2.3. Interest is calculated based on the actual number of days in a month and 365 days in a year. Accrual begins the day after disbursement and ends on full repayment.</w:t>
        <w:br/>
        <w:t>2.4. The Effective Annual Interest Rate (EAIR) is calculated and indicated in Annex No. 2 “Repayment Schedule,” which is an integral part of this Agreement.</w:t>
        <w:br/>
        <w:t>2.5. Repayment is made per the Schedule by direct debit from Borrower’s accounts, or in cash through the Bank’s cash desk, or by any available method. If the repayment date falls on a non-working day, it is postponed to the next working day. Payments must be made by 16:00 on the due date.</w:t>
        <w:br/>
        <w:t>2.6. The Schedule may be amended by signing a new Schedule by the Parties; the old one becomes void.</w:t>
        <w:br/>
        <w:t>2.7. If the Borrower fails to repay as scheduled or has insufficient funds, the debt becomes overdue and penalties apply.</w:t>
        <w:br/>
        <w:t>2.8. In case of overdue debt, interest continues to accrue until full repayment.</w:t>
        <w:br/>
        <w:t>2.9. Repayment follows Kyrgyz law and this Agreement.</w:t>
        <w:br/>
        <w:t>2.10. (Additional conditions may be included by decision of the Credit Committee; otherwise deleted).</w:t>
      </w:r>
    </w:p>
    <w:p>
      <w:pPr>
        <w:pStyle w:val="Heading1"/>
      </w:pPr>
      <w:r>
        <w:t>3. RIGHTS AND OBLIGATIONS OF THE BANK</w:t>
      </w:r>
    </w:p>
    <w:p>
      <w:r>
        <w:t>3.1. The Bank has the right to:</w:t>
        <w:br/>
        <w:t>- Check targeted use of loan and compliance with obligations, including collateral agreements.</w:t>
        <w:br/>
        <w:t>- Debit any Borrower accounts without consent to cover debts, penalties, fees. If accounts are in another currency, conversion is at the Bank’s rate with applicable commission.</w:t>
        <w:br/>
        <w:t>- Include loan rights into credit portfolios assignable as collateral.</w:t>
        <w:br/>
        <w:t>- Share/receive Borrower data with credit bureaus and financial institutions under Kyrgyz law.</w:t>
        <w:br/>
        <w:t>- Demand early repayment under Section 7.</w:t>
        <w:br/>
        <w:t>3.2. The Bank must:</w:t>
        <w:br/>
        <w:t>- Provide the loan under agreed terms.</w:t>
        <w:br/>
        <w:t>- Provide Borrower with loan information and account details within 3 business days upon request.</w:t>
        <w:br/>
        <w:t>- Notify Borrower of rights assignment to third parties.</w:t>
        <w:br/>
        <w:t>- Cease charging penalties 15 days after notice of foreclosure proceedings is issued.</w:t>
      </w:r>
    </w:p>
    <w:p>
      <w:pPr>
        <w:pStyle w:val="Heading1"/>
      </w:pPr>
      <w:r>
        <w:t>4. RIGHTS AND OBLIGATIONS OF THE BORROWER</w:t>
      </w:r>
    </w:p>
    <w:p>
      <w:r>
        <w:t>4.1. The Borrower has the right to:</w:t>
        <w:br/>
        <w:t>- Prepay partially or fully without penalties if notified 30 days in advance.</w:t>
        <w:br/>
        <w:t>- Refuse the loan after signing but before receiving funds, without cost.</w:t>
        <w:br/>
        <w:t>- Receive explanations on loan, penalty, and payment calculations.</w:t>
        <w:br/>
        <w:t>4.2. The Borrower must:</w:t>
        <w:br/>
        <w:t>- Repay loan, interest, penalties under the Agreement and Schedule.</w:t>
        <w:br/>
        <w:t>- Compensate Bank expenses within 1 business day of demand, pay fees/commissions per Bank tariffs.</w:t>
        <w:br/>
        <w:t>- Use the loan strictly for its purpose.</w:t>
        <w:br/>
        <w:t>- Allow inspections of collateral and provide required documents (contracts, financial data, compliance with AML/CFT law).</w:t>
        <w:br/>
        <w:t>- Provide information on other loans at least once every six months.</w:t>
        <w:br/>
        <w:t>- Notify Bank in writing of changes in personal/business data immediately.</w:t>
        <w:br/>
        <w:t>- (Additional conditions per Credit Committee; otherwise deleted).</w:t>
      </w:r>
    </w:p>
    <w:p>
      <w:pPr>
        <w:pStyle w:val="Heading1"/>
      </w:pPr>
      <w:r>
        <w:t>5. COLLATERAL</w:t>
      </w:r>
    </w:p>
    <w:p>
      <w:r>
        <w:t xml:space="preserve">5.1. Borrower’s obligations are secured by: </w:t>
        <w:br/>
        <w:t>Contract name/number/date, etc.</w:t>
        <w:br/>
        <w:t>5.2. Foreclosure on collateral may only be by court order if it has cultural value or is sole housing, except for property bought/built with Bank’s loan funds.</w:t>
      </w:r>
    </w:p>
    <w:p>
      <w:pPr>
        <w:pStyle w:val="Heading1"/>
      </w:pPr>
      <w:r>
        <w:t>6. INSURANCE</w:t>
      </w:r>
    </w:p>
    <w:p>
      <w:r>
        <w:t>6.1. At the Bank’s request, the Borrower must insure collateral throughout the Agreement’s term with an insurer acceptable to the Bank, listing the Bank as beneficiary. Policies may be annual with renewal, or longer but not beyond the loan term.</w:t>
      </w:r>
    </w:p>
    <w:p>
      <w:pPr>
        <w:pStyle w:val="Heading1"/>
      </w:pPr>
      <w:r>
        <w:t>7. LIABILITY OF THE PARTIES</w:t>
      </w:r>
    </w:p>
    <w:p>
      <w:r>
        <w:t>7.1. Parties are liable under Kyrgyz law.</w:t>
        <w:br/>
        <w:t>7.2. If repayment is delayed, Borrower pays penalties of (rate) percent per annum of overdue amount for each day until repaid, capped at 20% of loan principal.</w:t>
        <w:br/>
        <w:t>7.3. If Borrower fails to notify Bank of early repayment (per 4.1.1), a penalty applies per Annex No. 1.</w:t>
        <w:br/>
        <w:t>7.4. Borrower agrees Bank may demand early repayment, foreclose, or enforce under law if:</w:t>
        <w:br/>
        <w:t>- Obligations are breached,</w:t>
        <w:br/>
        <w:t>- False documents provided,</w:t>
        <w:br/>
        <w:t>- Other risks affect Borrower’s ability to repay,</w:t>
        <w:br/>
        <w:t>- As otherwise provided by law.</w:t>
        <w:br/>
        <w:t>7.5. Upon these cases, all obligations are deemed immediately due.</w:t>
      </w:r>
    </w:p>
    <w:p>
      <w:pPr>
        <w:pStyle w:val="Heading1"/>
      </w:pPr>
      <w:r>
        <w:t>8. FORCE MAJEURE</w:t>
      </w:r>
    </w:p>
    <w:p>
      <w:r>
        <w:t>8.1. Neither Party is liable for non-performance due to force majeure.</w:t>
        <w:br/>
        <w:t>8.2. Affected Party must notify the other within 3 business days with supporting documents.</w:t>
      </w:r>
    </w:p>
    <w:p>
      <w:pPr>
        <w:pStyle w:val="Heading1"/>
      </w:pPr>
      <w:r>
        <w:t>9. OTHER CONDITIONS</w:t>
      </w:r>
    </w:p>
    <w:p>
      <w:r>
        <w:t>9.1. Agreement may be amended by written addenda, except where otherwise stated herein.</w:t>
        <w:br/>
        <w:t>9.2. Disputes are resolved by negotiation; otherwise, by Kyrgyz courts.</w:t>
        <w:br/>
        <w:t>9.3. For matters not covered herein, Kyrgyz law and banking practice apply.</w:t>
        <w:br/>
        <w:t>9.4. Notices sent by the Bank to Borrower’s addresses in this Agreement are deemed delivered; proof is postal receipt of registered mail.</w:t>
        <w:br/>
        <w:t>9.5. Borrower confirms:</w:t>
        <w:br/>
        <w:t>- Legal capacity, understanding, and voluntary nature of Agreement.</w:t>
        <w:br/>
        <w:t>- Acknowledges risks of foreign currency loans vs income in local currency.</w:t>
        <w:br/>
        <w:t>- Right to receive draft Agreement and seek advice within 3 days.</w:t>
        <w:br/>
        <w:t>- Right to choose language of Agreement and annexes.</w:t>
        <w:br/>
        <w:t>- Receipt of one copy of Agreement.</w:t>
        <w:br/>
        <w:t>- Consent to receive notifications by SMS, email, or other channels.</w:t>
        <w:br/>
        <w:t>- Bank explained consequences of non-performance.</w:t>
        <w:br/>
        <w:t>9.6. Agreement is executed in (number) copies, each with equal legal force.</w:t>
        <w:br/>
        <w:t>9.7. Agreement effective upon signing, valid until full obligations are met, unless terminated earlier (per 4.1.2).</w:t>
      </w:r>
    </w:p>
    <w:p>
      <w:r>
        <w:br/>
        <w:t>(Signature) _________________________ (Borrower’s Full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