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35D8" w14:textId="77777777" w:rsidR="00543D77" w:rsidRPr="00543D77" w:rsidRDefault="00543D77" w:rsidP="00543D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Normative legal acts (NPA) and internal acts/procedures (current versions) guiding the Consumer Protection Department (ОЗПП) in its activities:</w:t>
      </w:r>
    </w:p>
    <w:p w14:paraId="713AA331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Constitution of the Kyrgyz Republic</w:t>
      </w:r>
    </w:p>
    <w:p w14:paraId="7193753A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Civil Code of the Kyrgyz Republic, Parts I–II</w:t>
      </w:r>
    </w:p>
    <w:p w14:paraId="41051799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the National Bank of the Kyrgyz Republic”</w:t>
      </w:r>
    </w:p>
    <w:p w14:paraId="7B672737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“On Banks and Banking Activities”</w:t>
      </w:r>
    </w:p>
    <w:p w14:paraId="3F5852A1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Limiting Usurious Activities in the Kyrgyz Republic”</w:t>
      </w:r>
    </w:p>
    <w:p w14:paraId="3A66C8D3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the Procedure for Considering Citizens’ Appeals”</w:t>
      </w:r>
    </w:p>
    <w:p w14:paraId="1433146E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Microfinance Organizations in the Kyrgyz Republic”</w:t>
      </w:r>
    </w:p>
    <w:p w14:paraId="06A38845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Pledge”</w:t>
      </w:r>
    </w:p>
    <w:p w14:paraId="4AAF7D68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Exchange of Credit Information”</w:t>
      </w:r>
    </w:p>
    <w:p w14:paraId="496ADD6A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Consumer Protection”</w:t>
      </w:r>
    </w:p>
    <w:p w14:paraId="23BD1529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Law of the Kyrgyz Republic “On Personal Data”</w:t>
      </w:r>
    </w:p>
    <w:p w14:paraId="27E17DB8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Regulation on Minimum Requirements for the Procedure of Providing Banking Services and Considering Consumer Complaints</w:t>
      </w:r>
    </w:p>
    <w:p w14:paraId="10A0BBB0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Regulation on Minimum Requirements for Credit Risk Management in Commercial Banks and Other Financial-Credit Organizations Licensed by the National Bank of the Kyrgyz Republic</w:t>
      </w:r>
    </w:p>
    <w:p w14:paraId="014CF920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Regulation on Minimum Requirements for Credit Risk Management in Microfinance Organizations that Do Not Attract Deposits</w:t>
      </w:r>
    </w:p>
    <w:p w14:paraId="00FDFE38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Policy and Basic Principles of Antimonopoly Regulation, Competition Development, and Consumer Rights Protection in the Banking Services Market of the Kyrgyz Republic, Provided by Commercial Banks and Other Financial-Credit Organizations Licensed and Regulated by the National Bank of the Kyrgyz Republic</w:t>
      </w:r>
    </w:p>
    <w:p w14:paraId="2B0E69A9" w14:textId="77777777" w:rsidR="00543D77" w:rsidRPr="00543D77" w:rsidRDefault="00543D77" w:rsidP="00543D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3D77">
        <w:rPr>
          <w:rFonts w:ascii="Times New Roman" w:hAnsi="Times New Roman" w:cs="Times New Roman"/>
          <w:sz w:val="24"/>
          <w:szCs w:val="24"/>
          <w:lang w:val="en-US"/>
        </w:rPr>
        <w:t>Guidelines for Supervising the Conduct of Financial-Credit Organizations in the Market Regarding Compliance with Consumer Rights in Banking Services (internal document regulating the procedure for inspector checks).</w:t>
      </w:r>
    </w:p>
    <w:p w14:paraId="1B96CB3A" w14:textId="77777777" w:rsidR="00E5116E" w:rsidRPr="00543D77" w:rsidRDefault="00E5116E" w:rsidP="00543D77">
      <w:pPr>
        <w:rPr>
          <w:lang w:val="en-US"/>
        </w:rPr>
      </w:pPr>
    </w:p>
    <w:sectPr w:rsidR="00E5116E" w:rsidRPr="00543D77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308B4" w14:textId="77777777" w:rsidR="004A6634" w:rsidRDefault="004A6634" w:rsidP="00543D77">
      <w:pPr>
        <w:spacing w:after="0" w:line="240" w:lineRule="auto"/>
      </w:pPr>
      <w:r>
        <w:separator/>
      </w:r>
    </w:p>
  </w:endnote>
  <w:endnote w:type="continuationSeparator" w:id="0">
    <w:p w14:paraId="0DA3129B" w14:textId="77777777" w:rsidR="004A6634" w:rsidRDefault="004A6634" w:rsidP="00543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199F" w14:textId="6A36BDA5" w:rsidR="00543D77" w:rsidRDefault="00543D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164193" wp14:editId="1956A17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57505"/>
              <wp:effectExtent l="0" t="0" r="0" b="0"/>
              <wp:wrapNone/>
              <wp:docPr id="227286901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04B87C" w14:textId="2B263D99" w:rsidR="00543D77" w:rsidRPr="00543D77" w:rsidRDefault="00543D77" w:rsidP="00543D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3D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641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95pt;margin-top:0;width:87.15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1704B87C" w14:textId="2B263D99" w:rsidR="00543D77" w:rsidRPr="00543D77" w:rsidRDefault="00543D77" w:rsidP="00543D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3D7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FBFF3" w14:textId="7A3ED529" w:rsidR="00543D77" w:rsidRDefault="00543D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846EB8" wp14:editId="725A4009">
              <wp:simplePos x="1081088" y="10072688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57505"/>
              <wp:effectExtent l="0" t="0" r="0" b="0"/>
              <wp:wrapNone/>
              <wp:docPr id="1477119436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70CB8" w14:textId="7C5FAD2E" w:rsidR="00543D77" w:rsidRPr="00543D77" w:rsidRDefault="00543D77" w:rsidP="00543D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3D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46E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95pt;margin-top:0;width:87.15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0670CB8" w14:textId="7C5FAD2E" w:rsidR="00543D77" w:rsidRPr="00543D77" w:rsidRDefault="00543D77" w:rsidP="00543D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3D7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B1B66" w14:textId="20E4D22D" w:rsidR="00543D77" w:rsidRDefault="00543D7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5FDEF8" wp14:editId="1B8AAD4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6805" cy="357505"/>
              <wp:effectExtent l="0" t="0" r="0" b="0"/>
              <wp:wrapNone/>
              <wp:docPr id="1798119146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68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0ADD1" w14:textId="58991B04" w:rsidR="00543D77" w:rsidRPr="00543D77" w:rsidRDefault="00543D77" w:rsidP="00543D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3D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FDE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95pt;margin-top:0;width:87.1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980ADD1" w14:textId="58991B04" w:rsidR="00543D77" w:rsidRPr="00543D77" w:rsidRDefault="00543D77" w:rsidP="00543D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3D7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D1A58" w14:textId="77777777" w:rsidR="004A6634" w:rsidRDefault="004A6634" w:rsidP="00543D77">
      <w:pPr>
        <w:spacing w:after="0" w:line="240" w:lineRule="auto"/>
      </w:pPr>
      <w:r>
        <w:separator/>
      </w:r>
    </w:p>
  </w:footnote>
  <w:footnote w:type="continuationSeparator" w:id="0">
    <w:p w14:paraId="4295E846" w14:textId="77777777" w:rsidR="004A6634" w:rsidRDefault="004A6634" w:rsidP="00543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0C6"/>
    <w:multiLevelType w:val="multilevel"/>
    <w:tmpl w:val="8C4E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15C94"/>
    <w:multiLevelType w:val="hybridMultilevel"/>
    <w:tmpl w:val="97A4FEE6"/>
    <w:lvl w:ilvl="0" w:tplc="A06CE3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577B0"/>
    <w:multiLevelType w:val="hybridMultilevel"/>
    <w:tmpl w:val="1C507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450F8"/>
    <w:multiLevelType w:val="hybridMultilevel"/>
    <w:tmpl w:val="FAE60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42416">
    <w:abstractNumId w:val="1"/>
  </w:num>
  <w:num w:numId="2" w16cid:durableId="1313408584">
    <w:abstractNumId w:val="2"/>
  </w:num>
  <w:num w:numId="3" w16cid:durableId="817460237">
    <w:abstractNumId w:val="3"/>
  </w:num>
  <w:num w:numId="4" w16cid:durableId="27263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5D9"/>
    <w:rsid w:val="002665D9"/>
    <w:rsid w:val="004A6634"/>
    <w:rsid w:val="00543D77"/>
    <w:rsid w:val="00753671"/>
    <w:rsid w:val="00812D76"/>
    <w:rsid w:val="008525F0"/>
    <w:rsid w:val="00B12DFC"/>
    <w:rsid w:val="00C6487E"/>
    <w:rsid w:val="00E5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7564"/>
  <w15:chartTrackingRefBased/>
  <w15:docId w15:val="{6DDD2946-E2AE-4888-A914-7F18D73B5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(numbered (a)),List Paragraph1,WB Para,Akapit z listą BS,List Paragraph 1,NUMBERED PARAGRAPH,References,CPS,List_Paragraph,Multilevel para_II,Listenabsatz_SKS"/>
    <w:basedOn w:val="Normal"/>
    <w:link w:val="ListParagraphChar"/>
    <w:uiPriority w:val="34"/>
    <w:qFormat/>
    <w:rsid w:val="00E5116E"/>
    <w:pPr>
      <w:ind w:left="720"/>
      <w:contextualSpacing/>
    </w:pPr>
  </w:style>
  <w:style w:type="character" w:customStyle="1" w:styleId="NoSpacingChar">
    <w:name w:val="No Spacing Char"/>
    <w:aliases w:val="3ж Char,33 Char,для вставки Char"/>
    <w:basedOn w:val="DefaultParagraphFont"/>
    <w:link w:val="NoSpacing"/>
    <w:uiPriority w:val="1"/>
    <w:locked/>
    <w:rsid w:val="00812D76"/>
    <w:rPr>
      <w:rFonts w:ascii="Calibri" w:hAnsi="Calibri" w:cs="Calibri"/>
    </w:rPr>
  </w:style>
  <w:style w:type="paragraph" w:styleId="NoSpacing">
    <w:name w:val="No Spacing"/>
    <w:aliases w:val="3ж,33,для вставки"/>
    <w:basedOn w:val="Normal"/>
    <w:link w:val="NoSpacingChar"/>
    <w:uiPriority w:val="1"/>
    <w:qFormat/>
    <w:rsid w:val="00812D76"/>
    <w:pPr>
      <w:spacing w:after="0" w:line="240" w:lineRule="auto"/>
    </w:pPr>
    <w:rPr>
      <w:rFonts w:ascii="Calibri" w:hAnsi="Calibri" w:cs="Calibri"/>
    </w:rPr>
  </w:style>
  <w:style w:type="character" w:customStyle="1" w:styleId="ListParagraphChar">
    <w:name w:val="List Paragraph Char"/>
    <w:aliases w:val="List Paragraph (numbered (a)) Char,List Paragraph1 Char,WB Para Char,Akapit z listą BS Char,List Paragraph 1 Char,NUMBERED PARAGRAPH Char,References Char,CPS Char,List_Paragraph Char,Multilevel para_II Char,Listenabsatz_SKS Char"/>
    <w:basedOn w:val="DefaultParagraphFont"/>
    <w:link w:val="ListParagraph"/>
    <w:uiPriority w:val="34"/>
    <w:locked/>
    <w:rsid w:val="00812D76"/>
  </w:style>
  <w:style w:type="paragraph" w:styleId="Footer">
    <w:name w:val="footer"/>
    <w:basedOn w:val="Normal"/>
    <w:link w:val="FooterChar"/>
    <w:uiPriority w:val="99"/>
    <w:unhideWhenUsed/>
    <w:rsid w:val="00543D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Бактыбеков Темирлан Бактыбекович</dc:creator>
  <cp:keywords/>
  <dc:description/>
  <cp:lastModifiedBy>Oumaima Makhlouk</cp:lastModifiedBy>
  <cp:revision>2</cp:revision>
  <dcterms:created xsi:type="dcterms:W3CDTF">2025-09-09T14:33:00Z</dcterms:created>
  <dcterms:modified xsi:type="dcterms:W3CDTF">2025-09-09T14:33:00Z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6b2d1eea,d8c1f75,580b0dcc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2025-09-09T14:33:41Z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f71fddeb-1a59-4f7a-b04f-798f15dcf7d5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