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Agreement</w:t>
      </w:r>
    </w:p>
    <w:p>
      <w:r>
        <w:t>This Credit Agreement is concluded between the Bank and the Borrower.</w:t>
      </w:r>
    </w:p>
    <w:p>
      <w:r>
        <w:t>The Borrower shall repay the loan according to the schedule.</w:t>
      </w:r>
    </w:p>
    <w:p>
      <w:r>
        <w:t>В случае досрочного погашения (early repayment) может взиматься комиссия или штраф.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