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64A08" w14:textId="77777777" w:rsidR="00B37796" w:rsidRDefault="00387158" w:rsidP="00387158">
      <w:pPr>
        <w:ind w:firstLine="708"/>
        <w:jc w:val="both"/>
        <w:rPr>
          <w:b/>
          <w:i/>
          <w:sz w:val="28"/>
          <w:szCs w:val="28"/>
        </w:rPr>
      </w:pPr>
      <w:r w:rsidRPr="00B37796">
        <w:rPr>
          <w:b/>
          <w:i/>
          <w:sz w:val="28"/>
          <w:szCs w:val="28"/>
        </w:rPr>
        <w:t>1. Положения Национального банка «О минимальных требованиях к порядку предоставления банковских услуг и рассмотрения обращений потребителей»</w:t>
      </w:r>
    </w:p>
    <w:p w14:paraId="1072E1C9" w14:textId="77777777" w:rsidR="00387158" w:rsidRDefault="00B37796" w:rsidP="00387158">
      <w:pPr>
        <w:ind w:firstLine="708"/>
        <w:jc w:val="both"/>
        <w:rPr>
          <w:szCs w:val="24"/>
        </w:rPr>
      </w:pPr>
      <w:r>
        <w:rPr>
          <w:szCs w:val="24"/>
        </w:rPr>
        <w:t xml:space="preserve"> </w:t>
      </w:r>
    </w:p>
    <w:p w14:paraId="224C9D6F" w14:textId="77777777" w:rsidR="00387158" w:rsidRPr="00387158" w:rsidRDefault="00387158" w:rsidP="00387158">
      <w:pPr>
        <w:pStyle w:val="tkTekst"/>
        <w:spacing w:after="0"/>
        <w:rPr>
          <w:rFonts w:ascii="Times New Roman" w:hAnsi="Times New Roman" w:cs="Times New Roman"/>
          <w:sz w:val="24"/>
          <w:szCs w:val="24"/>
        </w:rPr>
      </w:pPr>
      <w:r w:rsidRPr="00C0497C">
        <w:rPr>
          <w:rFonts w:ascii="Times New Roman" w:hAnsi="Times New Roman" w:cs="Times New Roman"/>
          <w:b/>
          <w:sz w:val="24"/>
          <w:szCs w:val="24"/>
        </w:rPr>
        <w:t>Пункт 11.</w:t>
      </w:r>
      <w:r w:rsidRPr="00387158">
        <w:rPr>
          <w:rFonts w:ascii="Times New Roman" w:hAnsi="Times New Roman" w:cs="Times New Roman"/>
          <w:sz w:val="24"/>
          <w:szCs w:val="24"/>
        </w:rPr>
        <w:t xml:space="preserve"> Договоры, заключаемые с клиентами, должны соответствовать банковскому и иному законодательству Кыргызской Республики. Договоры, заключаемые с клиентами в соответствии с исламскими принципами банковского дела и финансирования, должны соответствовать также и стандартам Шариата. </w:t>
      </w:r>
      <w:r w:rsidRPr="00387158">
        <w:rPr>
          <w:rFonts w:ascii="Times New Roman" w:hAnsi="Times New Roman" w:cs="Times New Roman"/>
          <w:b/>
          <w:sz w:val="24"/>
          <w:szCs w:val="24"/>
          <w:highlight w:val="yellow"/>
        </w:rPr>
        <w:t>Тексты договоров должны быть напечатаны одинаковым шрифтом не менее двенадцатого размера, изложены предельно ясно и доступно для восприятия и понимания потребителями. По выбору потребителя текст договора составляется на государственном или официальном языке, о чем потребитель должен быть в обязательном порядке проинформирован до заключения</w:t>
      </w:r>
      <w:r w:rsidRPr="00387158">
        <w:rPr>
          <w:rFonts w:ascii="Times New Roman" w:hAnsi="Times New Roman" w:cs="Times New Roman"/>
          <w:sz w:val="24"/>
          <w:szCs w:val="24"/>
          <w:highlight w:val="yellow"/>
        </w:rPr>
        <w:t xml:space="preserve"> договора.</w:t>
      </w:r>
      <w:r w:rsidRPr="00387158">
        <w:rPr>
          <w:rFonts w:ascii="Times New Roman" w:hAnsi="Times New Roman" w:cs="Times New Roman"/>
          <w:sz w:val="24"/>
          <w:szCs w:val="24"/>
        </w:rPr>
        <w:t xml:space="preserve"> По усмотрению ФКО текст договора может быть переведен на другой язык с обязательным составлением экземпляра договора на государственном или официальном языке, который имеет преимущественную силу.</w:t>
      </w:r>
    </w:p>
    <w:p w14:paraId="704074C0" w14:textId="77777777" w:rsidR="00387158" w:rsidRDefault="00387158" w:rsidP="00387158">
      <w:pPr>
        <w:ind w:firstLine="708"/>
        <w:jc w:val="both"/>
      </w:pPr>
    </w:p>
    <w:p w14:paraId="73CBEA40" w14:textId="77777777" w:rsidR="00387158" w:rsidRDefault="00387158" w:rsidP="00387158">
      <w:pPr>
        <w:ind w:firstLine="567"/>
        <w:jc w:val="both"/>
        <w:rPr>
          <w:b/>
        </w:rPr>
      </w:pPr>
      <w:r w:rsidRPr="00C0497C">
        <w:rPr>
          <w:b/>
        </w:rPr>
        <w:t>Пункт 20.</w:t>
      </w:r>
      <w:r>
        <w:t xml:space="preserve"> Уступка требования по кредиту может быть произведена исключительно с согласия заемщика (должника). </w:t>
      </w:r>
      <w:r w:rsidRPr="00387158">
        <w:rPr>
          <w:b/>
          <w:highlight w:val="yellow"/>
        </w:rPr>
        <w:t>Не допускается включать в кредитный договор право ФКО (кредитора) на уступку требования по кредиту, независимо от согласия заемщика. Уступка требования по кредиту оформляется отдельным соглашением.</w:t>
      </w:r>
    </w:p>
    <w:p w14:paraId="70E686DE" w14:textId="77777777" w:rsidR="00387158" w:rsidRDefault="00387158" w:rsidP="00387158">
      <w:pPr>
        <w:ind w:firstLine="708"/>
        <w:jc w:val="both"/>
        <w:rPr>
          <w:b/>
        </w:rPr>
      </w:pPr>
    </w:p>
    <w:p w14:paraId="56D0E8F6" w14:textId="77777777" w:rsidR="00387158" w:rsidRPr="00387158" w:rsidRDefault="00387158" w:rsidP="00387158">
      <w:pPr>
        <w:pStyle w:val="tkTekst"/>
        <w:rPr>
          <w:rFonts w:ascii="Times New Roman" w:hAnsi="Times New Roman" w:cs="Times New Roman"/>
          <w:sz w:val="24"/>
          <w:szCs w:val="24"/>
        </w:rPr>
      </w:pPr>
      <w:r w:rsidRPr="00C0497C">
        <w:rPr>
          <w:rFonts w:ascii="Times New Roman" w:hAnsi="Times New Roman" w:cs="Times New Roman"/>
          <w:b/>
          <w:sz w:val="24"/>
          <w:szCs w:val="24"/>
        </w:rPr>
        <w:t>Пункт 21.</w:t>
      </w:r>
      <w:r w:rsidRPr="00387158">
        <w:rPr>
          <w:rFonts w:ascii="Times New Roman" w:hAnsi="Times New Roman" w:cs="Times New Roman"/>
          <w:sz w:val="24"/>
          <w:szCs w:val="24"/>
        </w:rPr>
        <w:t xml:space="preserve"> При осуществлении кредитования потребителей ФКО обязаны соблюдать принципы ответственного кредитования: добросовестность, прозрачность, достоверность, партнерство по отношению к заемщикам, учет их экономических интересов и финансовых возможностей, а также обеспечить безусловное выполнение следующих требований:</w:t>
      </w:r>
    </w:p>
    <w:p w14:paraId="2785F804" w14:textId="77777777" w:rsidR="00387158" w:rsidRPr="00387158" w:rsidRDefault="00387158" w:rsidP="00387158">
      <w:pPr>
        <w:pStyle w:val="tkTekst"/>
        <w:rPr>
          <w:rFonts w:ascii="Times New Roman" w:hAnsi="Times New Roman" w:cs="Times New Roman"/>
          <w:b/>
          <w:sz w:val="24"/>
          <w:szCs w:val="24"/>
        </w:rPr>
      </w:pPr>
      <w:r>
        <w:rPr>
          <w:rFonts w:ascii="Times New Roman" w:hAnsi="Times New Roman" w:cs="Times New Roman"/>
          <w:sz w:val="24"/>
          <w:szCs w:val="24"/>
        </w:rPr>
        <w:t xml:space="preserve">Подпункт </w:t>
      </w:r>
      <w:r w:rsidRPr="00387158">
        <w:rPr>
          <w:rFonts w:ascii="Times New Roman" w:hAnsi="Times New Roman" w:cs="Times New Roman"/>
          <w:sz w:val="24"/>
          <w:szCs w:val="24"/>
        </w:rPr>
        <w:t xml:space="preserve">7) </w:t>
      </w:r>
      <w:r w:rsidRPr="00387158">
        <w:rPr>
          <w:rFonts w:ascii="Times New Roman" w:hAnsi="Times New Roman" w:cs="Times New Roman"/>
          <w:b/>
          <w:sz w:val="24"/>
          <w:szCs w:val="24"/>
          <w:highlight w:val="yellow"/>
        </w:rPr>
        <w:t>кредитный договор (договор лизинга) должен предусматривать право заемщика на досрочное погашение кредита (лизинга) в любое время без каких-либо комиссий, штрафных санкций и иных платежей в соответствии с требованиями законодательства Кыргызской Республики;</w:t>
      </w:r>
    </w:p>
    <w:p w14:paraId="59887257" w14:textId="77777777" w:rsidR="00387158" w:rsidRPr="00387158" w:rsidRDefault="00387158" w:rsidP="00387158">
      <w:pPr>
        <w:pStyle w:val="tkTekst"/>
        <w:rPr>
          <w:rFonts w:ascii="Times New Roman" w:hAnsi="Times New Roman" w:cs="Times New Roman"/>
          <w:b/>
          <w:sz w:val="24"/>
          <w:szCs w:val="24"/>
        </w:rPr>
      </w:pPr>
      <w:r>
        <w:rPr>
          <w:rFonts w:ascii="Times New Roman" w:hAnsi="Times New Roman" w:cs="Times New Roman"/>
          <w:sz w:val="24"/>
          <w:szCs w:val="24"/>
        </w:rPr>
        <w:t>Подпункт</w:t>
      </w:r>
      <w:r w:rsidRPr="00387158">
        <w:rPr>
          <w:rFonts w:ascii="Times New Roman" w:hAnsi="Times New Roman" w:cs="Times New Roman"/>
          <w:sz w:val="24"/>
          <w:szCs w:val="24"/>
        </w:rPr>
        <w:t xml:space="preserve"> 8) </w:t>
      </w:r>
      <w:r w:rsidRPr="00387158">
        <w:rPr>
          <w:rFonts w:ascii="Times New Roman" w:hAnsi="Times New Roman" w:cs="Times New Roman"/>
          <w:b/>
          <w:sz w:val="24"/>
          <w:szCs w:val="24"/>
          <w:highlight w:val="yellow"/>
        </w:rPr>
        <w:t>размер процента по неустойке (штрафам, пени) за просроченную задолженность по основной сумме кредита и процентам должен быть не более процентной ставки по кредиту, указанной в договоре; при этом размер неустойки (штрафов, пени), начисленной за весь период действия кредита, не должен превышать десяти процентов от суммы выданного кредита. Начисление неустойки приостанавливается на шесть месяцев со дня смерти заемщика;</w:t>
      </w:r>
    </w:p>
    <w:p w14:paraId="629758FB" w14:textId="77777777" w:rsidR="00387158" w:rsidRPr="00387158" w:rsidRDefault="00387158" w:rsidP="00387158">
      <w:pPr>
        <w:pStyle w:val="tkTekst"/>
        <w:rPr>
          <w:rFonts w:ascii="Times New Roman" w:hAnsi="Times New Roman" w:cs="Times New Roman"/>
          <w:b/>
          <w:sz w:val="24"/>
          <w:szCs w:val="24"/>
        </w:rPr>
      </w:pPr>
      <w:r>
        <w:rPr>
          <w:rFonts w:ascii="Times New Roman" w:hAnsi="Times New Roman" w:cs="Times New Roman"/>
          <w:sz w:val="24"/>
          <w:szCs w:val="24"/>
        </w:rPr>
        <w:t>Подпункт</w:t>
      </w:r>
      <w:r w:rsidRPr="00387158">
        <w:rPr>
          <w:rFonts w:ascii="Times New Roman" w:hAnsi="Times New Roman" w:cs="Times New Roman"/>
          <w:sz w:val="24"/>
          <w:szCs w:val="24"/>
        </w:rPr>
        <w:t xml:space="preserve"> 9) </w:t>
      </w:r>
      <w:r w:rsidRPr="00387158">
        <w:rPr>
          <w:rFonts w:ascii="Times New Roman" w:hAnsi="Times New Roman" w:cs="Times New Roman"/>
          <w:b/>
          <w:sz w:val="24"/>
          <w:szCs w:val="24"/>
          <w:highlight w:val="yellow"/>
        </w:rPr>
        <w:t>единственное жилое помещение, выступающее предметом залога, подлежит взысканию исключительно в судебном порядке и реализуется через публичные торги, за исключением случаев, предусмотренных законодательством. Не допускается включение в договоры и соглашения арбитражной (третейской) оговорки об обращении взыскания на предмет залога.</w:t>
      </w:r>
    </w:p>
    <w:p w14:paraId="633D8C2B" w14:textId="77777777" w:rsidR="00387158" w:rsidRDefault="00387158" w:rsidP="00387158">
      <w:pPr>
        <w:pStyle w:val="tkTekst"/>
        <w:rPr>
          <w:rFonts w:ascii="Times New Roman" w:hAnsi="Times New Roman" w:cs="Times New Roman"/>
          <w:sz w:val="24"/>
          <w:szCs w:val="24"/>
        </w:rPr>
      </w:pPr>
    </w:p>
    <w:p w14:paraId="4B37388B" w14:textId="77777777" w:rsidR="002F12A0" w:rsidRDefault="002F12A0" w:rsidP="00387158">
      <w:pPr>
        <w:pStyle w:val="tkTekst"/>
        <w:rPr>
          <w:rFonts w:ascii="Times New Roman" w:hAnsi="Times New Roman" w:cs="Times New Roman"/>
          <w:sz w:val="24"/>
          <w:szCs w:val="24"/>
        </w:rPr>
      </w:pPr>
    </w:p>
    <w:p w14:paraId="20810E0E" w14:textId="77777777" w:rsidR="002F12A0" w:rsidRDefault="002F12A0" w:rsidP="00387158">
      <w:pPr>
        <w:pStyle w:val="tkTekst"/>
        <w:rPr>
          <w:rFonts w:ascii="Times New Roman" w:hAnsi="Times New Roman" w:cs="Times New Roman"/>
          <w:sz w:val="24"/>
          <w:szCs w:val="24"/>
        </w:rPr>
      </w:pPr>
    </w:p>
    <w:p w14:paraId="1204F599" w14:textId="77777777" w:rsidR="002F12A0" w:rsidRDefault="002F12A0" w:rsidP="00387158">
      <w:pPr>
        <w:pStyle w:val="tkTekst"/>
        <w:rPr>
          <w:rFonts w:ascii="Times New Roman" w:hAnsi="Times New Roman" w:cs="Times New Roman"/>
          <w:sz w:val="24"/>
          <w:szCs w:val="24"/>
        </w:rPr>
      </w:pPr>
    </w:p>
    <w:p w14:paraId="634E9F22" w14:textId="77777777" w:rsidR="00001F53" w:rsidRPr="00B37796" w:rsidRDefault="00EF79D5" w:rsidP="002F12A0">
      <w:pPr>
        <w:pStyle w:val="tkTekst"/>
        <w:rPr>
          <w:b/>
          <w:i/>
          <w:sz w:val="28"/>
          <w:szCs w:val="28"/>
        </w:rPr>
      </w:pPr>
      <w:r>
        <w:rPr>
          <w:rFonts w:ascii="Times New Roman" w:hAnsi="Times New Roman" w:cs="Times New Roman"/>
          <w:b/>
          <w:i/>
          <w:sz w:val="28"/>
          <w:szCs w:val="28"/>
        </w:rPr>
        <w:lastRenderedPageBreak/>
        <w:t xml:space="preserve">2. </w:t>
      </w:r>
      <w:r w:rsidR="00001F53" w:rsidRPr="00B37796">
        <w:rPr>
          <w:rFonts w:ascii="Times New Roman" w:hAnsi="Times New Roman" w:cs="Times New Roman"/>
          <w:b/>
          <w:i/>
          <w:sz w:val="28"/>
          <w:szCs w:val="28"/>
        </w:rPr>
        <w:t>Положение «о минимальных требованиях по управлению кредитным риском в коммерческих банках и других финансово-кредитных организациях, лицензируемых Национальным банком Кыргызской Республики»</w:t>
      </w:r>
    </w:p>
    <w:p w14:paraId="5A3BD02A" w14:textId="77777777" w:rsidR="002F12A0" w:rsidRPr="00001F53" w:rsidRDefault="004E1BFD" w:rsidP="00001F53">
      <w:pPr>
        <w:pStyle w:val="tkTekst"/>
        <w:spacing w:after="0"/>
        <w:rPr>
          <w:rFonts w:ascii="Times New Roman" w:hAnsi="Times New Roman" w:cs="Times New Roman"/>
          <w:sz w:val="24"/>
          <w:szCs w:val="24"/>
        </w:rPr>
      </w:pPr>
      <w:r w:rsidRPr="00C0497C">
        <w:rPr>
          <w:rFonts w:ascii="Times New Roman" w:hAnsi="Times New Roman" w:cs="Times New Roman"/>
          <w:b/>
          <w:sz w:val="24"/>
          <w:szCs w:val="24"/>
        </w:rPr>
        <w:t xml:space="preserve"> Пункт </w:t>
      </w:r>
      <w:r w:rsidR="002F12A0" w:rsidRPr="00C0497C">
        <w:rPr>
          <w:rFonts w:ascii="Times New Roman" w:hAnsi="Times New Roman" w:cs="Times New Roman"/>
          <w:b/>
          <w:sz w:val="24"/>
          <w:szCs w:val="24"/>
        </w:rPr>
        <w:t>41.</w:t>
      </w:r>
      <w:r w:rsidR="002F12A0" w:rsidRPr="00001F53">
        <w:rPr>
          <w:rFonts w:ascii="Times New Roman" w:hAnsi="Times New Roman" w:cs="Times New Roman"/>
          <w:sz w:val="24"/>
          <w:szCs w:val="24"/>
        </w:rPr>
        <w:t xml:space="preserve"> В кредитном договоре как минимум указываются:</w:t>
      </w:r>
    </w:p>
    <w:p w14:paraId="43ADBBEA" w14:textId="77777777" w:rsidR="002F12A0" w:rsidRPr="00001F53" w:rsidRDefault="002F12A0" w:rsidP="00001F53">
      <w:pPr>
        <w:pStyle w:val="tkTekst"/>
        <w:spacing w:after="0"/>
        <w:rPr>
          <w:rFonts w:ascii="Times New Roman" w:hAnsi="Times New Roman" w:cs="Times New Roman"/>
          <w:sz w:val="24"/>
          <w:szCs w:val="24"/>
        </w:rPr>
      </w:pPr>
      <w:r w:rsidRPr="00001F53">
        <w:rPr>
          <w:rFonts w:ascii="Times New Roman" w:hAnsi="Times New Roman" w:cs="Times New Roman"/>
          <w:sz w:val="24"/>
          <w:szCs w:val="24"/>
        </w:rPr>
        <w:t>- наименование сторон;</w:t>
      </w:r>
    </w:p>
    <w:p w14:paraId="7B0EE5FB" w14:textId="77777777" w:rsidR="002F12A0" w:rsidRPr="00001F53" w:rsidRDefault="002F12A0" w:rsidP="00001F53">
      <w:pPr>
        <w:pStyle w:val="tkTekst"/>
        <w:spacing w:after="0"/>
        <w:rPr>
          <w:rFonts w:ascii="Times New Roman" w:hAnsi="Times New Roman" w:cs="Times New Roman"/>
          <w:sz w:val="24"/>
          <w:szCs w:val="24"/>
        </w:rPr>
      </w:pPr>
      <w:r w:rsidRPr="00001F53">
        <w:rPr>
          <w:rFonts w:ascii="Times New Roman" w:hAnsi="Times New Roman" w:cs="Times New Roman"/>
          <w:sz w:val="24"/>
          <w:szCs w:val="24"/>
        </w:rPr>
        <w:t>- период действия договора;</w:t>
      </w:r>
    </w:p>
    <w:p w14:paraId="0599D68F" w14:textId="77777777" w:rsidR="002F12A0" w:rsidRPr="00001F53" w:rsidRDefault="002F12A0" w:rsidP="00001F53">
      <w:pPr>
        <w:pStyle w:val="tkTekst"/>
        <w:spacing w:after="0"/>
        <w:rPr>
          <w:rFonts w:ascii="Times New Roman" w:hAnsi="Times New Roman" w:cs="Times New Roman"/>
          <w:sz w:val="24"/>
          <w:szCs w:val="24"/>
        </w:rPr>
      </w:pPr>
      <w:r w:rsidRPr="00001F53">
        <w:rPr>
          <w:rFonts w:ascii="Times New Roman" w:hAnsi="Times New Roman" w:cs="Times New Roman"/>
          <w:sz w:val="24"/>
          <w:szCs w:val="24"/>
        </w:rPr>
        <w:t>- основные условия кредита - сумма, срок погашения, обеспечение, процентная ставка в годовом исчислении, форма выдачи кредита: наличная (через кассу) и/или безналичная (в том числе на счет клиента, посредством использования банковских платежных карт и др.);</w:t>
      </w:r>
    </w:p>
    <w:p w14:paraId="79C8CF89" w14:textId="77777777" w:rsidR="002F12A0" w:rsidRPr="00001F53" w:rsidRDefault="002F12A0" w:rsidP="00001F53">
      <w:pPr>
        <w:pStyle w:val="tkTekst"/>
        <w:spacing w:after="0"/>
        <w:rPr>
          <w:rFonts w:ascii="Times New Roman" w:hAnsi="Times New Roman" w:cs="Times New Roman"/>
          <w:sz w:val="24"/>
          <w:szCs w:val="24"/>
        </w:rPr>
      </w:pPr>
      <w:r w:rsidRPr="00001F53">
        <w:rPr>
          <w:rFonts w:ascii="Times New Roman" w:hAnsi="Times New Roman" w:cs="Times New Roman"/>
          <w:sz w:val="24"/>
          <w:szCs w:val="24"/>
        </w:rPr>
        <w:t>- целевое назначение кредита;</w:t>
      </w:r>
    </w:p>
    <w:p w14:paraId="27CEC5B0" w14:textId="77777777" w:rsidR="002F12A0" w:rsidRPr="00001F53" w:rsidRDefault="002F12A0" w:rsidP="00001F53">
      <w:pPr>
        <w:pStyle w:val="tkTekst"/>
        <w:spacing w:after="0"/>
        <w:rPr>
          <w:rFonts w:ascii="Times New Roman" w:hAnsi="Times New Roman" w:cs="Times New Roman"/>
          <w:sz w:val="24"/>
          <w:szCs w:val="24"/>
        </w:rPr>
      </w:pPr>
      <w:r w:rsidRPr="00001F53">
        <w:rPr>
          <w:rFonts w:ascii="Times New Roman" w:hAnsi="Times New Roman" w:cs="Times New Roman"/>
          <w:sz w:val="24"/>
          <w:szCs w:val="24"/>
        </w:rPr>
        <w:t>- права и обязанности сторон;</w:t>
      </w:r>
    </w:p>
    <w:p w14:paraId="4282C1C9" w14:textId="77777777" w:rsidR="002F12A0" w:rsidRPr="00001F53" w:rsidRDefault="002F12A0" w:rsidP="00001F53">
      <w:pPr>
        <w:pStyle w:val="tkTekst"/>
        <w:spacing w:after="0"/>
        <w:rPr>
          <w:rFonts w:ascii="Times New Roman" w:hAnsi="Times New Roman" w:cs="Times New Roman"/>
          <w:sz w:val="24"/>
          <w:szCs w:val="24"/>
        </w:rPr>
      </w:pPr>
      <w:r w:rsidRPr="00001F53">
        <w:rPr>
          <w:rFonts w:ascii="Times New Roman" w:hAnsi="Times New Roman" w:cs="Times New Roman"/>
          <w:sz w:val="24"/>
          <w:szCs w:val="24"/>
        </w:rPr>
        <w:t xml:space="preserve">- право клиента на досрочное погашение кредита (лизинга) полностью или по частям в любое время без взимания каких-либо комиссий, штрафных санкций и иных платежей в соответствии с требованиями законодательства Кыргызской Республики. При досрочном погашении кредита одним из участников </w:t>
      </w:r>
      <w:r w:rsidR="004E1BFD">
        <w:rPr>
          <w:rFonts w:ascii="Times New Roman" w:hAnsi="Times New Roman" w:cs="Times New Roman"/>
          <w:sz w:val="24"/>
          <w:szCs w:val="24"/>
        </w:rPr>
        <w:t>группы</w:t>
      </w:r>
      <w:r w:rsidR="00001F53" w:rsidRPr="00001F53">
        <w:rPr>
          <w:rFonts w:ascii="Times New Roman" w:hAnsi="Times New Roman" w:cs="Times New Roman"/>
          <w:sz w:val="24"/>
          <w:szCs w:val="24"/>
        </w:rPr>
        <w:t xml:space="preserve"> солидарной ответственности</w:t>
      </w:r>
      <w:r w:rsidR="00001F53">
        <w:rPr>
          <w:rFonts w:ascii="Times New Roman" w:hAnsi="Times New Roman" w:cs="Times New Roman"/>
          <w:sz w:val="24"/>
          <w:szCs w:val="24"/>
        </w:rPr>
        <w:t xml:space="preserve"> (далее </w:t>
      </w:r>
      <w:r w:rsidRPr="00001F53">
        <w:rPr>
          <w:rFonts w:ascii="Times New Roman" w:hAnsi="Times New Roman" w:cs="Times New Roman"/>
          <w:sz w:val="24"/>
          <w:szCs w:val="24"/>
        </w:rPr>
        <w:t>ГСО</w:t>
      </w:r>
      <w:r w:rsidR="00001F53">
        <w:rPr>
          <w:rFonts w:ascii="Times New Roman" w:hAnsi="Times New Roman" w:cs="Times New Roman"/>
          <w:sz w:val="24"/>
          <w:szCs w:val="24"/>
        </w:rPr>
        <w:t>) (</w:t>
      </w:r>
      <w:r w:rsidR="00001F53" w:rsidRPr="00001F53">
        <w:rPr>
          <w:rFonts w:ascii="Times New Roman" w:hAnsi="Times New Roman" w:cs="Times New Roman"/>
          <w:sz w:val="24"/>
          <w:szCs w:val="24"/>
        </w:rPr>
        <w:t>группа солидарной ответственности</w:t>
      </w:r>
      <w:r w:rsidR="00001F53">
        <w:rPr>
          <w:rFonts w:ascii="Times New Roman" w:hAnsi="Times New Roman" w:cs="Times New Roman"/>
          <w:sz w:val="24"/>
          <w:szCs w:val="24"/>
        </w:rPr>
        <w:t>)</w:t>
      </w:r>
      <w:r w:rsidRPr="00001F53">
        <w:rPr>
          <w:rFonts w:ascii="Times New Roman" w:hAnsi="Times New Roman" w:cs="Times New Roman"/>
          <w:sz w:val="24"/>
          <w:szCs w:val="24"/>
        </w:rPr>
        <w:t>, банк может запросить письменное согласие участников ГСО;</w:t>
      </w:r>
    </w:p>
    <w:p w14:paraId="2D51157C" w14:textId="77777777" w:rsidR="002F12A0" w:rsidRPr="00001F53" w:rsidRDefault="002F12A0" w:rsidP="00001F53">
      <w:pPr>
        <w:pStyle w:val="tkTekst"/>
        <w:spacing w:after="0"/>
        <w:rPr>
          <w:rFonts w:ascii="Times New Roman" w:hAnsi="Times New Roman" w:cs="Times New Roman"/>
          <w:sz w:val="24"/>
          <w:szCs w:val="24"/>
        </w:rPr>
      </w:pPr>
      <w:r w:rsidRPr="00001F53">
        <w:rPr>
          <w:rFonts w:ascii="Times New Roman" w:hAnsi="Times New Roman" w:cs="Times New Roman"/>
          <w:sz w:val="24"/>
          <w:szCs w:val="24"/>
        </w:rPr>
        <w:t>- условия предоставления информации о клиенте в кредитные бюро, а также иные случаи использования данных о клиенте в соответствии с законодательством;</w:t>
      </w:r>
    </w:p>
    <w:p w14:paraId="1AB20B3E" w14:textId="77777777" w:rsidR="002F12A0" w:rsidRPr="00001F53" w:rsidRDefault="002F12A0" w:rsidP="00001F53">
      <w:pPr>
        <w:pStyle w:val="tkTekst"/>
        <w:spacing w:after="0"/>
        <w:rPr>
          <w:rFonts w:ascii="Times New Roman" w:hAnsi="Times New Roman" w:cs="Times New Roman"/>
          <w:sz w:val="24"/>
          <w:szCs w:val="24"/>
        </w:rPr>
      </w:pPr>
      <w:r w:rsidRPr="00001F53">
        <w:rPr>
          <w:rFonts w:ascii="Times New Roman" w:hAnsi="Times New Roman" w:cs="Times New Roman"/>
          <w:sz w:val="24"/>
          <w:szCs w:val="24"/>
        </w:rPr>
        <w:t>- санкции за нарушение какой-либо стороной своих обязательств, случаи расторжения кредитного договора.</w:t>
      </w:r>
    </w:p>
    <w:p w14:paraId="3B661128" w14:textId="77777777" w:rsidR="00387158" w:rsidRPr="00C0497C" w:rsidRDefault="002F12A0" w:rsidP="00C0497C">
      <w:pPr>
        <w:pStyle w:val="tkTekst"/>
        <w:spacing w:after="0"/>
        <w:rPr>
          <w:rFonts w:ascii="Times New Roman" w:hAnsi="Times New Roman" w:cs="Times New Roman"/>
          <w:sz w:val="24"/>
          <w:szCs w:val="24"/>
        </w:rPr>
      </w:pPr>
      <w:r w:rsidRPr="00001F53">
        <w:rPr>
          <w:rFonts w:ascii="Times New Roman" w:hAnsi="Times New Roman" w:cs="Times New Roman"/>
          <w:sz w:val="24"/>
          <w:szCs w:val="24"/>
        </w:rPr>
        <w:t>В случае досрочного погашения кредита одним из участников ГСО в своей части, он продолжает нести солидарную ответственность по договору поручительства до полного погашения кредита, полученного в составе данного ГСО. При условии согласия участников ГСО и банка, а также соблюдения условий по минимальному количеству состава ГСО, участник, погасивший кредит в своей части, может быть освобожден от солидарной ответственности.</w:t>
      </w:r>
    </w:p>
    <w:p w14:paraId="55ACF7E2" w14:textId="77777777" w:rsidR="00C0497C" w:rsidRPr="00C0497C" w:rsidRDefault="00C0497C" w:rsidP="00C0497C">
      <w:pPr>
        <w:pStyle w:val="tkTekst"/>
        <w:rPr>
          <w:rFonts w:ascii="Times New Roman" w:hAnsi="Times New Roman" w:cs="Times New Roman"/>
          <w:sz w:val="24"/>
          <w:szCs w:val="24"/>
        </w:rPr>
      </w:pPr>
      <w:r w:rsidRPr="00F23F60">
        <w:rPr>
          <w:rFonts w:ascii="Times New Roman" w:hAnsi="Times New Roman" w:cs="Times New Roman"/>
          <w:b/>
          <w:sz w:val="24"/>
          <w:szCs w:val="24"/>
        </w:rPr>
        <w:t>Пункт 42.</w:t>
      </w:r>
      <w:r w:rsidRPr="00C0497C">
        <w:rPr>
          <w:rFonts w:ascii="Times New Roman" w:hAnsi="Times New Roman" w:cs="Times New Roman"/>
          <w:sz w:val="24"/>
          <w:szCs w:val="24"/>
        </w:rPr>
        <w:t xml:space="preserve"> Услуга, за которую банк взимает комиссионные и иные платежи, должна соответствовать следующим требованиям:</w:t>
      </w:r>
    </w:p>
    <w:p w14:paraId="67AE7676"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 иметь для клиента отдельную выгоду или потребительскую ценность;</w:t>
      </w:r>
    </w:p>
    <w:p w14:paraId="2B037325"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 быть самостоятельной и независимой от основной услуги по предоставлению кредита;</w:t>
      </w:r>
    </w:p>
    <w:p w14:paraId="3E6529F5"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 не относиться к услугам, которые предоставляются безвозмездно в соответствии с требованиями законодательства.</w:t>
      </w:r>
    </w:p>
    <w:p w14:paraId="4A077BD6"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Не допускается взимание банком процентов и комиссий за одну и ту же операцию.</w:t>
      </w:r>
    </w:p>
    <w:p w14:paraId="1C26A6CC"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Неустойка (штраф/пеня) и другие штрафные санкции взимаются банком с клиента только за неисполнение/ненадлежащее исполнение клиентом своих обязательств по кредитному договору и/или иных соглашений.</w:t>
      </w:r>
    </w:p>
    <w:p w14:paraId="11D9A2B9" w14:textId="77777777" w:rsidR="00C0497C" w:rsidRPr="00C0497C" w:rsidRDefault="00C0497C" w:rsidP="00C0497C">
      <w:pPr>
        <w:pStyle w:val="tkTekst"/>
        <w:rPr>
          <w:rFonts w:ascii="Times New Roman" w:hAnsi="Times New Roman" w:cs="Times New Roman"/>
          <w:b/>
          <w:sz w:val="24"/>
          <w:szCs w:val="24"/>
        </w:rPr>
      </w:pPr>
      <w:r w:rsidRPr="00C0497C">
        <w:rPr>
          <w:rFonts w:ascii="Times New Roman" w:hAnsi="Times New Roman" w:cs="Times New Roman"/>
          <w:b/>
          <w:sz w:val="24"/>
          <w:szCs w:val="24"/>
          <w:highlight w:val="yellow"/>
        </w:rPr>
        <w:t xml:space="preserve">Неотъемлемой частью кредитного договора между банком и заемщиком является перечень расходов (платежей) клиентов банка и штрафных санкций, который составляется в табличной форме в соответствии с </w:t>
      </w:r>
      <w:hyperlink r:id="rId9" w:anchor="pr6" w:history="1">
        <w:r w:rsidRPr="00C0497C">
          <w:rPr>
            <w:rStyle w:val="Hyperlink"/>
            <w:rFonts w:ascii="Times New Roman" w:hAnsi="Times New Roman" w:cs="Times New Roman"/>
            <w:b/>
            <w:sz w:val="24"/>
            <w:szCs w:val="24"/>
            <w:highlight w:val="yellow"/>
          </w:rPr>
          <w:t>Приложением 6</w:t>
        </w:r>
      </w:hyperlink>
      <w:r w:rsidRPr="00C0497C">
        <w:rPr>
          <w:rFonts w:ascii="Times New Roman" w:hAnsi="Times New Roman" w:cs="Times New Roman"/>
          <w:b/>
          <w:sz w:val="24"/>
          <w:szCs w:val="24"/>
          <w:highlight w:val="yellow"/>
        </w:rPr>
        <w:t>.</w:t>
      </w:r>
    </w:p>
    <w:tbl>
      <w:tblPr>
        <w:tblW w:w="5000" w:type="pct"/>
        <w:tblCellMar>
          <w:left w:w="0" w:type="dxa"/>
          <w:right w:w="0" w:type="dxa"/>
        </w:tblCellMar>
        <w:tblLook w:val="04A0" w:firstRow="1" w:lastRow="0" w:firstColumn="1" w:lastColumn="0" w:noHBand="0" w:noVBand="1"/>
      </w:tblPr>
      <w:tblGrid>
        <w:gridCol w:w="9355"/>
      </w:tblGrid>
      <w:tr w:rsidR="00C0497C" w:rsidRPr="00C0497C" w14:paraId="0A18B991" w14:textId="77777777" w:rsidTr="00C0497C">
        <w:tc>
          <w:tcPr>
            <w:tcW w:w="1750" w:type="pct"/>
            <w:tcMar>
              <w:top w:w="0" w:type="dxa"/>
              <w:left w:w="108" w:type="dxa"/>
              <w:bottom w:w="0" w:type="dxa"/>
              <w:right w:w="108" w:type="dxa"/>
            </w:tcMar>
            <w:hideMark/>
          </w:tcPr>
          <w:p w14:paraId="6544590A" w14:textId="77777777" w:rsidR="00C0497C" w:rsidRPr="00C0497C" w:rsidRDefault="00C0497C" w:rsidP="00C0497C">
            <w:pPr>
              <w:spacing w:after="60" w:line="276" w:lineRule="auto"/>
              <w:jc w:val="center"/>
              <w:rPr>
                <w:szCs w:val="24"/>
              </w:rPr>
            </w:pPr>
            <w:r w:rsidRPr="00C0497C">
              <w:rPr>
                <w:szCs w:val="24"/>
              </w:rPr>
              <w:lastRenderedPageBreak/>
              <w:t>Приложение 6</w:t>
            </w:r>
            <w:r w:rsidRPr="00C0497C">
              <w:rPr>
                <w:szCs w:val="24"/>
              </w:rPr>
              <w:br/>
              <w:t>к Положению о минимальных требованиях по управлению кредитным риском в коммерческих банках и других финансово-кредитных организациях, лицензируемых Национальным банком Кыргызской Республики</w:t>
            </w:r>
          </w:p>
        </w:tc>
      </w:tr>
    </w:tbl>
    <w:p w14:paraId="7193967C" w14:textId="77777777" w:rsidR="00C0497C" w:rsidRPr="00C0497C" w:rsidRDefault="00C0497C" w:rsidP="00C0497C">
      <w:pPr>
        <w:spacing w:before="400" w:after="400" w:line="276" w:lineRule="auto"/>
        <w:ind w:left="1134" w:right="1134"/>
        <w:jc w:val="center"/>
        <w:rPr>
          <w:b/>
          <w:bCs/>
          <w:szCs w:val="24"/>
        </w:rPr>
      </w:pPr>
      <w:r w:rsidRPr="00C0497C">
        <w:rPr>
          <w:b/>
          <w:bCs/>
          <w:szCs w:val="24"/>
        </w:rPr>
        <w:t>ПЕРЕЧЕНЬ</w:t>
      </w:r>
      <w:r w:rsidRPr="00C0497C">
        <w:rPr>
          <w:b/>
          <w:bCs/>
          <w:szCs w:val="24"/>
        </w:rPr>
        <w:br/>
        <w:t>расходов (платежей) клиентов банка и штрафных санкций</w:t>
      </w:r>
    </w:p>
    <w:p w14:paraId="460116B2" w14:textId="77777777" w:rsidR="00C0497C" w:rsidRPr="00C0497C" w:rsidRDefault="00C0497C" w:rsidP="00C0497C">
      <w:pPr>
        <w:spacing w:after="200" w:line="276" w:lineRule="auto"/>
        <w:ind w:left="1134" w:right="1134"/>
        <w:jc w:val="center"/>
        <w:rPr>
          <w:i/>
          <w:iCs/>
          <w:szCs w:val="24"/>
        </w:rPr>
      </w:pPr>
      <w:r w:rsidRPr="00C0497C">
        <w:rPr>
          <w:i/>
          <w:iCs/>
          <w:szCs w:val="24"/>
        </w:rPr>
        <w:t xml:space="preserve">(В редакции постановления Правления Нацбанка КР от </w:t>
      </w:r>
      <w:hyperlink r:id="rId10" w:history="1">
        <w:r w:rsidRPr="00C0497C">
          <w:rPr>
            <w:i/>
            <w:iCs/>
            <w:color w:val="0000FF"/>
            <w:szCs w:val="24"/>
            <w:u w:val="single"/>
          </w:rPr>
          <w:t>21 декабря 2022 года № 2022-П-12/81-8</w:t>
        </w:r>
      </w:hyperlink>
      <w:r w:rsidRPr="00C0497C">
        <w:rPr>
          <w:i/>
          <w:iCs/>
          <w:szCs w:val="24"/>
        </w:rPr>
        <w:t>)</w:t>
      </w:r>
    </w:p>
    <w:tbl>
      <w:tblPr>
        <w:tblW w:w="5000" w:type="pct"/>
        <w:tblCellMar>
          <w:left w:w="0" w:type="dxa"/>
          <w:right w:w="0" w:type="dxa"/>
        </w:tblCellMar>
        <w:tblLook w:val="04A0" w:firstRow="1" w:lastRow="0" w:firstColumn="1" w:lastColumn="0" w:noHBand="0" w:noVBand="1"/>
      </w:tblPr>
      <w:tblGrid>
        <w:gridCol w:w="5627"/>
        <w:gridCol w:w="3708"/>
      </w:tblGrid>
      <w:tr w:rsidR="00C0497C" w:rsidRPr="00C0497C" w14:paraId="054CD0F8" w14:textId="77777777" w:rsidTr="00C0497C">
        <w:tc>
          <w:tcPr>
            <w:tcW w:w="5000"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2D08A0D" w14:textId="77777777" w:rsidR="00C0497C" w:rsidRPr="00C0497C" w:rsidRDefault="00C0497C" w:rsidP="00C0497C">
            <w:pPr>
              <w:spacing w:after="60"/>
              <w:rPr>
                <w:szCs w:val="24"/>
              </w:rPr>
            </w:pPr>
            <w:r w:rsidRPr="00C0497C">
              <w:rPr>
                <w:szCs w:val="24"/>
              </w:rPr>
              <w:t>Расходы (платежи) клиента банка по кредиту</w:t>
            </w:r>
          </w:p>
        </w:tc>
      </w:tr>
      <w:tr w:rsidR="00C0497C" w:rsidRPr="00C0497C" w14:paraId="54FEA478"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F96F11" w14:textId="77777777" w:rsidR="00C0497C" w:rsidRPr="00C0497C" w:rsidRDefault="00C0497C" w:rsidP="00C0497C">
            <w:pPr>
              <w:spacing w:after="60"/>
              <w:rPr>
                <w:szCs w:val="24"/>
              </w:rPr>
            </w:pPr>
            <w:r w:rsidRPr="00C0497C">
              <w:rPr>
                <w:szCs w:val="24"/>
              </w:rPr>
              <w:t>Сумма кредита</w:t>
            </w:r>
          </w:p>
        </w:tc>
        <w:tc>
          <w:tcPr>
            <w:tcW w:w="1986"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14:paraId="7226C91F" w14:textId="77777777" w:rsidR="00C0497C" w:rsidRPr="00C0497C" w:rsidRDefault="00C0497C" w:rsidP="00C0497C">
            <w:pPr>
              <w:spacing w:after="60"/>
              <w:rPr>
                <w:szCs w:val="24"/>
              </w:rPr>
            </w:pPr>
            <w:r w:rsidRPr="00C0497C">
              <w:rPr>
                <w:szCs w:val="24"/>
              </w:rPr>
              <w:t>Указывается согласно договору</w:t>
            </w:r>
          </w:p>
        </w:tc>
      </w:tr>
      <w:tr w:rsidR="00C0497C" w:rsidRPr="00C0497C" w14:paraId="6ED5E197"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F87353" w14:textId="77777777" w:rsidR="00C0497C" w:rsidRPr="00C0497C" w:rsidRDefault="00C0497C" w:rsidP="00C0497C">
            <w:pPr>
              <w:spacing w:after="60"/>
              <w:rPr>
                <w:szCs w:val="24"/>
              </w:rPr>
            </w:pPr>
            <w:r w:rsidRPr="00C0497C">
              <w:rPr>
                <w:szCs w:val="24"/>
              </w:rPr>
              <w:t>Процентные платежи по кредиту</w:t>
            </w:r>
          </w:p>
        </w:tc>
        <w:tc>
          <w:tcPr>
            <w:tcW w:w="0" w:type="auto"/>
            <w:vMerge/>
            <w:tcBorders>
              <w:top w:val="nil"/>
              <w:left w:val="nil"/>
              <w:bottom w:val="single" w:sz="8" w:space="0" w:color="auto"/>
              <w:right w:val="single" w:sz="8" w:space="0" w:color="auto"/>
            </w:tcBorders>
            <w:vAlign w:val="center"/>
            <w:hideMark/>
          </w:tcPr>
          <w:p w14:paraId="216D07ED" w14:textId="77777777" w:rsidR="00C0497C" w:rsidRPr="00C0497C" w:rsidRDefault="00C0497C" w:rsidP="00C0497C">
            <w:pPr>
              <w:spacing w:line="276" w:lineRule="auto"/>
              <w:rPr>
                <w:szCs w:val="24"/>
              </w:rPr>
            </w:pPr>
          </w:p>
        </w:tc>
      </w:tr>
      <w:tr w:rsidR="00C0497C" w:rsidRPr="00C0497C" w14:paraId="18EF946B"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3C5D89" w14:textId="77777777" w:rsidR="00C0497C" w:rsidRPr="00C0497C" w:rsidRDefault="00C0497C" w:rsidP="00C0497C">
            <w:pPr>
              <w:spacing w:after="60"/>
              <w:rPr>
                <w:szCs w:val="24"/>
              </w:rPr>
            </w:pPr>
            <w:r w:rsidRPr="00C0497C">
              <w:rPr>
                <w:szCs w:val="24"/>
              </w:rPr>
              <w:t>Комиссия за рассмотрение заявки в случае отказа от получения кредита с момента подписания кредитного договора до момента получения денежных средств либо осуществления платежа по оплате за имущество в рамках лизинга</w:t>
            </w:r>
          </w:p>
        </w:tc>
        <w:tc>
          <w:tcPr>
            <w:tcW w:w="1986"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14:paraId="0CDD1808" w14:textId="77777777" w:rsidR="00C0497C" w:rsidRPr="00C0497C" w:rsidRDefault="00C0497C" w:rsidP="00C0497C">
            <w:pPr>
              <w:spacing w:after="60"/>
              <w:rPr>
                <w:szCs w:val="24"/>
              </w:rPr>
            </w:pPr>
            <w:r w:rsidRPr="00C0497C">
              <w:rPr>
                <w:szCs w:val="24"/>
              </w:rPr>
              <w:t xml:space="preserve">При наличии комиссий они указываются в соответствии с утвержденными тарифами банка в процентном либо стоимостном выражении </w:t>
            </w:r>
          </w:p>
        </w:tc>
      </w:tr>
      <w:tr w:rsidR="00C0497C" w:rsidRPr="00C0497C" w14:paraId="72B8388B"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1D9879" w14:textId="77777777" w:rsidR="00C0497C" w:rsidRPr="00C0497C" w:rsidRDefault="00C0497C" w:rsidP="00C0497C">
            <w:pPr>
              <w:spacing w:after="60"/>
              <w:rPr>
                <w:szCs w:val="24"/>
              </w:rPr>
            </w:pPr>
            <w:r w:rsidRPr="00C0497C">
              <w:rPr>
                <w:szCs w:val="24"/>
              </w:rPr>
              <w:t>Комиссия за открытие (если открытие счета обусловлено заключением кредитного договора) и обслуживание (если операции по кредиту проводятся в безналичной форме) расчетного (текущего)/счета по банковским вкладам (депозитам) до востребования счетов</w:t>
            </w:r>
          </w:p>
        </w:tc>
        <w:tc>
          <w:tcPr>
            <w:tcW w:w="0" w:type="auto"/>
            <w:vMerge/>
            <w:tcBorders>
              <w:top w:val="nil"/>
              <w:left w:val="nil"/>
              <w:bottom w:val="single" w:sz="8" w:space="0" w:color="auto"/>
              <w:right w:val="single" w:sz="8" w:space="0" w:color="auto"/>
            </w:tcBorders>
            <w:vAlign w:val="center"/>
            <w:hideMark/>
          </w:tcPr>
          <w:p w14:paraId="1C6F3E5D" w14:textId="77777777" w:rsidR="00C0497C" w:rsidRPr="00C0497C" w:rsidRDefault="00C0497C" w:rsidP="00C0497C">
            <w:pPr>
              <w:spacing w:line="276" w:lineRule="auto"/>
              <w:rPr>
                <w:szCs w:val="24"/>
              </w:rPr>
            </w:pPr>
          </w:p>
        </w:tc>
      </w:tr>
      <w:tr w:rsidR="00C0497C" w:rsidRPr="00C0497C" w14:paraId="3B110B04"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5E26A2" w14:textId="77777777" w:rsidR="00C0497C" w:rsidRPr="00C0497C" w:rsidRDefault="00C0497C" w:rsidP="00C0497C">
            <w:pPr>
              <w:spacing w:after="60"/>
              <w:rPr>
                <w:szCs w:val="24"/>
              </w:rPr>
            </w:pPr>
            <w:r w:rsidRPr="00C0497C">
              <w:rPr>
                <w:szCs w:val="24"/>
              </w:rPr>
              <w:t>Комиссия за расчетно-кассовое обслуживание (в том числе внесение и получение клиентом наличных денег через банкомат)</w:t>
            </w:r>
          </w:p>
        </w:tc>
        <w:tc>
          <w:tcPr>
            <w:tcW w:w="0" w:type="auto"/>
            <w:vMerge/>
            <w:tcBorders>
              <w:top w:val="nil"/>
              <w:left w:val="nil"/>
              <w:bottom w:val="single" w:sz="8" w:space="0" w:color="auto"/>
              <w:right w:val="single" w:sz="8" w:space="0" w:color="auto"/>
            </w:tcBorders>
            <w:vAlign w:val="center"/>
            <w:hideMark/>
          </w:tcPr>
          <w:p w14:paraId="56FCCB53" w14:textId="77777777" w:rsidR="00C0497C" w:rsidRPr="00C0497C" w:rsidRDefault="00C0497C" w:rsidP="00C0497C">
            <w:pPr>
              <w:spacing w:line="276" w:lineRule="auto"/>
              <w:rPr>
                <w:szCs w:val="24"/>
              </w:rPr>
            </w:pPr>
          </w:p>
        </w:tc>
      </w:tr>
      <w:tr w:rsidR="00C0497C" w:rsidRPr="00C0497C" w14:paraId="76EF4E08"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E06675" w14:textId="77777777" w:rsidR="00C0497C" w:rsidRPr="00C0497C" w:rsidRDefault="00C0497C" w:rsidP="00C0497C">
            <w:pPr>
              <w:spacing w:after="60"/>
              <w:rPr>
                <w:szCs w:val="24"/>
              </w:rPr>
            </w:pPr>
            <w:r w:rsidRPr="00C0497C">
              <w:rPr>
                <w:szCs w:val="24"/>
              </w:rPr>
              <w:t>Комиссия за изменение условий договора по заявлению клиента (за исключением случаев реструктуризации кредита в соответствии с требованиями нормативных правовых актов Национального банка)</w:t>
            </w:r>
          </w:p>
        </w:tc>
        <w:tc>
          <w:tcPr>
            <w:tcW w:w="0" w:type="auto"/>
            <w:vMerge/>
            <w:tcBorders>
              <w:top w:val="nil"/>
              <w:left w:val="nil"/>
              <w:bottom w:val="single" w:sz="8" w:space="0" w:color="auto"/>
              <w:right w:val="single" w:sz="8" w:space="0" w:color="auto"/>
            </w:tcBorders>
            <w:vAlign w:val="center"/>
            <w:hideMark/>
          </w:tcPr>
          <w:p w14:paraId="16C74D5B" w14:textId="77777777" w:rsidR="00C0497C" w:rsidRPr="00C0497C" w:rsidRDefault="00C0497C" w:rsidP="00C0497C">
            <w:pPr>
              <w:spacing w:line="276" w:lineRule="auto"/>
              <w:rPr>
                <w:szCs w:val="24"/>
              </w:rPr>
            </w:pPr>
          </w:p>
        </w:tc>
      </w:tr>
      <w:tr w:rsidR="00C0497C" w:rsidRPr="00C0497C" w14:paraId="56F74CF6"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918F07" w14:textId="77777777" w:rsidR="00C0497C" w:rsidRPr="00C0497C" w:rsidRDefault="00C0497C" w:rsidP="00C0497C">
            <w:pPr>
              <w:spacing w:after="60"/>
              <w:rPr>
                <w:szCs w:val="24"/>
              </w:rPr>
            </w:pPr>
            <w:r w:rsidRPr="00C0497C">
              <w:rPr>
                <w:szCs w:val="24"/>
              </w:rPr>
              <w:t>Комиссия за резервирование денежных средств (за неиспользуемую часть кредитной линии), если договором предусмотрено безусловное обязательство банка по предоставлению кредитных средств</w:t>
            </w:r>
          </w:p>
        </w:tc>
        <w:tc>
          <w:tcPr>
            <w:tcW w:w="0" w:type="auto"/>
            <w:vMerge/>
            <w:tcBorders>
              <w:top w:val="nil"/>
              <w:left w:val="nil"/>
              <w:bottom w:val="single" w:sz="8" w:space="0" w:color="auto"/>
              <w:right w:val="single" w:sz="8" w:space="0" w:color="auto"/>
            </w:tcBorders>
            <w:vAlign w:val="center"/>
            <w:hideMark/>
          </w:tcPr>
          <w:p w14:paraId="4C28DEC7" w14:textId="77777777" w:rsidR="00C0497C" w:rsidRPr="00C0497C" w:rsidRDefault="00C0497C" w:rsidP="00C0497C">
            <w:pPr>
              <w:spacing w:line="276" w:lineRule="auto"/>
              <w:rPr>
                <w:szCs w:val="24"/>
              </w:rPr>
            </w:pPr>
          </w:p>
        </w:tc>
      </w:tr>
      <w:tr w:rsidR="00C0497C" w:rsidRPr="00C0497C" w14:paraId="27A0C846"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505CF2" w14:textId="77777777" w:rsidR="00C0497C" w:rsidRPr="00C0497C" w:rsidRDefault="00C0497C" w:rsidP="00C0497C">
            <w:pPr>
              <w:spacing w:after="60"/>
              <w:rPr>
                <w:szCs w:val="24"/>
              </w:rPr>
            </w:pPr>
            <w:r w:rsidRPr="00C0497C">
              <w:rPr>
                <w:szCs w:val="24"/>
              </w:rPr>
              <w:t>Платежи в пользу третьих лиц (плата за услуги страхования, нотариуса, услуг регистрации в государственных органах и др.)</w:t>
            </w:r>
          </w:p>
        </w:tc>
        <w:tc>
          <w:tcPr>
            <w:tcW w:w="1986" w:type="pct"/>
            <w:tcBorders>
              <w:top w:val="nil"/>
              <w:left w:val="nil"/>
              <w:bottom w:val="single" w:sz="8" w:space="0" w:color="auto"/>
              <w:right w:val="single" w:sz="8" w:space="0" w:color="auto"/>
            </w:tcBorders>
            <w:tcMar>
              <w:top w:w="0" w:type="dxa"/>
              <w:left w:w="108" w:type="dxa"/>
              <w:bottom w:w="0" w:type="dxa"/>
              <w:right w:w="108" w:type="dxa"/>
            </w:tcMar>
            <w:hideMark/>
          </w:tcPr>
          <w:p w14:paraId="6E0A991C" w14:textId="77777777" w:rsidR="00C0497C" w:rsidRPr="00C0497C" w:rsidRDefault="00C0497C" w:rsidP="00C0497C">
            <w:pPr>
              <w:spacing w:after="60"/>
              <w:rPr>
                <w:szCs w:val="24"/>
              </w:rPr>
            </w:pPr>
            <w:r w:rsidRPr="00C0497C">
              <w:rPr>
                <w:szCs w:val="24"/>
              </w:rPr>
              <w:t xml:space="preserve">Указывается примерная стоимость (диапазон) таких расходов с указанием того, что данные расходы могут измениться в будущем </w:t>
            </w:r>
          </w:p>
        </w:tc>
      </w:tr>
      <w:tr w:rsidR="00C0497C" w:rsidRPr="00C0497C" w14:paraId="7232CDCE" w14:textId="77777777" w:rsidTr="00C0497C">
        <w:tc>
          <w:tcPr>
            <w:tcW w:w="500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2FFE11" w14:textId="77777777" w:rsidR="00C0497C" w:rsidRPr="00C0497C" w:rsidRDefault="00C0497C" w:rsidP="00C0497C">
            <w:pPr>
              <w:spacing w:after="60"/>
              <w:rPr>
                <w:szCs w:val="24"/>
              </w:rPr>
            </w:pPr>
            <w:r w:rsidRPr="00C0497C">
              <w:rPr>
                <w:szCs w:val="24"/>
              </w:rPr>
              <w:t>Штрафные санкции и пени банка</w:t>
            </w:r>
          </w:p>
        </w:tc>
      </w:tr>
      <w:tr w:rsidR="00C0497C" w:rsidRPr="00C0497C" w14:paraId="6E4DE2FE"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0E4CCD" w14:textId="77777777" w:rsidR="00C0497C" w:rsidRPr="00C0497C" w:rsidRDefault="00C0497C" w:rsidP="00C0497C">
            <w:pPr>
              <w:spacing w:after="60"/>
              <w:rPr>
                <w:szCs w:val="24"/>
              </w:rPr>
            </w:pPr>
            <w:r w:rsidRPr="00C0497C">
              <w:rPr>
                <w:szCs w:val="24"/>
              </w:rPr>
              <w:t>За просрочку оплаты платежей по основной сумме долга и по процентам</w:t>
            </w:r>
          </w:p>
        </w:tc>
        <w:tc>
          <w:tcPr>
            <w:tcW w:w="1986"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14:paraId="19A51CC8" w14:textId="77777777" w:rsidR="00C0497C" w:rsidRPr="00C0497C" w:rsidRDefault="00C0497C" w:rsidP="00C0497C">
            <w:pPr>
              <w:spacing w:after="60"/>
              <w:rPr>
                <w:szCs w:val="24"/>
              </w:rPr>
            </w:pPr>
            <w:r w:rsidRPr="00C0497C">
              <w:rPr>
                <w:szCs w:val="24"/>
              </w:rPr>
              <w:t xml:space="preserve">Указываются в соответствии с утвержденными размерами </w:t>
            </w:r>
            <w:r w:rsidRPr="00C0497C">
              <w:rPr>
                <w:szCs w:val="24"/>
              </w:rPr>
              <w:lastRenderedPageBreak/>
              <w:t xml:space="preserve">штрафных санкций, взимаемых в банке на основании договора, в процентном либо стоимостном выражении </w:t>
            </w:r>
          </w:p>
        </w:tc>
      </w:tr>
      <w:tr w:rsidR="00C0497C" w:rsidRPr="00C0497C" w14:paraId="68CF5189"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0A2F46" w14:textId="77777777" w:rsidR="00C0497C" w:rsidRPr="00C0497C" w:rsidRDefault="00C0497C" w:rsidP="00C0497C">
            <w:pPr>
              <w:spacing w:after="60"/>
              <w:rPr>
                <w:szCs w:val="24"/>
              </w:rPr>
            </w:pPr>
            <w:r w:rsidRPr="00C0497C">
              <w:rPr>
                <w:szCs w:val="24"/>
              </w:rPr>
              <w:lastRenderedPageBreak/>
              <w:t>За просрочку более 30 календарных дней пополнения депозита, предоставленного в залог по кредиту</w:t>
            </w:r>
          </w:p>
        </w:tc>
        <w:tc>
          <w:tcPr>
            <w:tcW w:w="0" w:type="auto"/>
            <w:vMerge/>
            <w:tcBorders>
              <w:top w:val="nil"/>
              <w:left w:val="nil"/>
              <w:bottom w:val="single" w:sz="8" w:space="0" w:color="auto"/>
              <w:right w:val="single" w:sz="8" w:space="0" w:color="auto"/>
            </w:tcBorders>
            <w:vAlign w:val="center"/>
            <w:hideMark/>
          </w:tcPr>
          <w:p w14:paraId="4AC453CA" w14:textId="77777777" w:rsidR="00C0497C" w:rsidRPr="00C0497C" w:rsidRDefault="00C0497C" w:rsidP="00C0497C">
            <w:pPr>
              <w:spacing w:line="276" w:lineRule="auto"/>
              <w:rPr>
                <w:szCs w:val="24"/>
              </w:rPr>
            </w:pPr>
          </w:p>
        </w:tc>
      </w:tr>
      <w:tr w:rsidR="00C0497C" w:rsidRPr="00C0497C" w14:paraId="50147155"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77D6D9" w14:textId="77777777" w:rsidR="00C0497C" w:rsidRPr="00C0497C" w:rsidRDefault="00C0497C" w:rsidP="00C0497C">
            <w:pPr>
              <w:spacing w:after="60"/>
              <w:rPr>
                <w:szCs w:val="24"/>
              </w:rPr>
            </w:pPr>
            <w:r w:rsidRPr="00C0497C">
              <w:rPr>
                <w:szCs w:val="24"/>
              </w:rPr>
              <w:t>За несвоевременный возврат пакета оригиналов документов по залоговому обеспечению (за исключением случаев несвоевременного возврата в связи с форс-мажорными обстоятельствами и другими объективными причинами, которые должны быть рассмотрены банком)</w:t>
            </w:r>
          </w:p>
        </w:tc>
        <w:tc>
          <w:tcPr>
            <w:tcW w:w="0" w:type="auto"/>
            <w:vMerge/>
            <w:tcBorders>
              <w:top w:val="nil"/>
              <w:left w:val="nil"/>
              <w:bottom w:val="single" w:sz="8" w:space="0" w:color="auto"/>
              <w:right w:val="single" w:sz="8" w:space="0" w:color="auto"/>
            </w:tcBorders>
            <w:vAlign w:val="center"/>
            <w:hideMark/>
          </w:tcPr>
          <w:p w14:paraId="347A3A1E" w14:textId="77777777" w:rsidR="00C0497C" w:rsidRPr="00C0497C" w:rsidRDefault="00C0497C" w:rsidP="00C0497C">
            <w:pPr>
              <w:spacing w:line="276" w:lineRule="auto"/>
              <w:rPr>
                <w:szCs w:val="24"/>
              </w:rPr>
            </w:pPr>
          </w:p>
        </w:tc>
      </w:tr>
      <w:tr w:rsidR="00C0497C" w:rsidRPr="00C0497C" w14:paraId="51F98B22"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4C9AF4" w14:textId="77777777" w:rsidR="00C0497C" w:rsidRPr="00C0497C" w:rsidRDefault="00C0497C" w:rsidP="00C0497C">
            <w:pPr>
              <w:spacing w:after="60"/>
              <w:rPr>
                <w:szCs w:val="24"/>
              </w:rPr>
            </w:pPr>
            <w:r w:rsidRPr="00C0497C">
              <w:rPr>
                <w:szCs w:val="24"/>
              </w:rPr>
              <w:t>Условия расторжения договора после получения денежных средств</w:t>
            </w:r>
          </w:p>
        </w:tc>
        <w:tc>
          <w:tcPr>
            <w:tcW w:w="0" w:type="auto"/>
            <w:vMerge/>
            <w:tcBorders>
              <w:top w:val="nil"/>
              <w:left w:val="nil"/>
              <w:bottom w:val="single" w:sz="8" w:space="0" w:color="auto"/>
              <w:right w:val="single" w:sz="8" w:space="0" w:color="auto"/>
            </w:tcBorders>
            <w:vAlign w:val="center"/>
            <w:hideMark/>
          </w:tcPr>
          <w:p w14:paraId="04E14AA7" w14:textId="77777777" w:rsidR="00C0497C" w:rsidRPr="00C0497C" w:rsidRDefault="00C0497C" w:rsidP="00C0497C">
            <w:pPr>
              <w:spacing w:line="276" w:lineRule="auto"/>
              <w:rPr>
                <w:szCs w:val="24"/>
              </w:rPr>
            </w:pPr>
          </w:p>
        </w:tc>
      </w:tr>
      <w:tr w:rsidR="00C0497C" w:rsidRPr="00C0497C" w14:paraId="73DE1271" w14:textId="77777777" w:rsidTr="00C0497C">
        <w:tc>
          <w:tcPr>
            <w:tcW w:w="301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5B8678" w14:textId="77777777" w:rsidR="00C0497C" w:rsidRPr="00C0497C" w:rsidRDefault="00C0497C" w:rsidP="00C0497C">
            <w:pPr>
              <w:spacing w:after="60"/>
              <w:rPr>
                <w:szCs w:val="24"/>
              </w:rPr>
            </w:pPr>
            <w:r w:rsidRPr="00C0497C">
              <w:rPr>
                <w:szCs w:val="24"/>
              </w:rPr>
              <w:t>Другие расходы (платежи)</w:t>
            </w:r>
          </w:p>
        </w:tc>
        <w:tc>
          <w:tcPr>
            <w:tcW w:w="0" w:type="auto"/>
            <w:vMerge/>
            <w:tcBorders>
              <w:top w:val="nil"/>
              <w:left w:val="nil"/>
              <w:bottom w:val="single" w:sz="8" w:space="0" w:color="auto"/>
              <w:right w:val="single" w:sz="8" w:space="0" w:color="auto"/>
            </w:tcBorders>
            <w:vAlign w:val="center"/>
            <w:hideMark/>
          </w:tcPr>
          <w:p w14:paraId="6B4291BE" w14:textId="77777777" w:rsidR="00C0497C" w:rsidRPr="00C0497C" w:rsidRDefault="00C0497C" w:rsidP="00C0497C">
            <w:pPr>
              <w:spacing w:line="276" w:lineRule="auto"/>
              <w:rPr>
                <w:szCs w:val="24"/>
              </w:rPr>
            </w:pPr>
          </w:p>
        </w:tc>
      </w:tr>
    </w:tbl>
    <w:p w14:paraId="297672F6" w14:textId="77777777" w:rsidR="00C0497C" w:rsidRPr="00C0497C" w:rsidRDefault="00C0497C" w:rsidP="00C0497C">
      <w:pPr>
        <w:spacing w:after="60" w:line="276" w:lineRule="auto"/>
        <w:ind w:firstLine="567"/>
        <w:jc w:val="both"/>
        <w:rPr>
          <w:szCs w:val="24"/>
        </w:rPr>
      </w:pPr>
      <w:r w:rsidRPr="00C0497C">
        <w:rPr>
          <w:szCs w:val="24"/>
        </w:rPr>
        <w:t> </w:t>
      </w:r>
    </w:p>
    <w:tbl>
      <w:tblPr>
        <w:tblW w:w="0" w:type="auto"/>
        <w:tblCellMar>
          <w:left w:w="0" w:type="dxa"/>
          <w:right w:w="0" w:type="dxa"/>
        </w:tblCellMar>
        <w:tblLook w:val="04A0" w:firstRow="1" w:lastRow="0" w:firstColumn="1" w:lastColumn="0" w:noHBand="0" w:noVBand="1"/>
      </w:tblPr>
      <w:tblGrid>
        <w:gridCol w:w="4911"/>
        <w:gridCol w:w="2222"/>
        <w:gridCol w:w="2222"/>
      </w:tblGrid>
      <w:tr w:rsidR="00C0497C" w:rsidRPr="00C0497C" w14:paraId="5BFC18F8" w14:textId="77777777" w:rsidTr="00C0497C">
        <w:tc>
          <w:tcPr>
            <w:tcW w:w="0" w:type="auto"/>
            <w:tcMar>
              <w:top w:w="0" w:type="dxa"/>
              <w:left w:w="567" w:type="dxa"/>
              <w:bottom w:w="0" w:type="dxa"/>
              <w:right w:w="108" w:type="dxa"/>
            </w:tcMar>
            <w:hideMark/>
          </w:tcPr>
          <w:p w14:paraId="40250F39" w14:textId="77777777" w:rsidR="00C0497C" w:rsidRPr="00C0497C" w:rsidRDefault="00C0497C" w:rsidP="00C0497C">
            <w:pPr>
              <w:spacing w:after="60" w:line="276" w:lineRule="auto"/>
              <w:jc w:val="both"/>
              <w:rPr>
                <w:szCs w:val="24"/>
              </w:rPr>
            </w:pPr>
            <w:r w:rsidRPr="00C0497C">
              <w:rPr>
                <w:szCs w:val="24"/>
                <w:lang w:val="en-US"/>
              </w:rPr>
              <w:t>______________________________________</w:t>
            </w:r>
          </w:p>
        </w:tc>
        <w:tc>
          <w:tcPr>
            <w:tcW w:w="0" w:type="auto"/>
            <w:tcMar>
              <w:top w:w="0" w:type="dxa"/>
              <w:left w:w="108" w:type="dxa"/>
              <w:bottom w:w="0" w:type="dxa"/>
              <w:right w:w="108" w:type="dxa"/>
            </w:tcMar>
            <w:hideMark/>
          </w:tcPr>
          <w:p w14:paraId="68C5DEF6" w14:textId="77777777" w:rsidR="00C0497C" w:rsidRPr="00C0497C" w:rsidRDefault="00C0497C" w:rsidP="00C0497C">
            <w:pPr>
              <w:spacing w:after="60" w:line="276" w:lineRule="auto"/>
              <w:jc w:val="center"/>
              <w:rPr>
                <w:szCs w:val="24"/>
              </w:rPr>
            </w:pPr>
            <w:r w:rsidRPr="00C0497C">
              <w:rPr>
                <w:szCs w:val="24"/>
                <w:lang w:val="en-US"/>
              </w:rPr>
              <w:t>__________________</w:t>
            </w:r>
          </w:p>
        </w:tc>
        <w:tc>
          <w:tcPr>
            <w:tcW w:w="0" w:type="auto"/>
            <w:tcMar>
              <w:top w:w="0" w:type="dxa"/>
              <w:left w:w="108" w:type="dxa"/>
              <w:bottom w:w="0" w:type="dxa"/>
              <w:right w:w="108" w:type="dxa"/>
            </w:tcMar>
            <w:hideMark/>
          </w:tcPr>
          <w:p w14:paraId="0A077ABB" w14:textId="77777777" w:rsidR="00C0497C" w:rsidRPr="00C0497C" w:rsidRDefault="00C0497C" w:rsidP="00C0497C">
            <w:pPr>
              <w:spacing w:after="60" w:line="276" w:lineRule="auto"/>
              <w:jc w:val="center"/>
              <w:rPr>
                <w:szCs w:val="24"/>
              </w:rPr>
            </w:pPr>
            <w:r w:rsidRPr="00C0497C">
              <w:rPr>
                <w:szCs w:val="24"/>
                <w:lang w:val="en-US"/>
              </w:rPr>
              <w:t>__________________</w:t>
            </w:r>
          </w:p>
        </w:tc>
      </w:tr>
      <w:tr w:rsidR="00C0497C" w:rsidRPr="00C0497C" w14:paraId="4B0EE3F3" w14:textId="77777777" w:rsidTr="00C0497C">
        <w:tc>
          <w:tcPr>
            <w:tcW w:w="0" w:type="auto"/>
            <w:tcMar>
              <w:top w:w="0" w:type="dxa"/>
              <w:left w:w="567" w:type="dxa"/>
              <w:bottom w:w="0" w:type="dxa"/>
              <w:right w:w="108" w:type="dxa"/>
            </w:tcMar>
            <w:hideMark/>
          </w:tcPr>
          <w:p w14:paraId="7156D568" w14:textId="77777777" w:rsidR="00C0497C" w:rsidRPr="00C0497C" w:rsidRDefault="00C0497C" w:rsidP="00C0497C">
            <w:pPr>
              <w:spacing w:after="60" w:line="276" w:lineRule="auto"/>
              <w:jc w:val="both"/>
              <w:rPr>
                <w:szCs w:val="24"/>
              </w:rPr>
            </w:pPr>
            <w:r w:rsidRPr="00C0497C">
              <w:rPr>
                <w:szCs w:val="24"/>
                <w:lang w:val="en-US"/>
              </w:rPr>
              <w:t>  </w:t>
            </w:r>
            <w:r w:rsidRPr="00C0497C">
              <w:rPr>
                <w:szCs w:val="24"/>
              </w:rPr>
              <w:t>(ФИО уполномоченного сотрудника банка)</w:t>
            </w:r>
          </w:p>
        </w:tc>
        <w:tc>
          <w:tcPr>
            <w:tcW w:w="0" w:type="auto"/>
            <w:tcMar>
              <w:top w:w="0" w:type="dxa"/>
              <w:left w:w="108" w:type="dxa"/>
              <w:bottom w:w="0" w:type="dxa"/>
              <w:right w:w="108" w:type="dxa"/>
            </w:tcMar>
            <w:hideMark/>
          </w:tcPr>
          <w:p w14:paraId="2B45E587" w14:textId="77777777" w:rsidR="00C0497C" w:rsidRPr="00C0497C" w:rsidRDefault="00C0497C" w:rsidP="00C0497C">
            <w:pPr>
              <w:spacing w:after="60" w:line="276" w:lineRule="auto"/>
              <w:jc w:val="center"/>
              <w:rPr>
                <w:szCs w:val="24"/>
              </w:rPr>
            </w:pPr>
            <w:r w:rsidRPr="00C0497C">
              <w:rPr>
                <w:szCs w:val="24"/>
                <w:lang w:val="en-US"/>
              </w:rPr>
              <w:t>(</w:t>
            </w:r>
            <w:r w:rsidRPr="00C0497C">
              <w:rPr>
                <w:szCs w:val="24"/>
              </w:rPr>
              <w:t>подпись)</w:t>
            </w:r>
          </w:p>
        </w:tc>
        <w:tc>
          <w:tcPr>
            <w:tcW w:w="0" w:type="auto"/>
            <w:tcMar>
              <w:top w:w="0" w:type="dxa"/>
              <w:left w:w="108" w:type="dxa"/>
              <w:bottom w:w="0" w:type="dxa"/>
              <w:right w:w="108" w:type="dxa"/>
            </w:tcMar>
            <w:hideMark/>
          </w:tcPr>
          <w:p w14:paraId="33833181" w14:textId="77777777" w:rsidR="00C0497C" w:rsidRPr="00C0497C" w:rsidRDefault="00C0497C" w:rsidP="00C0497C">
            <w:pPr>
              <w:spacing w:after="60" w:line="276" w:lineRule="auto"/>
              <w:jc w:val="center"/>
              <w:rPr>
                <w:szCs w:val="24"/>
              </w:rPr>
            </w:pPr>
            <w:r w:rsidRPr="00C0497C">
              <w:rPr>
                <w:szCs w:val="24"/>
              </w:rPr>
              <w:t>(дата)</w:t>
            </w:r>
          </w:p>
        </w:tc>
      </w:tr>
      <w:tr w:rsidR="00C0497C" w:rsidRPr="00C0497C" w14:paraId="6A2A88AD" w14:textId="77777777" w:rsidTr="00C0497C">
        <w:tc>
          <w:tcPr>
            <w:tcW w:w="0" w:type="auto"/>
            <w:tcMar>
              <w:top w:w="0" w:type="dxa"/>
              <w:left w:w="567" w:type="dxa"/>
              <w:bottom w:w="0" w:type="dxa"/>
              <w:right w:w="108" w:type="dxa"/>
            </w:tcMar>
            <w:hideMark/>
          </w:tcPr>
          <w:p w14:paraId="154BC310" w14:textId="77777777" w:rsidR="00C0497C" w:rsidRPr="00C0497C" w:rsidRDefault="00C0497C" w:rsidP="00C0497C">
            <w:pPr>
              <w:spacing w:after="60" w:line="276" w:lineRule="auto"/>
              <w:jc w:val="both"/>
              <w:rPr>
                <w:szCs w:val="24"/>
              </w:rPr>
            </w:pPr>
            <w:r w:rsidRPr="00C0497C">
              <w:rPr>
                <w:szCs w:val="24"/>
              </w:rPr>
              <w:t> </w:t>
            </w:r>
          </w:p>
        </w:tc>
        <w:tc>
          <w:tcPr>
            <w:tcW w:w="0" w:type="auto"/>
            <w:tcMar>
              <w:top w:w="0" w:type="dxa"/>
              <w:left w:w="108" w:type="dxa"/>
              <w:bottom w:w="0" w:type="dxa"/>
              <w:right w:w="108" w:type="dxa"/>
            </w:tcMar>
            <w:hideMark/>
          </w:tcPr>
          <w:p w14:paraId="1686F1DD" w14:textId="77777777" w:rsidR="00C0497C" w:rsidRPr="00C0497C" w:rsidRDefault="00C0497C" w:rsidP="00C0497C">
            <w:pPr>
              <w:spacing w:after="60" w:line="276" w:lineRule="auto"/>
              <w:jc w:val="center"/>
              <w:rPr>
                <w:szCs w:val="24"/>
              </w:rPr>
            </w:pPr>
            <w:r w:rsidRPr="00C0497C">
              <w:rPr>
                <w:szCs w:val="24"/>
              </w:rPr>
              <w:t> </w:t>
            </w:r>
          </w:p>
        </w:tc>
        <w:tc>
          <w:tcPr>
            <w:tcW w:w="0" w:type="auto"/>
            <w:tcMar>
              <w:top w:w="0" w:type="dxa"/>
              <w:left w:w="108" w:type="dxa"/>
              <w:bottom w:w="0" w:type="dxa"/>
              <w:right w:w="108" w:type="dxa"/>
            </w:tcMar>
            <w:hideMark/>
          </w:tcPr>
          <w:p w14:paraId="51F975D7" w14:textId="77777777" w:rsidR="00C0497C" w:rsidRPr="00C0497C" w:rsidRDefault="00C0497C" w:rsidP="00C0497C">
            <w:pPr>
              <w:spacing w:after="60" w:line="276" w:lineRule="auto"/>
              <w:jc w:val="center"/>
              <w:rPr>
                <w:szCs w:val="24"/>
              </w:rPr>
            </w:pPr>
            <w:r w:rsidRPr="00C0497C">
              <w:rPr>
                <w:szCs w:val="24"/>
              </w:rPr>
              <w:t> </w:t>
            </w:r>
          </w:p>
        </w:tc>
      </w:tr>
      <w:tr w:rsidR="00C0497C" w:rsidRPr="00C0497C" w14:paraId="696262CA" w14:textId="77777777" w:rsidTr="00C0497C">
        <w:tc>
          <w:tcPr>
            <w:tcW w:w="0" w:type="auto"/>
            <w:tcMar>
              <w:top w:w="0" w:type="dxa"/>
              <w:left w:w="567" w:type="dxa"/>
              <w:bottom w:w="0" w:type="dxa"/>
              <w:right w:w="108" w:type="dxa"/>
            </w:tcMar>
            <w:hideMark/>
          </w:tcPr>
          <w:p w14:paraId="7CCA514D" w14:textId="77777777" w:rsidR="00C0497C" w:rsidRPr="00C0497C" w:rsidRDefault="00C0497C" w:rsidP="00C0497C">
            <w:pPr>
              <w:spacing w:after="60" w:line="276" w:lineRule="auto"/>
              <w:jc w:val="both"/>
              <w:rPr>
                <w:szCs w:val="24"/>
              </w:rPr>
            </w:pPr>
            <w:r w:rsidRPr="00C0497C">
              <w:rPr>
                <w:szCs w:val="24"/>
                <w:lang w:val="en-US"/>
              </w:rPr>
              <w:t>______________________________________</w:t>
            </w:r>
          </w:p>
        </w:tc>
        <w:tc>
          <w:tcPr>
            <w:tcW w:w="0" w:type="auto"/>
            <w:tcMar>
              <w:top w:w="0" w:type="dxa"/>
              <w:left w:w="108" w:type="dxa"/>
              <w:bottom w:w="0" w:type="dxa"/>
              <w:right w:w="108" w:type="dxa"/>
            </w:tcMar>
            <w:hideMark/>
          </w:tcPr>
          <w:p w14:paraId="789DEBDC" w14:textId="77777777" w:rsidR="00C0497C" w:rsidRPr="00C0497C" w:rsidRDefault="00C0497C" w:rsidP="00C0497C">
            <w:pPr>
              <w:spacing w:after="60" w:line="276" w:lineRule="auto"/>
              <w:jc w:val="center"/>
              <w:rPr>
                <w:szCs w:val="24"/>
              </w:rPr>
            </w:pPr>
            <w:r w:rsidRPr="00C0497C">
              <w:rPr>
                <w:szCs w:val="24"/>
                <w:lang w:val="en-US"/>
              </w:rPr>
              <w:t>__________________</w:t>
            </w:r>
          </w:p>
        </w:tc>
        <w:tc>
          <w:tcPr>
            <w:tcW w:w="0" w:type="auto"/>
            <w:tcMar>
              <w:top w:w="0" w:type="dxa"/>
              <w:left w:w="108" w:type="dxa"/>
              <w:bottom w:w="0" w:type="dxa"/>
              <w:right w:w="108" w:type="dxa"/>
            </w:tcMar>
            <w:hideMark/>
          </w:tcPr>
          <w:p w14:paraId="5D6E3E8C" w14:textId="77777777" w:rsidR="00C0497C" w:rsidRPr="00C0497C" w:rsidRDefault="00C0497C" w:rsidP="00C0497C">
            <w:pPr>
              <w:spacing w:after="60" w:line="276" w:lineRule="auto"/>
              <w:jc w:val="center"/>
              <w:rPr>
                <w:szCs w:val="24"/>
              </w:rPr>
            </w:pPr>
            <w:r w:rsidRPr="00C0497C">
              <w:rPr>
                <w:szCs w:val="24"/>
                <w:lang w:val="en-US"/>
              </w:rPr>
              <w:t>__________________</w:t>
            </w:r>
          </w:p>
        </w:tc>
      </w:tr>
      <w:tr w:rsidR="00C0497C" w:rsidRPr="00C0497C" w14:paraId="7FDC1B8E" w14:textId="77777777" w:rsidTr="00C0497C">
        <w:tc>
          <w:tcPr>
            <w:tcW w:w="0" w:type="auto"/>
            <w:tcMar>
              <w:top w:w="0" w:type="dxa"/>
              <w:left w:w="567" w:type="dxa"/>
              <w:bottom w:w="0" w:type="dxa"/>
              <w:right w:w="108" w:type="dxa"/>
            </w:tcMar>
            <w:hideMark/>
          </w:tcPr>
          <w:p w14:paraId="7E74C8BA" w14:textId="77777777" w:rsidR="00C0497C" w:rsidRPr="00C0497C" w:rsidRDefault="00C0497C" w:rsidP="00C0497C">
            <w:pPr>
              <w:spacing w:after="60" w:line="276" w:lineRule="auto"/>
              <w:jc w:val="both"/>
              <w:rPr>
                <w:szCs w:val="24"/>
              </w:rPr>
            </w:pPr>
            <w:r w:rsidRPr="00C0497C">
              <w:rPr>
                <w:szCs w:val="24"/>
                <w:lang w:val="en-US"/>
              </w:rPr>
              <w:t>                   </w:t>
            </w:r>
            <w:r w:rsidRPr="00C0497C">
              <w:rPr>
                <w:szCs w:val="24"/>
              </w:rPr>
              <w:t>(ФИО клиента банка)</w:t>
            </w:r>
          </w:p>
        </w:tc>
        <w:tc>
          <w:tcPr>
            <w:tcW w:w="0" w:type="auto"/>
            <w:tcMar>
              <w:top w:w="0" w:type="dxa"/>
              <w:left w:w="108" w:type="dxa"/>
              <w:bottom w:w="0" w:type="dxa"/>
              <w:right w:w="108" w:type="dxa"/>
            </w:tcMar>
            <w:hideMark/>
          </w:tcPr>
          <w:p w14:paraId="6145969B" w14:textId="77777777" w:rsidR="00C0497C" w:rsidRPr="00C0497C" w:rsidRDefault="00C0497C" w:rsidP="00C0497C">
            <w:pPr>
              <w:spacing w:after="60" w:line="276" w:lineRule="auto"/>
              <w:jc w:val="center"/>
              <w:rPr>
                <w:szCs w:val="24"/>
              </w:rPr>
            </w:pPr>
            <w:r w:rsidRPr="00C0497C">
              <w:rPr>
                <w:szCs w:val="24"/>
                <w:lang w:val="en-US"/>
              </w:rPr>
              <w:t>(</w:t>
            </w:r>
            <w:r w:rsidRPr="00C0497C">
              <w:rPr>
                <w:szCs w:val="24"/>
              </w:rPr>
              <w:t>подпись)</w:t>
            </w:r>
          </w:p>
        </w:tc>
        <w:tc>
          <w:tcPr>
            <w:tcW w:w="0" w:type="auto"/>
            <w:tcMar>
              <w:top w:w="0" w:type="dxa"/>
              <w:left w:w="108" w:type="dxa"/>
              <w:bottom w:w="0" w:type="dxa"/>
              <w:right w:w="108" w:type="dxa"/>
            </w:tcMar>
            <w:hideMark/>
          </w:tcPr>
          <w:p w14:paraId="45AFAF12" w14:textId="77777777" w:rsidR="00C0497C" w:rsidRPr="00C0497C" w:rsidRDefault="00C0497C" w:rsidP="00C0497C">
            <w:pPr>
              <w:spacing w:after="60" w:line="276" w:lineRule="auto"/>
              <w:jc w:val="center"/>
              <w:rPr>
                <w:szCs w:val="24"/>
              </w:rPr>
            </w:pPr>
            <w:r w:rsidRPr="00C0497C">
              <w:rPr>
                <w:szCs w:val="24"/>
              </w:rPr>
              <w:t>(дата)".</w:t>
            </w:r>
          </w:p>
        </w:tc>
      </w:tr>
    </w:tbl>
    <w:p w14:paraId="3A1A0482" w14:textId="77777777" w:rsidR="00C0497C" w:rsidRPr="00C0497C" w:rsidRDefault="00C0497C" w:rsidP="00C0497C">
      <w:pPr>
        <w:shd w:val="clear" w:color="auto" w:fill="D9D9D9"/>
        <w:spacing w:before="120" w:after="120" w:line="276" w:lineRule="auto"/>
        <w:rPr>
          <w:vanish/>
          <w:color w:val="404040"/>
          <w:szCs w:val="24"/>
        </w:rPr>
      </w:pPr>
      <w:r w:rsidRPr="00C0497C">
        <w:rPr>
          <w:vanish/>
          <w:color w:val="404040"/>
          <w:szCs w:val="24"/>
          <w:lang w:val="en-US"/>
        </w:rPr>
        <w:t>End_nocompare</w:t>
      </w:r>
    </w:p>
    <w:p w14:paraId="132BB4B0" w14:textId="77777777" w:rsidR="00C0497C" w:rsidRPr="00C0497C" w:rsidRDefault="00C0497C" w:rsidP="00C0497C">
      <w:pPr>
        <w:pStyle w:val="tkTekst"/>
        <w:rPr>
          <w:rFonts w:ascii="Times New Roman" w:hAnsi="Times New Roman" w:cs="Times New Roman"/>
          <w:sz w:val="24"/>
          <w:szCs w:val="24"/>
        </w:rPr>
      </w:pPr>
    </w:p>
    <w:p w14:paraId="0EBF8607"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highlight w:val="yellow"/>
        </w:rPr>
        <w:t>В кредитный договор запрещается включение дополнительных сборов, комиссионных и других платежей, в том числе штрафных санкций, кроме установленных в Приложении 6, а также иных сопутствующих услуг на платной основе, вне зависимости от договоренности с заемщиком.</w:t>
      </w:r>
    </w:p>
    <w:p w14:paraId="648575F6"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Банк должен ознакомить клиента с указанным перечнем и при необходимости предоставить клиенту разъяснения по порядку расчетов кредита, комиссий и иных платежей, пени, штрафа, порядку получения/погашения кредита, в том числе с использованием банковских платежных карт, и о возможных рисках, неплатежеспособности в условиях роста обменного курса иностранной валюты, если кредит получен в иностранной валюте, а ожидаемый доход (или его часть) - в национальной валюте, и другие, а также получить согласие клиента, свидетельством которого будет являться его подпись.</w:t>
      </w:r>
    </w:p>
    <w:p w14:paraId="6F0B39C7"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При просрочке по оплате/погашению процентов по основной сумме кредита и/или просрочке по оплате/погашению основной суммы кредита начисление неустойки (штрафа, пени) должно производиться на сумму просроченной задолженности и за фактический срок просроченной задолженности.</w:t>
      </w:r>
    </w:p>
    <w:p w14:paraId="1CB47836"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highlight w:val="yellow"/>
        </w:rPr>
        <w:t>Банк должен указать все расходы клиента банка, связанные с предоставлением, использованием и возвратом кредита, согласно кредитному договору и внутренним процедурам банка. Стоимость расходов по услугам третьих лиц (плата за услуги страхования, нотариуса и др.) для осведомленности клиента банк указывает по действующим тарифам третьих лиц на дату заключения договора с указанием того, что данные расходы могут измениться в будущем.</w:t>
      </w:r>
    </w:p>
    <w:p w14:paraId="52747F44" w14:textId="77777777" w:rsidR="00C0497C" w:rsidRPr="00C0497C" w:rsidRDefault="00C0497C" w:rsidP="00C0497C">
      <w:pPr>
        <w:pStyle w:val="tkTekst"/>
        <w:rPr>
          <w:rFonts w:ascii="Times New Roman" w:hAnsi="Times New Roman" w:cs="Times New Roman"/>
          <w:b/>
          <w:sz w:val="24"/>
          <w:szCs w:val="24"/>
        </w:rPr>
      </w:pPr>
      <w:r w:rsidRPr="00C0497C">
        <w:rPr>
          <w:rFonts w:ascii="Times New Roman" w:hAnsi="Times New Roman" w:cs="Times New Roman"/>
          <w:b/>
          <w:sz w:val="24"/>
          <w:szCs w:val="24"/>
          <w:highlight w:val="yellow"/>
        </w:rPr>
        <w:lastRenderedPageBreak/>
        <w:t>Кроме того, кредитный договор должен содержать:</w:t>
      </w:r>
    </w:p>
    <w:p w14:paraId="5A4330C3"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 обязанность банка прекратить начисление неустойки (штрафов, пени) по истечении 15 дней с момента направления извещения о начале процедуры обращения взыскания на предмет залога по кредиту заемщика - физического лица, в том числе индивидуального предпринимателя без образования юридического лица, при этом размер неустойки (штрафа, пени), начисленной за весь период действия кредита, не должен превышать 10 процентов от суммы выданного кредита;</w:t>
      </w:r>
    </w:p>
    <w:p w14:paraId="5EB2999B"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 обязанность клиента физического лица, в том числе индивидуального предпринимателя предоставлять информацию о наличии кредитов в других финансово-кредитных организациях, включая кредиты супруга(и), родителей и детей, и о соблюдении кредитной дисциплины по данным кредитам не реже чем один раз в полгода;</w:t>
      </w:r>
    </w:p>
    <w:p w14:paraId="04BBB750"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 обязанность банков предоставлять в течение трех рабочих дней по запросу заемщика информацию о получении кредита и о соблюдении кредитной дисциплины заемщиком по данному кредиту для ее предоставления в другую финансово-кредитную организацию, а также предоставлять четкую и точную информацию о счете заемщика (выписки со счета, чека, состояние баланса, подтверждение платежа по кредиту и другие необходимые сведения);</w:t>
      </w:r>
    </w:p>
    <w:p w14:paraId="30743009"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 обращение взыскания на предмет залога исключительно через суд, если предмет залога имеет значительную историческую, художественную или иную культурную ценность для общества либо является единственным жильем, принадлежащим на праве собственности физическому лицу.</w:t>
      </w:r>
    </w:p>
    <w:p w14:paraId="7463970B"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b/>
          <w:sz w:val="24"/>
          <w:szCs w:val="24"/>
        </w:rPr>
        <w:t>Пункт 44.</w:t>
      </w:r>
      <w:r w:rsidRPr="00C0497C">
        <w:rPr>
          <w:rFonts w:ascii="Times New Roman" w:hAnsi="Times New Roman" w:cs="Times New Roman"/>
          <w:sz w:val="24"/>
          <w:szCs w:val="24"/>
        </w:rPr>
        <w:t xml:space="preserve"> В кредитном договоре важно предусмотреть периодическое предоставление заемщиком финансовой отчетности и/или других финансовых документов, подтверждающих использование заемщиком кредита по целевому назначению.</w:t>
      </w:r>
    </w:p>
    <w:p w14:paraId="2BA66FAB"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Примечание: при выявлении фактов использования заемщиком кредита по нецелевому назначению банк вправе потребовать от заемщика досрочного возврата оставшейся суммы задолженности по кредиту, если иное не предусмотрено кредитным договором.</w:t>
      </w:r>
    </w:p>
    <w:p w14:paraId="2B16B18A"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b/>
          <w:sz w:val="24"/>
          <w:szCs w:val="24"/>
        </w:rPr>
        <w:t>Пункт 45.</w:t>
      </w:r>
      <w:r w:rsidRPr="00C0497C">
        <w:rPr>
          <w:rFonts w:ascii="Times New Roman" w:hAnsi="Times New Roman" w:cs="Times New Roman"/>
          <w:sz w:val="24"/>
          <w:szCs w:val="24"/>
        </w:rPr>
        <w:t xml:space="preserve"> В кредитном договоре должны быть предусмотрены условия наступления непреодолимой силы (форс-мажор).</w:t>
      </w:r>
    </w:p>
    <w:p w14:paraId="20A5BA60" w14:textId="77777777" w:rsidR="00C0497C" w:rsidRPr="00C0497C" w:rsidRDefault="00C0497C" w:rsidP="00C0497C">
      <w:pPr>
        <w:pStyle w:val="tkTekst"/>
        <w:rPr>
          <w:rFonts w:ascii="Times New Roman" w:hAnsi="Times New Roman" w:cs="Times New Roman"/>
          <w:sz w:val="24"/>
          <w:szCs w:val="24"/>
        </w:rPr>
      </w:pPr>
      <w:r w:rsidRPr="00C0497C">
        <w:rPr>
          <w:rFonts w:ascii="Times New Roman" w:hAnsi="Times New Roman" w:cs="Times New Roman"/>
          <w:sz w:val="24"/>
          <w:szCs w:val="24"/>
        </w:rPr>
        <w:t>Форс-мажорные обстоятельства могут включать, но не ограничиваются такими событиями как: стихийные бедствия (наводнения, землетрясения, пожары и иные природные либо техногенные катастрофы), эпидемии, введение чрезвычайного положения, массовые беспорядки, мародерство, военные действия и т.п.</w:t>
      </w:r>
    </w:p>
    <w:p w14:paraId="10EBB40B" w14:textId="77777777" w:rsidR="00F54125" w:rsidRDefault="00F54125"/>
    <w:p w14:paraId="3D66C231" w14:textId="77777777" w:rsidR="00C0497C" w:rsidRDefault="00C0497C"/>
    <w:p w14:paraId="2A34B47C" w14:textId="77777777" w:rsidR="00C0497C" w:rsidRDefault="00C0497C"/>
    <w:p w14:paraId="42FCB4FD" w14:textId="77777777" w:rsidR="00C0497C" w:rsidRDefault="00C0497C"/>
    <w:p w14:paraId="73B833BC" w14:textId="77777777" w:rsidR="00C0497C" w:rsidRDefault="00C0497C"/>
    <w:p w14:paraId="7CA5ADBA" w14:textId="77777777" w:rsidR="00C0497C" w:rsidRDefault="00C0497C"/>
    <w:p w14:paraId="7B06B147" w14:textId="77777777" w:rsidR="00C0497C" w:rsidRDefault="00C0497C"/>
    <w:p w14:paraId="4ACBE29C" w14:textId="77777777" w:rsidR="00C0497C" w:rsidRDefault="00C0497C"/>
    <w:p w14:paraId="0AC15138" w14:textId="77777777" w:rsidR="00C0497C" w:rsidRDefault="00C0497C"/>
    <w:p w14:paraId="35557CF4" w14:textId="77777777" w:rsidR="00C0497C" w:rsidRDefault="00C0497C"/>
    <w:p w14:paraId="2BA76B8B" w14:textId="77777777" w:rsidR="00C0497C" w:rsidRDefault="00C0497C"/>
    <w:p w14:paraId="50D5713C" w14:textId="77777777" w:rsidR="00C0497C" w:rsidRDefault="00C0497C"/>
    <w:p w14:paraId="2765FE6A" w14:textId="77777777" w:rsidR="00C0497C" w:rsidRDefault="00C0497C"/>
    <w:p w14:paraId="0EDDE667" w14:textId="77777777" w:rsidR="00C0497C" w:rsidRDefault="00C0497C"/>
    <w:p w14:paraId="71DCB23D" w14:textId="77777777" w:rsidR="00C0497C" w:rsidRDefault="00C0497C"/>
    <w:p w14:paraId="3AAED089" w14:textId="77777777" w:rsidR="00C0497C" w:rsidRPr="00821404" w:rsidRDefault="00C0497C">
      <w:pPr>
        <w:rPr>
          <w:b/>
          <w:i/>
          <w:sz w:val="28"/>
        </w:rPr>
      </w:pPr>
    </w:p>
    <w:p w14:paraId="5F82F3B4" w14:textId="77777777" w:rsidR="00C0497C" w:rsidRPr="00821404" w:rsidRDefault="00EF79D5">
      <w:pPr>
        <w:rPr>
          <w:b/>
          <w:i/>
          <w:sz w:val="28"/>
        </w:rPr>
      </w:pPr>
      <w:r w:rsidRPr="00821404">
        <w:rPr>
          <w:b/>
          <w:i/>
          <w:sz w:val="28"/>
          <w:szCs w:val="24"/>
        </w:rPr>
        <w:t xml:space="preserve">3. </w:t>
      </w:r>
      <w:r w:rsidR="00B37796" w:rsidRPr="00821404">
        <w:rPr>
          <w:b/>
          <w:i/>
          <w:sz w:val="28"/>
          <w:szCs w:val="24"/>
        </w:rPr>
        <w:t>Положение о минимальных требованиях по управлению кредитным риском в микрофинансовых организациях, непривлекающих вклады (депозиты)</w:t>
      </w:r>
    </w:p>
    <w:p w14:paraId="3DCC3BB9" w14:textId="77777777" w:rsidR="00C0497C" w:rsidRDefault="00C0497C"/>
    <w:p w14:paraId="5F1C014C" w14:textId="77777777" w:rsidR="00B37796" w:rsidRPr="00B37796" w:rsidRDefault="00B37796" w:rsidP="00B37796">
      <w:pPr>
        <w:pStyle w:val="tkZagolovok2"/>
        <w:spacing w:after="0"/>
        <w:rPr>
          <w:rFonts w:ascii="Times New Roman" w:hAnsi="Times New Roman" w:cs="Times New Roman"/>
        </w:rPr>
      </w:pPr>
      <w:r w:rsidRPr="00B37796">
        <w:rPr>
          <w:rFonts w:ascii="Times New Roman" w:hAnsi="Times New Roman" w:cs="Times New Roman"/>
        </w:rPr>
        <w:t>Глава 6. Требования к кредитному договору и порядок его заключения</w:t>
      </w:r>
    </w:p>
    <w:p w14:paraId="506A9953" w14:textId="77777777" w:rsidR="00B37796" w:rsidRPr="00B37796" w:rsidRDefault="00F23F60" w:rsidP="00B37796">
      <w:pPr>
        <w:pStyle w:val="tkTekst"/>
        <w:spacing w:after="0"/>
        <w:rPr>
          <w:rFonts w:ascii="Times New Roman" w:hAnsi="Times New Roman" w:cs="Times New Roman"/>
          <w:sz w:val="24"/>
          <w:szCs w:val="24"/>
        </w:rPr>
      </w:pPr>
      <w:r w:rsidRPr="00F23F60">
        <w:rPr>
          <w:rFonts w:ascii="Times New Roman" w:hAnsi="Times New Roman" w:cs="Times New Roman"/>
          <w:b/>
          <w:sz w:val="24"/>
          <w:szCs w:val="24"/>
        </w:rPr>
        <w:t xml:space="preserve">Пункт </w:t>
      </w:r>
      <w:r w:rsidR="00B37796" w:rsidRPr="00F23F60">
        <w:rPr>
          <w:rFonts w:ascii="Times New Roman" w:hAnsi="Times New Roman" w:cs="Times New Roman"/>
          <w:b/>
          <w:sz w:val="24"/>
          <w:szCs w:val="24"/>
        </w:rPr>
        <w:t>29.</w:t>
      </w:r>
      <w:r w:rsidR="00B37796" w:rsidRPr="00B37796">
        <w:rPr>
          <w:rFonts w:ascii="Times New Roman" w:hAnsi="Times New Roman" w:cs="Times New Roman"/>
          <w:sz w:val="24"/>
          <w:szCs w:val="24"/>
        </w:rPr>
        <w:t xml:space="preserve"> Кредитный договор, заключаемый между МФО и клиентом, в том числе в форме электронного документа, подписанного посредством электронной подписи, которая позволяет удостоверить ее принадлежность стороне договора, со всеми приложениями к нему и другие договора/соглашения составляются на государственном языке и по требованию клиента - на официальном языке. Каждый лист кредитного договора со всеми приложениями должен быть подписан клиентом на бумажном носителе либо в форме единого электронного документа.</w:t>
      </w:r>
    </w:p>
    <w:p w14:paraId="2488E164"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Каждая заключающая договор сторона должна получить подписанный всеми сторонами оригинал экземпляра кредитного договора либо в форме электронного документа, подписанного посредством электронной подписи, которая позволяет удостоверить ее принадлежность стороне договора. Кредитный договор не должен противоречить законодательству Кыргызской Республики, а также нормативным правовым актам Национального банка. МФО должна получить с клиента расписку, подписанную в бумажном или в электронном виде, подписанную посредством электронной подписи о получении клиентом оригинала договора либо электронного документа, подписанного посредством электронной подписи. Отметка на экземпляре кредитного договора МФО о том, что клиент получил оригинал договора, приравнивается такой расписке. Факт получения клиентом денежных средств должен быть подтвержден соответствующим документом.</w:t>
      </w:r>
    </w:p>
    <w:p w14:paraId="323B83CF"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Количество подлинных экземпляров договоров по кредиту должно быть не менее числа сторон заключивших договор. При групповом кредитовании, когда одной из сторон выступает ГСО, количество подлинных экземпляров кредитного договора для ГСО должно быть не менее чем количество участников ГСО, подписавших договор. МФО должна обеспечить сохранность всех подлинных документов к кредитному договору в соответствии с законодательством Кыргызской Республики.</w:t>
      </w:r>
    </w:p>
    <w:p w14:paraId="303C64CE"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При этом договоры по кредитам, выдаваемым через удаленный/дистанционный канал обслуживания в суммах, установленных нормативными правовыми актами Национального банка, могут быть подписаны посредством электронной подписи, которая позволяет удостоверить ее принадлежность стороне договора.</w:t>
      </w:r>
    </w:p>
    <w:p w14:paraId="17F40D0D"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 xml:space="preserve">Текст кредитного договора должен быть напечатан шрифтом одинакового размера, изложен предельно ясно и доступно для восприятия и понимания клиентами. Права и обязанности участника, вытекающие из условий кредитного договора, должны быть отражены в отдельном разделе кредитного договора. </w:t>
      </w:r>
      <w:r w:rsidRPr="00B37796">
        <w:rPr>
          <w:rFonts w:ascii="Times New Roman" w:hAnsi="Times New Roman" w:cs="Times New Roman"/>
          <w:b/>
          <w:sz w:val="24"/>
          <w:szCs w:val="24"/>
          <w:highlight w:val="yellow"/>
        </w:rPr>
        <w:t>По всему тексту кредитного договора и во всех приложениях к нему шрифт должен быть одинаковым и его размер должен быть не менее 12 (не менее 16 - для клиента с нарушением зрения при запросе).</w:t>
      </w:r>
    </w:p>
    <w:p w14:paraId="08A579E0"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lastRenderedPageBreak/>
        <w:t>При обслуживании клиента с нарушением зрения или слуха МФО необходимо по желанию клиента обеспечить звуковое воспроизведение/сурдоперевод текста кредитного договора и иных документов, подписываемых клиентом.</w:t>
      </w:r>
    </w:p>
    <w:p w14:paraId="4F414B29"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Клиент, не способный вследствие имеющихся нарушений, самостоятельно проставить подпись, может использовать факсимильную подпись в кредитном договоре и иных документах, с учетом требований законодательства Кыргызской Республики.</w:t>
      </w:r>
    </w:p>
    <w:p w14:paraId="16ED33FF" w14:textId="77777777" w:rsidR="00B37796" w:rsidRPr="00B37796" w:rsidRDefault="00B37796" w:rsidP="00B37796">
      <w:pPr>
        <w:pStyle w:val="tkTekst"/>
        <w:spacing w:after="0"/>
        <w:rPr>
          <w:rFonts w:ascii="Times New Roman" w:hAnsi="Times New Roman" w:cs="Times New Roman"/>
          <w:sz w:val="24"/>
          <w:szCs w:val="24"/>
        </w:rPr>
      </w:pPr>
      <w:r w:rsidRPr="00B37796">
        <w:rPr>
          <w:rFonts w:ascii="Times New Roman" w:hAnsi="Times New Roman" w:cs="Times New Roman"/>
          <w:sz w:val="24"/>
          <w:szCs w:val="24"/>
        </w:rPr>
        <w:t>Споры, возникающие в процессе исполнения договора, если они не были разрешены по соглашению сторон, разрешаются в порядке, предусмотренном законодательством Кыргызской Республики, в том числе в рамках досудебного урегулирования споров.</w:t>
      </w:r>
    </w:p>
    <w:p w14:paraId="24F077C8" w14:textId="77777777" w:rsidR="00B37796" w:rsidRPr="00B37796" w:rsidRDefault="00B37796" w:rsidP="00B37796">
      <w:pPr>
        <w:pStyle w:val="tkRedakcijaTekst"/>
        <w:spacing w:after="0"/>
        <w:rPr>
          <w:rFonts w:ascii="Times New Roman" w:hAnsi="Times New Roman" w:cs="Times New Roman"/>
          <w:sz w:val="24"/>
          <w:szCs w:val="24"/>
        </w:rPr>
      </w:pPr>
      <w:r w:rsidRPr="00B37796">
        <w:rPr>
          <w:rFonts w:ascii="Times New Roman" w:hAnsi="Times New Roman" w:cs="Times New Roman"/>
          <w:sz w:val="24"/>
          <w:szCs w:val="24"/>
        </w:rPr>
        <w:t xml:space="preserve">(В редакции постановлений Правления Нацбанка КР от </w:t>
      </w:r>
      <w:hyperlink r:id="rId11" w:history="1">
        <w:r w:rsidRPr="00B37796">
          <w:rPr>
            <w:rStyle w:val="Hyperlink"/>
            <w:rFonts w:ascii="Times New Roman" w:hAnsi="Times New Roman" w:cs="Times New Roman"/>
            <w:sz w:val="24"/>
            <w:szCs w:val="24"/>
          </w:rPr>
          <w:t>11 марта 2020 года № 2020-П-33/10-1</w:t>
        </w:r>
      </w:hyperlink>
      <w:r w:rsidRPr="00B37796">
        <w:rPr>
          <w:rFonts w:ascii="Times New Roman" w:hAnsi="Times New Roman" w:cs="Times New Roman"/>
          <w:sz w:val="24"/>
          <w:szCs w:val="24"/>
        </w:rPr>
        <w:t xml:space="preserve">, </w:t>
      </w:r>
      <w:hyperlink r:id="rId12" w:history="1">
        <w:r w:rsidRPr="00B37796">
          <w:rPr>
            <w:rStyle w:val="Hyperlink"/>
            <w:rFonts w:ascii="Times New Roman" w:hAnsi="Times New Roman" w:cs="Times New Roman"/>
            <w:sz w:val="24"/>
            <w:szCs w:val="24"/>
          </w:rPr>
          <w:t>8 декабря 2023 года № 2023-П-12/76-1</w:t>
        </w:r>
      </w:hyperlink>
      <w:r w:rsidRPr="00B37796">
        <w:rPr>
          <w:rFonts w:ascii="Times New Roman" w:hAnsi="Times New Roman" w:cs="Times New Roman"/>
          <w:sz w:val="24"/>
          <w:szCs w:val="24"/>
        </w:rPr>
        <w:t xml:space="preserve">, </w:t>
      </w:r>
      <w:hyperlink r:id="rId13" w:history="1">
        <w:r w:rsidRPr="00B37796">
          <w:rPr>
            <w:rStyle w:val="Hyperlink"/>
            <w:rFonts w:ascii="Times New Roman" w:hAnsi="Times New Roman" w:cs="Times New Roman"/>
            <w:sz w:val="24"/>
            <w:szCs w:val="24"/>
          </w:rPr>
          <w:t>16 октября 2024 года № 2024-П-12/53-2-(НФКУ)</w:t>
        </w:r>
      </w:hyperlink>
      <w:r w:rsidRPr="00B37796">
        <w:rPr>
          <w:rFonts w:ascii="Times New Roman" w:hAnsi="Times New Roman" w:cs="Times New Roman"/>
          <w:sz w:val="24"/>
          <w:szCs w:val="24"/>
        </w:rPr>
        <w:t xml:space="preserve">, </w:t>
      </w:r>
      <w:hyperlink r:id="rId14" w:history="1">
        <w:r w:rsidRPr="00B37796">
          <w:rPr>
            <w:rStyle w:val="Hyperlink"/>
            <w:rFonts w:ascii="Times New Roman" w:hAnsi="Times New Roman" w:cs="Times New Roman"/>
            <w:sz w:val="24"/>
            <w:szCs w:val="24"/>
          </w:rPr>
          <w:t>22 января 2025 года № 2025-П-12/2-3-(НФКУ)</w:t>
        </w:r>
      </w:hyperlink>
      <w:r w:rsidRPr="00B37796">
        <w:rPr>
          <w:rFonts w:ascii="Times New Roman" w:hAnsi="Times New Roman" w:cs="Times New Roman"/>
          <w:sz w:val="24"/>
          <w:szCs w:val="24"/>
        </w:rPr>
        <w:t>)</w:t>
      </w:r>
    </w:p>
    <w:p w14:paraId="08218B1F" w14:textId="77777777" w:rsidR="00433F16" w:rsidRPr="00433F16" w:rsidRDefault="00433F16" w:rsidP="00433F16">
      <w:pPr>
        <w:jc w:val="both"/>
        <w:rPr>
          <w:b/>
          <w:i/>
          <w:sz w:val="28"/>
          <w:szCs w:val="24"/>
        </w:rPr>
      </w:pPr>
    </w:p>
    <w:sectPr w:rsidR="00433F16" w:rsidRPr="00433F16">
      <w:footerReference w:type="even" r:id="rId15"/>
      <w:footerReference w:type="default" r:id="rId16"/>
      <w:footerReference w:type="first" r:id="rId1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097A9" w14:textId="77777777" w:rsidR="000C588B" w:rsidRDefault="000C588B" w:rsidP="00D25AB6">
      <w:r>
        <w:separator/>
      </w:r>
    </w:p>
  </w:endnote>
  <w:endnote w:type="continuationSeparator" w:id="0">
    <w:p w14:paraId="5AD12877" w14:textId="77777777" w:rsidR="000C588B" w:rsidRDefault="000C588B" w:rsidP="00D25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D404" w14:textId="19F0BEDF" w:rsidR="00D25AB6" w:rsidRDefault="00D25AB6">
    <w:pPr>
      <w:pStyle w:val="Footer"/>
    </w:pPr>
    <w:r>
      <w:rPr>
        <w:noProof/>
      </w:rPr>
      <mc:AlternateContent>
        <mc:Choice Requires="wps">
          <w:drawing>
            <wp:anchor distT="0" distB="0" distL="0" distR="0" simplePos="0" relativeHeight="251659264" behindDoc="0" locked="0" layoutInCell="1" allowOverlap="1" wp14:anchorId="43D723F7" wp14:editId="54F1C662">
              <wp:simplePos x="635" y="635"/>
              <wp:positionH relativeFrom="page">
                <wp:align>right</wp:align>
              </wp:positionH>
              <wp:positionV relativeFrom="page">
                <wp:align>bottom</wp:align>
              </wp:positionV>
              <wp:extent cx="1106805" cy="345440"/>
              <wp:effectExtent l="0" t="0" r="0" b="0"/>
              <wp:wrapNone/>
              <wp:docPr id="1394190250"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45440"/>
                      </a:xfrm>
                      <a:prstGeom prst="rect">
                        <a:avLst/>
                      </a:prstGeom>
                      <a:noFill/>
                      <a:ln>
                        <a:noFill/>
                      </a:ln>
                    </wps:spPr>
                    <wps:txbx>
                      <w:txbxContent>
                        <w:p w14:paraId="15D368A0" w14:textId="6A61802A" w:rsidR="00D25AB6" w:rsidRPr="00D25AB6" w:rsidRDefault="00D25AB6" w:rsidP="00D25AB6">
                          <w:pPr>
                            <w:rPr>
                              <w:rFonts w:ascii="Calibri" w:eastAsia="Calibri" w:hAnsi="Calibri" w:cs="Calibri"/>
                              <w:noProof/>
                              <w:color w:val="000000"/>
                              <w:sz w:val="20"/>
                            </w:rPr>
                          </w:pPr>
                          <w:r w:rsidRPr="00D25AB6">
                            <w:rPr>
                              <w:rFonts w:ascii="Calibri" w:eastAsia="Calibri" w:hAnsi="Calibri" w:cs="Calibri"/>
                              <w:noProof/>
                              <w:color w:val="000000"/>
                              <w:sz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3D723F7" id="_x0000_t202" coordsize="21600,21600" o:spt="202" path="m,l,21600r21600,l21600,xe">
              <v:stroke joinstyle="miter"/>
              <v:path gradientshapeok="t" o:connecttype="rect"/>
            </v:shapetype>
            <v:shape id="Text Box 2" o:spid="_x0000_s1026" type="#_x0000_t202" alt="Official Use Only" style="position:absolute;margin-left:35.95pt;margin-top:0;width:87.15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TWSEAIAABsEAAAOAAAAZHJzL2Uyb0RvYy54bWysU99v2jAQfp+0/8Hy+0hgULURoWKtmCah&#10;thKd+mwcm0RyfNbZkLC/fmcTYOv2NO3FOd9d7sf3fZ7f961hB4W+AVvy8SjnTFkJVWN3Jf/+uvp0&#10;y5kPwlbCgFUlPyrP7xcfP8w7V6gJ1GAqhYyKWF90ruR1CK7IMi9r1Qo/AqcsBTVgKwJdcZdVKDqq&#10;3ppskuc3WQdYOQSpvCfv4ynIF6m+1kqGZ629CsyUnGYL6cR0buOZLeai2KFwdSOHMcQ/TNGKxlLT&#10;S6lHEQTbY/NHqbaRCB50GEloM9C6kSrtQNuM83fbbGrhVNqFwPHuApP/f2Xl02HjXpCF/gv0RGAE&#10;pHO+8OSM+/Qa2/ilSRnFCcLjBTbVBybjT+P85jafcSYp9nk6m04Trtn1b4c+fFXQsmiUHImWhJY4&#10;rH2gjpR6TonNLKwaYxI1xv7moMToya4jRiv0236YewvVkdZBODHtnVw11HMtfHgRSNTSBiTX8EyH&#10;NtCVHAaLsxrwx9/8MZ8QpyhnHUml5Ja0zJn5ZomJqKqzgcmYzKZ5Tu5tuo3v8lm82X37AKTCMT0I&#10;J5NJXgzmbGqE9o3UvIzdKCSspJ4l357Nh3ASLr0GqZbLlEQqciKs7cbJWDqCFZF87d8EugHuQEQ9&#10;wVlMoniH+ik3/undch8I+0RJBPaE5oA3KTAxNbyWKPFf7ynr+qYXPwEAAP//AwBQSwMEFAAGAAgA&#10;AAAhACCiw8vbAAAABAEAAA8AAABkcnMvZG93bnJldi54bWxMj0FLxDAQhe+C/yGM4EXcVK1VaqeL&#10;LngQZMFV9Jo2Y1s2mZQk2+3+e7Ne9DLweI/3vqmWszViIh8GxwhXiwwEcev0wB3Cx/vz5T2IEBVr&#10;ZRwTwoECLOvTk0qV2u35jaZN7EQq4VAqhD7GsZQytD1ZFRZuJE7et/NWxSR9J7VX+1RujbzOskJa&#10;NXBa6NVIq57a7WZnEZ4uwmfzuvWHl3Xuiq9pVZhxXSCen82PDyAizfEvDEf8hA51YmrcjnUQBiE9&#10;En/v0bvLb0A0CLd5DrKu5H/4+gcAAP//AwBQSwECLQAUAAYACAAAACEAtoM4kv4AAADhAQAAEwAA&#10;AAAAAAAAAAAAAAAAAAAAW0NvbnRlbnRfVHlwZXNdLnhtbFBLAQItABQABgAIAAAAIQA4/SH/1gAA&#10;AJQBAAALAAAAAAAAAAAAAAAAAC8BAABfcmVscy8ucmVsc1BLAQItABQABgAIAAAAIQBdbTWSEAIA&#10;ABsEAAAOAAAAAAAAAAAAAAAAAC4CAABkcnMvZTJvRG9jLnhtbFBLAQItABQABgAIAAAAIQAgosPL&#10;2wAAAAQBAAAPAAAAAAAAAAAAAAAAAGoEAABkcnMvZG93bnJldi54bWxQSwUGAAAAAAQABADzAAAA&#10;cgUAAAAA&#10;" filled="f" stroked="f">
              <v:textbox style="mso-fit-shape-to-text:t" inset="0,0,20pt,15pt">
                <w:txbxContent>
                  <w:p w14:paraId="15D368A0" w14:textId="6A61802A" w:rsidR="00D25AB6" w:rsidRPr="00D25AB6" w:rsidRDefault="00D25AB6" w:rsidP="00D25AB6">
                    <w:pPr>
                      <w:rPr>
                        <w:rFonts w:ascii="Calibri" w:eastAsia="Calibri" w:hAnsi="Calibri" w:cs="Calibri"/>
                        <w:noProof/>
                        <w:color w:val="000000"/>
                        <w:sz w:val="20"/>
                      </w:rPr>
                    </w:pPr>
                    <w:r w:rsidRPr="00D25AB6">
                      <w:rPr>
                        <w:rFonts w:ascii="Calibri" w:eastAsia="Calibri" w:hAnsi="Calibri" w:cs="Calibri"/>
                        <w:noProof/>
                        <w:color w:val="000000"/>
                        <w:sz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9FC18" w14:textId="75DB9731" w:rsidR="00D25AB6" w:rsidRDefault="00D25AB6">
    <w:pPr>
      <w:pStyle w:val="Footer"/>
    </w:pPr>
    <w:r>
      <w:rPr>
        <w:noProof/>
      </w:rPr>
      <mc:AlternateContent>
        <mc:Choice Requires="wps">
          <w:drawing>
            <wp:anchor distT="0" distB="0" distL="0" distR="0" simplePos="0" relativeHeight="251660288" behindDoc="0" locked="0" layoutInCell="1" allowOverlap="1" wp14:anchorId="04443BC6" wp14:editId="42D58E25">
              <wp:simplePos x="1081088" y="10067925"/>
              <wp:positionH relativeFrom="page">
                <wp:align>right</wp:align>
              </wp:positionH>
              <wp:positionV relativeFrom="page">
                <wp:align>bottom</wp:align>
              </wp:positionV>
              <wp:extent cx="1106805" cy="345440"/>
              <wp:effectExtent l="0" t="0" r="0" b="0"/>
              <wp:wrapNone/>
              <wp:docPr id="407244809"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45440"/>
                      </a:xfrm>
                      <a:prstGeom prst="rect">
                        <a:avLst/>
                      </a:prstGeom>
                      <a:noFill/>
                      <a:ln>
                        <a:noFill/>
                      </a:ln>
                    </wps:spPr>
                    <wps:txbx>
                      <w:txbxContent>
                        <w:p w14:paraId="4B0EAA58" w14:textId="0CA9C7B1" w:rsidR="00D25AB6" w:rsidRPr="00D25AB6" w:rsidRDefault="00D25AB6" w:rsidP="00D25AB6">
                          <w:pPr>
                            <w:rPr>
                              <w:rFonts w:ascii="Calibri" w:eastAsia="Calibri" w:hAnsi="Calibri" w:cs="Calibri"/>
                              <w:noProof/>
                              <w:color w:val="000000"/>
                              <w:sz w:val="20"/>
                            </w:rPr>
                          </w:pPr>
                          <w:r w:rsidRPr="00D25AB6">
                            <w:rPr>
                              <w:rFonts w:ascii="Calibri" w:eastAsia="Calibri" w:hAnsi="Calibri" w:cs="Calibri"/>
                              <w:noProof/>
                              <w:color w:val="000000"/>
                              <w:sz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4443BC6" id="_x0000_t202" coordsize="21600,21600" o:spt="202" path="m,l,21600r21600,l21600,xe">
              <v:stroke joinstyle="miter"/>
              <v:path gradientshapeok="t" o:connecttype="rect"/>
            </v:shapetype>
            <v:shape id="Text Box 3" o:spid="_x0000_s1027" type="#_x0000_t202" alt="Official Use Only" style="position:absolute;margin-left:35.95pt;margin-top:0;width:87.15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ALLEgIAACIEAAAOAAAAZHJzL2Uyb0RvYy54bWysU01v2zAMvQ/YfxB0X+xkSdEZcYqsRYYB&#10;QVsgHXpWZCk2YIkCpcTOfv0oOR9dt9Owi0yRND/ee5rf9aZlB4W+AVvy8SjnTFkJVWN3Jf/xsvp0&#10;y5kPwlaiBatKflSe3y0+fph3rlATqKGtFDIqYn3RuZLXIbgiy7yslRF+BE5ZCmpAIwJdcZdVKDqq&#10;btpskuc3WQdYOQSpvCfvwxDki1RfayXDk9ZeBdaWnGYL6cR0buOZLeai2KFwdSNPY4h/mMKIxlLT&#10;S6kHEQTbY/NHKdNIBA86jCSYDLRupEo70Dbj/N02m1o4lXYhcLy7wOT/X1n5eNi4Z2Sh/wo9ERgB&#10;6ZwvPDnjPr1GE780KaM4QXi8wKb6wGT8aZzf3OYzziTFPk9n02nCNbv+7dCHbwoMi0bJkWhJaInD&#10;2gfqSKnnlNjMwqpp20RNa39zUGL0ZNcRoxX6bc+a6s34W6iOtBXCQLh3ctVQ67Xw4VkgMUyLkGrD&#10;Ex26ha7kcLI4qwF//s0f8wl4inLWkWJKbknSnLXfLRESxXU2MBmT2TTPyb1Nt/GXfBZvdm/ugcQ4&#10;pnfhZDLJi6E9mxrBvJKol7EbhYSV1LPk27N5Hwb90qOQarlMSSQmJ8LabpyMpSNmEdCX/lWgO6Ee&#10;iK9HOGtKFO/AH3Ljn94t94EoSMxEfAc0T7CTEBNhp0cTlf72nrKuT3vxCwAA//8DAFBLAwQUAAYA&#10;CAAAACEAIKLDy9sAAAAEAQAADwAAAGRycy9kb3ducmV2LnhtbEyPQUvEMBCF74L/IYzgRdxUrVVq&#10;p4sueBBkwVX0mjZjWzaZlCTb7f57s170MvB4j/e+qZazNWIiHwbHCFeLDARx6/TAHcLH+/PlPYgQ&#10;FWtlHBPCgQIs69OTSpXa7fmNpk3sRCrhUCqEPsaxlDK0PVkVFm4kTt6381bFJH0ntVf7VG6NvM6y&#10;Qlo1cFro1UirntrtZmcRni7CZ/O69YeXde6Kr2lVmHFdIJ6fzY8PICLN8S8MR/yEDnViatyOdRAG&#10;IT0Sf+/Ru8tvQDQIt3kOsq7kf/j6BwAA//8DAFBLAQItABQABgAIAAAAIQC2gziS/gAAAOEBAAAT&#10;AAAAAAAAAAAAAAAAAAAAAABbQ29udGVudF9UeXBlc10ueG1sUEsBAi0AFAAGAAgAAAAhADj9If/W&#10;AAAAlAEAAAsAAAAAAAAAAAAAAAAALwEAAF9yZWxzLy5yZWxzUEsBAi0AFAAGAAgAAAAhAJ2AAssS&#10;AgAAIgQAAA4AAAAAAAAAAAAAAAAALgIAAGRycy9lMm9Eb2MueG1sUEsBAi0AFAAGAAgAAAAhACCi&#10;w8vbAAAABAEAAA8AAAAAAAAAAAAAAAAAbAQAAGRycy9kb3ducmV2LnhtbFBLBQYAAAAABAAEAPMA&#10;AAB0BQAAAAA=&#10;" filled="f" stroked="f">
              <v:textbox style="mso-fit-shape-to-text:t" inset="0,0,20pt,15pt">
                <w:txbxContent>
                  <w:p w14:paraId="4B0EAA58" w14:textId="0CA9C7B1" w:rsidR="00D25AB6" w:rsidRPr="00D25AB6" w:rsidRDefault="00D25AB6" w:rsidP="00D25AB6">
                    <w:pPr>
                      <w:rPr>
                        <w:rFonts w:ascii="Calibri" w:eastAsia="Calibri" w:hAnsi="Calibri" w:cs="Calibri"/>
                        <w:noProof/>
                        <w:color w:val="000000"/>
                        <w:sz w:val="20"/>
                      </w:rPr>
                    </w:pPr>
                    <w:r w:rsidRPr="00D25AB6">
                      <w:rPr>
                        <w:rFonts w:ascii="Calibri" w:eastAsia="Calibri" w:hAnsi="Calibri" w:cs="Calibri"/>
                        <w:noProof/>
                        <w:color w:val="000000"/>
                        <w:sz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0F67" w14:textId="411674C2" w:rsidR="00D25AB6" w:rsidRDefault="00D25AB6">
    <w:pPr>
      <w:pStyle w:val="Footer"/>
    </w:pPr>
    <w:r>
      <w:rPr>
        <w:noProof/>
      </w:rPr>
      <mc:AlternateContent>
        <mc:Choice Requires="wps">
          <w:drawing>
            <wp:anchor distT="0" distB="0" distL="0" distR="0" simplePos="0" relativeHeight="251658240" behindDoc="0" locked="0" layoutInCell="1" allowOverlap="1" wp14:anchorId="158A11BE" wp14:editId="4EC39169">
              <wp:simplePos x="635" y="635"/>
              <wp:positionH relativeFrom="page">
                <wp:align>right</wp:align>
              </wp:positionH>
              <wp:positionV relativeFrom="page">
                <wp:align>bottom</wp:align>
              </wp:positionV>
              <wp:extent cx="1106805" cy="345440"/>
              <wp:effectExtent l="0" t="0" r="0" b="0"/>
              <wp:wrapNone/>
              <wp:docPr id="1631455171"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45440"/>
                      </a:xfrm>
                      <a:prstGeom prst="rect">
                        <a:avLst/>
                      </a:prstGeom>
                      <a:noFill/>
                      <a:ln>
                        <a:noFill/>
                      </a:ln>
                    </wps:spPr>
                    <wps:txbx>
                      <w:txbxContent>
                        <w:p w14:paraId="1C0BC90A" w14:textId="0B2C33D7" w:rsidR="00D25AB6" w:rsidRPr="00D25AB6" w:rsidRDefault="00D25AB6" w:rsidP="00D25AB6">
                          <w:pPr>
                            <w:rPr>
                              <w:rFonts w:ascii="Calibri" w:eastAsia="Calibri" w:hAnsi="Calibri" w:cs="Calibri"/>
                              <w:noProof/>
                              <w:color w:val="000000"/>
                              <w:sz w:val="20"/>
                            </w:rPr>
                          </w:pPr>
                          <w:r w:rsidRPr="00D25AB6">
                            <w:rPr>
                              <w:rFonts w:ascii="Calibri" w:eastAsia="Calibri" w:hAnsi="Calibri" w:cs="Calibri"/>
                              <w:noProof/>
                              <w:color w:val="000000"/>
                              <w:sz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58A11BE" id="_x0000_t202" coordsize="21600,21600" o:spt="202" path="m,l,21600r21600,l21600,xe">
              <v:stroke joinstyle="miter"/>
              <v:path gradientshapeok="t" o:connecttype="rect"/>
            </v:shapetype>
            <v:shape id="Text Box 1" o:spid="_x0000_s1028" type="#_x0000_t202" alt="Official Use Only" style="position:absolute;margin-left:35.95pt;margin-top:0;width:87.15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vGJFAIAACIEAAAOAAAAZHJzL2Uyb0RvYy54bWysU99v2jAQfp+0/8Hy+0hgULURoWKtmCah&#10;thKd+mwcm0RyfNbZkLC/fmdDYOv2NO3FOd9d7sf3fZ7f961hB4W+AVvy8SjnTFkJVWN3Jf/+uvp0&#10;y5kPwlbCgFUlPyrP7xcfP8w7V6gJ1GAqhYyKWF90ruR1CK7IMi9r1Qo/AqcsBTVgKwJdcZdVKDqq&#10;3ppskuc3WQdYOQSpvCfv4ynIF6m+1kqGZ629CsyUnGYL6cR0buOZLeai2KFwdSPPY4h/mKIVjaWm&#10;l1KPIgi2x+aPUm0jETzoMJLQZqB1I1XagbYZ5++22dTCqbQLgePdBSb//8rKp8PGvSAL/RfoicAI&#10;SOd84ckZ9+k1tvFLkzKKE4THC2yqD0zGn8b5zW0+40xS7PN0Np0mXLPr3w59+KqgZdEoORItCS1x&#10;WPtAHSl1SInNLKwaYxI1xv7moMToya4jRiv02541Vcknw/hbqI60FcKJcO/kqqHWa+HDi0BimBYh&#10;1YZnOrSBruRwtjirAX/8zR/zCXiKctaRYkpuSdKcmW+WCIniGgxMxmQ2zXNyb9NtfJfP4s3u2wcg&#10;MY7pXTiZTPJiMIOpEdo3EvUydqOQsJJ6lnw7mA/hpF96FFItlymJxOREWNuNk7F0xCwC+tq/CXRn&#10;1APx9QSDpkTxDvxTbvzTu+U+EAWJmYjvCc0z7CTERNj50USl/3pPWdenvfgJAAD//wMAUEsDBBQA&#10;BgAIAAAAIQAgosPL2wAAAAQBAAAPAAAAZHJzL2Rvd25yZXYueG1sTI9BS8QwEIXvgv8hjOBF3FSt&#10;VWqniy54EGTBVfSaNmNbNpmUJNvt/nuzXvQy8HiP976plrM1YiIfBscIV4sMBHHr9MAdwsf78+U9&#10;iBAVa2UcE8KBAizr05NKldrt+Y2mTexEKuFQKoQ+xrGUMrQ9WRUWbiRO3rfzVsUkfSe1V/tUbo28&#10;zrJCWjVwWujVSKue2u1mZxGeLsJn87r1h5d17oqvaVWYcV0gnp/Njw8gIs3xLwxH/IQOdWJq3I51&#10;EAYhPRJ/79G7y29ANAi3eQ6yruR/+PoHAAD//wMAUEsBAi0AFAAGAAgAAAAhALaDOJL+AAAA4QEA&#10;ABMAAAAAAAAAAAAAAAAAAAAAAFtDb250ZW50X1R5cGVzXS54bWxQSwECLQAUAAYACAAAACEAOP0h&#10;/9YAAACUAQAACwAAAAAAAAAAAAAAAAAvAQAAX3JlbHMvLnJlbHNQSwECLQAUAAYACAAAACEAzBbx&#10;iRQCAAAiBAAADgAAAAAAAAAAAAAAAAAuAgAAZHJzL2Uyb0RvYy54bWxQSwECLQAUAAYACAAAACEA&#10;IKLDy9sAAAAEAQAADwAAAAAAAAAAAAAAAABuBAAAZHJzL2Rvd25yZXYueG1sUEsFBgAAAAAEAAQA&#10;8wAAAHYFAAAAAA==&#10;" filled="f" stroked="f">
              <v:textbox style="mso-fit-shape-to-text:t" inset="0,0,20pt,15pt">
                <w:txbxContent>
                  <w:p w14:paraId="1C0BC90A" w14:textId="0B2C33D7" w:rsidR="00D25AB6" w:rsidRPr="00D25AB6" w:rsidRDefault="00D25AB6" w:rsidP="00D25AB6">
                    <w:pPr>
                      <w:rPr>
                        <w:rFonts w:ascii="Calibri" w:eastAsia="Calibri" w:hAnsi="Calibri" w:cs="Calibri"/>
                        <w:noProof/>
                        <w:color w:val="000000"/>
                        <w:sz w:val="20"/>
                      </w:rPr>
                    </w:pPr>
                    <w:r w:rsidRPr="00D25AB6">
                      <w:rPr>
                        <w:rFonts w:ascii="Calibri" w:eastAsia="Calibri" w:hAnsi="Calibri" w:cs="Calibri"/>
                        <w:noProof/>
                        <w:color w:val="000000"/>
                        <w:sz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79B88" w14:textId="77777777" w:rsidR="000C588B" w:rsidRDefault="000C588B" w:rsidP="00D25AB6">
      <w:r>
        <w:separator/>
      </w:r>
    </w:p>
  </w:footnote>
  <w:footnote w:type="continuationSeparator" w:id="0">
    <w:p w14:paraId="5C7F252A" w14:textId="77777777" w:rsidR="000C588B" w:rsidRDefault="000C588B" w:rsidP="00D25A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B0D"/>
    <w:rsid w:val="00001F53"/>
    <w:rsid w:val="00012401"/>
    <w:rsid w:val="000C588B"/>
    <w:rsid w:val="002A7C34"/>
    <w:rsid w:val="002F12A0"/>
    <w:rsid w:val="00387158"/>
    <w:rsid w:val="003D0701"/>
    <w:rsid w:val="00433F16"/>
    <w:rsid w:val="004E1BFD"/>
    <w:rsid w:val="006D2F1D"/>
    <w:rsid w:val="007E78F4"/>
    <w:rsid w:val="00821404"/>
    <w:rsid w:val="008B0B0D"/>
    <w:rsid w:val="0094344F"/>
    <w:rsid w:val="00A07EFC"/>
    <w:rsid w:val="00AD13A4"/>
    <w:rsid w:val="00B37796"/>
    <w:rsid w:val="00C0497C"/>
    <w:rsid w:val="00D25AB6"/>
    <w:rsid w:val="00DC42A8"/>
    <w:rsid w:val="00E339A7"/>
    <w:rsid w:val="00EF79D5"/>
    <w:rsid w:val="00F23F60"/>
    <w:rsid w:val="00F54125"/>
    <w:rsid w:val="00F956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58885"/>
  <w15:chartTrackingRefBased/>
  <w15:docId w15:val="{BFBD4AEF-8891-4C0D-95B6-638CAE25D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158"/>
    <w:pPr>
      <w:spacing w:after="0" w:line="240" w:lineRule="auto"/>
    </w:pPr>
    <w:rPr>
      <w:rFonts w:ascii="Times New Roman" w:eastAsia="Times New Roman" w:hAnsi="Times New Roman" w:cs="Times New Roman"/>
      <w:sz w:val="24"/>
      <w:szCs w:val="20"/>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158"/>
    <w:pPr>
      <w:ind w:left="720"/>
      <w:contextualSpacing/>
    </w:pPr>
  </w:style>
  <w:style w:type="paragraph" w:customStyle="1" w:styleId="tkTekst">
    <w:name w:val="_Текст обычный (tkTekst)"/>
    <w:basedOn w:val="Normal"/>
    <w:rsid w:val="00387158"/>
    <w:pPr>
      <w:spacing w:after="60" w:line="276" w:lineRule="auto"/>
      <w:ind w:firstLine="567"/>
      <w:jc w:val="both"/>
    </w:pPr>
    <w:rPr>
      <w:rFonts w:ascii="Arial" w:hAnsi="Arial" w:cs="Arial"/>
      <w:sz w:val="20"/>
    </w:rPr>
  </w:style>
  <w:style w:type="character" w:styleId="Hyperlink">
    <w:name w:val="Hyperlink"/>
    <w:basedOn w:val="DefaultParagraphFont"/>
    <w:uiPriority w:val="99"/>
    <w:semiHidden/>
    <w:unhideWhenUsed/>
    <w:rsid w:val="00C0497C"/>
    <w:rPr>
      <w:color w:val="0000FF"/>
      <w:u w:val="single"/>
    </w:rPr>
  </w:style>
  <w:style w:type="paragraph" w:customStyle="1" w:styleId="tkRedakcijaTekst">
    <w:name w:val="_В редакции текст (tkRedakcijaTekst)"/>
    <w:basedOn w:val="Normal"/>
    <w:rsid w:val="00C0497C"/>
    <w:pPr>
      <w:spacing w:after="60" w:line="276" w:lineRule="auto"/>
      <w:ind w:firstLine="567"/>
      <w:jc w:val="both"/>
    </w:pPr>
    <w:rPr>
      <w:rFonts w:ascii="Arial" w:hAnsi="Arial" w:cs="Arial"/>
      <w:i/>
      <w:iCs/>
      <w:sz w:val="20"/>
    </w:rPr>
  </w:style>
  <w:style w:type="paragraph" w:customStyle="1" w:styleId="tkRedakcijaSpisok">
    <w:name w:val="_В редакции список (tkRedakcijaSpisok)"/>
    <w:basedOn w:val="Normal"/>
    <w:rsid w:val="00C0497C"/>
    <w:pPr>
      <w:spacing w:after="200" w:line="276" w:lineRule="auto"/>
      <w:ind w:left="1134" w:right="1134"/>
      <w:jc w:val="center"/>
    </w:pPr>
    <w:rPr>
      <w:rFonts w:ascii="Arial" w:hAnsi="Arial" w:cs="Arial"/>
      <w:i/>
      <w:iCs/>
      <w:sz w:val="20"/>
    </w:rPr>
  </w:style>
  <w:style w:type="paragraph" w:customStyle="1" w:styleId="tkGrif">
    <w:name w:val="_Гриф (tkGrif)"/>
    <w:basedOn w:val="Normal"/>
    <w:rsid w:val="00C0497C"/>
    <w:pPr>
      <w:spacing w:after="60" w:line="276" w:lineRule="auto"/>
      <w:jc w:val="center"/>
    </w:pPr>
    <w:rPr>
      <w:rFonts w:ascii="Arial" w:hAnsi="Arial" w:cs="Arial"/>
      <w:sz w:val="20"/>
    </w:rPr>
  </w:style>
  <w:style w:type="paragraph" w:customStyle="1" w:styleId="tkNazvanie">
    <w:name w:val="_Название (tkNazvanie)"/>
    <w:basedOn w:val="Normal"/>
    <w:rsid w:val="00C0497C"/>
    <w:pPr>
      <w:spacing w:before="400" w:after="400" w:line="276" w:lineRule="auto"/>
      <w:ind w:left="1134" w:right="1134"/>
      <w:jc w:val="center"/>
    </w:pPr>
    <w:rPr>
      <w:rFonts w:ascii="Arial" w:hAnsi="Arial" w:cs="Arial"/>
      <w:b/>
      <w:bCs/>
      <w:szCs w:val="24"/>
    </w:rPr>
  </w:style>
  <w:style w:type="paragraph" w:customStyle="1" w:styleId="tkTablica">
    <w:name w:val="_Текст таблицы (tkTablica)"/>
    <w:basedOn w:val="Normal"/>
    <w:rsid w:val="00C0497C"/>
    <w:pPr>
      <w:spacing w:after="60" w:line="276" w:lineRule="auto"/>
    </w:pPr>
    <w:rPr>
      <w:rFonts w:ascii="Arial" w:hAnsi="Arial" w:cs="Arial"/>
      <w:sz w:val="20"/>
    </w:rPr>
  </w:style>
  <w:style w:type="paragraph" w:customStyle="1" w:styleId="tsSystem">
    <w:name w:val="__Служебный (tsSystem)"/>
    <w:basedOn w:val="Normal"/>
    <w:rsid w:val="00C0497C"/>
    <w:pPr>
      <w:shd w:val="clear" w:color="auto" w:fill="D9D9D9"/>
      <w:spacing w:before="120" w:after="120" w:line="276" w:lineRule="auto"/>
    </w:pPr>
    <w:rPr>
      <w:rFonts w:ascii="Arial" w:hAnsi="Arial" w:cs="Arial"/>
      <w:vanish/>
      <w:color w:val="404040"/>
      <w:sz w:val="20"/>
    </w:rPr>
  </w:style>
  <w:style w:type="paragraph" w:customStyle="1" w:styleId="tkZagolovok2">
    <w:name w:val="_Заголовок Раздел (tkZagolovok2)"/>
    <w:basedOn w:val="Normal"/>
    <w:rsid w:val="00B37796"/>
    <w:pPr>
      <w:spacing w:before="200" w:after="200" w:line="276" w:lineRule="auto"/>
      <w:ind w:left="1134" w:right="1134"/>
      <w:jc w:val="center"/>
    </w:pPr>
    <w:rPr>
      <w:rFonts w:ascii="Arial" w:hAnsi="Arial" w:cs="Arial"/>
      <w:b/>
      <w:bCs/>
      <w:szCs w:val="24"/>
    </w:rPr>
  </w:style>
  <w:style w:type="paragraph" w:customStyle="1" w:styleId="tkZagolovok5">
    <w:name w:val="_Заголовок Статья (tkZagolovok5)"/>
    <w:basedOn w:val="Normal"/>
    <w:rsid w:val="00DC42A8"/>
    <w:pPr>
      <w:spacing w:before="200" w:after="60" w:line="276" w:lineRule="auto"/>
      <w:ind w:firstLine="567"/>
    </w:pPr>
    <w:rPr>
      <w:rFonts w:ascii="Arial" w:hAnsi="Arial" w:cs="Arial"/>
      <w:b/>
      <w:bCs/>
      <w:sz w:val="20"/>
    </w:rPr>
  </w:style>
  <w:style w:type="paragraph" w:customStyle="1" w:styleId="tkKomentarij">
    <w:name w:val="_Комментарий (tkKomentarij)"/>
    <w:basedOn w:val="Normal"/>
    <w:rsid w:val="00DC42A8"/>
    <w:pPr>
      <w:spacing w:after="60" w:line="276" w:lineRule="auto"/>
      <w:ind w:firstLine="567"/>
      <w:jc w:val="both"/>
    </w:pPr>
    <w:rPr>
      <w:rFonts w:ascii="Arial" w:hAnsi="Arial" w:cs="Arial"/>
      <w:i/>
      <w:iCs/>
      <w:color w:val="006600"/>
      <w:sz w:val="20"/>
    </w:rPr>
  </w:style>
  <w:style w:type="paragraph" w:styleId="Footer">
    <w:name w:val="footer"/>
    <w:basedOn w:val="Normal"/>
    <w:link w:val="FooterChar"/>
    <w:uiPriority w:val="99"/>
    <w:unhideWhenUsed/>
    <w:rsid w:val="00D25AB6"/>
    <w:pPr>
      <w:tabs>
        <w:tab w:val="center" w:pos="4680"/>
        <w:tab w:val="right" w:pos="9360"/>
      </w:tabs>
    </w:pPr>
  </w:style>
  <w:style w:type="character" w:customStyle="1" w:styleId="FooterChar">
    <w:name w:val="Footer Char"/>
    <w:basedOn w:val="DefaultParagraphFont"/>
    <w:link w:val="Footer"/>
    <w:uiPriority w:val="99"/>
    <w:rsid w:val="00D25AB6"/>
    <w:rPr>
      <w:rFonts w:ascii="Times New Roman" w:eastAsia="Times New Roman" w:hAnsi="Times New Roman" w:cs="Times New Roman"/>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6342">
      <w:bodyDiv w:val="1"/>
      <w:marLeft w:val="0"/>
      <w:marRight w:val="0"/>
      <w:marTop w:val="0"/>
      <w:marBottom w:val="0"/>
      <w:divBdr>
        <w:top w:val="none" w:sz="0" w:space="0" w:color="auto"/>
        <w:left w:val="none" w:sz="0" w:space="0" w:color="auto"/>
        <w:bottom w:val="none" w:sz="0" w:space="0" w:color="auto"/>
        <w:right w:val="none" w:sz="0" w:space="0" w:color="auto"/>
      </w:divBdr>
    </w:div>
    <w:div w:id="212086357">
      <w:bodyDiv w:val="1"/>
      <w:marLeft w:val="0"/>
      <w:marRight w:val="0"/>
      <w:marTop w:val="0"/>
      <w:marBottom w:val="0"/>
      <w:divBdr>
        <w:top w:val="none" w:sz="0" w:space="0" w:color="auto"/>
        <w:left w:val="none" w:sz="0" w:space="0" w:color="auto"/>
        <w:bottom w:val="none" w:sz="0" w:space="0" w:color="auto"/>
        <w:right w:val="none" w:sz="0" w:space="0" w:color="auto"/>
      </w:divBdr>
    </w:div>
    <w:div w:id="495154316">
      <w:bodyDiv w:val="1"/>
      <w:marLeft w:val="0"/>
      <w:marRight w:val="0"/>
      <w:marTop w:val="0"/>
      <w:marBottom w:val="0"/>
      <w:divBdr>
        <w:top w:val="none" w:sz="0" w:space="0" w:color="auto"/>
        <w:left w:val="none" w:sz="0" w:space="0" w:color="auto"/>
        <w:bottom w:val="none" w:sz="0" w:space="0" w:color="auto"/>
        <w:right w:val="none" w:sz="0" w:space="0" w:color="auto"/>
      </w:divBdr>
    </w:div>
    <w:div w:id="553321734">
      <w:bodyDiv w:val="1"/>
      <w:marLeft w:val="0"/>
      <w:marRight w:val="0"/>
      <w:marTop w:val="0"/>
      <w:marBottom w:val="0"/>
      <w:divBdr>
        <w:top w:val="none" w:sz="0" w:space="0" w:color="auto"/>
        <w:left w:val="none" w:sz="0" w:space="0" w:color="auto"/>
        <w:bottom w:val="none" w:sz="0" w:space="0" w:color="auto"/>
        <w:right w:val="none" w:sz="0" w:space="0" w:color="auto"/>
      </w:divBdr>
    </w:div>
    <w:div w:id="1215698127">
      <w:bodyDiv w:val="1"/>
      <w:marLeft w:val="0"/>
      <w:marRight w:val="0"/>
      <w:marTop w:val="0"/>
      <w:marBottom w:val="0"/>
      <w:divBdr>
        <w:top w:val="none" w:sz="0" w:space="0" w:color="auto"/>
        <w:left w:val="none" w:sz="0" w:space="0" w:color="auto"/>
        <w:bottom w:val="none" w:sz="0" w:space="0" w:color="auto"/>
        <w:right w:val="none" w:sz="0" w:space="0" w:color="auto"/>
      </w:divBdr>
    </w:div>
    <w:div w:id="1412045320">
      <w:bodyDiv w:val="1"/>
      <w:marLeft w:val="0"/>
      <w:marRight w:val="0"/>
      <w:marTop w:val="0"/>
      <w:marBottom w:val="0"/>
      <w:divBdr>
        <w:top w:val="none" w:sz="0" w:space="0" w:color="auto"/>
        <w:left w:val="none" w:sz="0" w:space="0" w:color="auto"/>
        <w:bottom w:val="none" w:sz="0" w:space="0" w:color="auto"/>
        <w:right w:val="none" w:sz="0" w:space="0" w:color="auto"/>
      </w:divBdr>
    </w:div>
    <w:div w:id="1509785152">
      <w:bodyDiv w:val="1"/>
      <w:marLeft w:val="0"/>
      <w:marRight w:val="0"/>
      <w:marTop w:val="0"/>
      <w:marBottom w:val="0"/>
      <w:divBdr>
        <w:top w:val="none" w:sz="0" w:space="0" w:color="auto"/>
        <w:left w:val="none" w:sz="0" w:space="0" w:color="auto"/>
        <w:bottom w:val="none" w:sz="0" w:space="0" w:color="auto"/>
        <w:right w:val="none" w:sz="0" w:space="0" w:color="auto"/>
      </w:divBdr>
    </w:div>
    <w:div w:id="1658336543">
      <w:bodyDiv w:val="1"/>
      <w:marLeft w:val="0"/>
      <w:marRight w:val="0"/>
      <w:marTop w:val="0"/>
      <w:marBottom w:val="0"/>
      <w:divBdr>
        <w:top w:val="none" w:sz="0" w:space="0" w:color="auto"/>
        <w:left w:val="none" w:sz="0" w:space="0" w:color="auto"/>
        <w:bottom w:val="none" w:sz="0" w:space="0" w:color="auto"/>
        <w:right w:val="none" w:sz="0" w:space="0" w:color="auto"/>
      </w:divBdr>
    </w:div>
    <w:div w:id="1745225126">
      <w:bodyDiv w:val="1"/>
      <w:marLeft w:val="0"/>
      <w:marRight w:val="0"/>
      <w:marTop w:val="0"/>
      <w:marBottom w:val="0"/>
      <w:divBdr>
        <w:top w:val="none" w:sz="0" w:space="0" w:color="auto"/>
        <w:left w:val="none" w:sz="0" w:space="0" w:color="auto"/>
        <w:bottom w:val="none" w:sz="0" w:space="0" w:color="auto"/>
        <w:right w:val="none" w:sz="0" w:space="0" w:color="auto"/>
      </w:divBdr>
    </w:div>
    <w:div w:id="2042437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toktom://db/188823"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toktom://db/182918"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toktom://db/161316"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toktom://db/177057"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file:///C:\Users\tbaktybekov\AppData\Local\Temp\Toktom\6639cb95-48c0-4978-9a40-063cc2eae60a\document.htm" TargetMode="External"/><Relationship Id="rId14" Type="http://schemas.openxmlformats.org/officeDocument/2006/relationships/hyperlink" Target="toktom://db/19057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8070B344357E4CBD9642D4AE3FE5BC" ma:contentTypeVersion="24" ma:contentTypeDescription="Create a new document." ma:contentTypeScope="" ma:versionID="e6f3611e2725d6a0503d046a1c238973">
  <xsd:schema xmlns:xsd="http://www.w3.org/2001/XMLSchema" xmlns:xs="http://www.w3.org/2001/XMLSchema" xmlns:p="http://schemas.microsoft.com/office/2006/metadata/properties" xmlns:ns1="http://schemas.microsoft.com/sharepoint/v3" xmlns:ns2="8479ddc6-087f-4128-852a-24fa7c3021d7" xmlns:ns3="28fe0e4c-c684-4aa5-9dee-eefe88c700b1" xmlns:ns4="3e02667f-0271-471b-bd6e-11a2e16def1d" targetNamespace="http://schemas.microsoft.com/office/2006/metadata/properties" ma:root="true" ma:fieldsID="35a1d14731a7cf27f69d7d4d9aa83da0" ns1:_="" ns2:_="" ns3:_="" ns4:_="">
    <xsd:import namespace="http://schemas.microsoft.com/sharepoint/v3"/>
    <xsd:import namespace="8479ddc6-087f-4128-852a-24fa7c3021d7"/>
    <xsd:import namespace="28fe0e4c-c684-4aa5-9dee-eefe88c700b1"/>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William" minOccurs="0"/>
                <xsd:element ref="ns2:MediaServiceEventHashCode" minOccurs="0"/>
                <xsd:element ref="ns2:MediaServiceGenerationTime" minOccurs="0"/>
                <xsd:element ref="ns2:MediaServiceLocation" minOccurs="0"/>
                <xsd:element ref="ns2:MediaServiceAutoKeyPoints" minOccurs="0"/>
                <xsd:element ref="ns2:MediaServiceKeyPoints" minOccurs="0"/>
                <xsd:element ref="ns2:MediaLengthInSeconds" minOccurs="0"/>
                <xsd:element ref="ns4:TaxCatchAll" minOccurs="0"/>
                <xsd:element ref="ns2:lcf76f155ced4ddcb4097134ff3c332f"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79ddc6-087f-4128-852a-24fa7c3021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William" ma:index="15" nillable="true" ma:displayName="William" ma:description="Contributor" ma:list="UserInfo" ma:SharePointGroup="0" ma:internalName="Willia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fe0e4c-c684-4aa5-9dee-eefe88c700b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f0dfb182-49ca-4f7e-bfe3-58e9bc621ce8}" ma:internalName="TaxCatchAll" ma:showField="CatchAllData" ma:web="28fe0e4c-c684-4aa5-9dee-eefe88c70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William xmlns="8479ddc6-087f-4128-852a-24fa7c3021d7">
      <UserInfo>
        <DisplayName/>
        <AccountId xsi:nil="true"/>
        <AccountType/>
      </UserInfo>
    </William>
    <lcf76f155ced4ddcb4097134ff3c332f xmlns="8479ddc6-087f-4128-852a-24fa7c3021d7">
      <Terms xmlns="http://schemas.microsoft.com/office/infopath/2007/PartnerControls"/>
    </lcf76f155ced4ddcb4097134ff3c332f>
    <TaxCatchAll xmlns="3e02667f-0271-471b-bd6e-11a2e16def1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ABE4E4-C9A4-46E6-81DE-F3189D2102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479ddc6-087f-4128-852a-24fa7c3021d7"/>
    <ds:schemaRef ds:uri="28fe0e4c-c684-4aa5-9dee-eefe88c700b1"/>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93EAAA-D4A4-4038-8A87-7D0EB87CD2A5}">
  <ds:schemaRefs>
    <ds:schemaRef ds:uri="http://schemas.microsoft.com/office/2006/metadata/properties"/>
    <ds:schemaRef ds:uri="http://schemas.microsoft.com/office/infopath/2007/PartnerControls"/>
    <ds:schemaRef ds:uri="http://schemas.microsoft.com/sharepoint/v3"/>
    <ds:schemaRef ds:uri="8479ddc6-087f-4128-852a-24fa7c3021d7"/>
    <ds:schemaRef ds:uri="3e02667f-0271-471b-bd6e-11a2e16def1d"/>
  </ds:schemaRefs>
</ds:datastoreItem>
</file>

<file path=customXml/itemProps3.xml><?xml version="1.0" encoding="utf-8"?>
<ds:datastoreItem xmlns:ds="http://schemas.openxmlformats.org/officeDocument/2006/customXml" ds:itemID="{D912A08E-2E54-432B-BCFA-2D81C34B91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Pages>
  <Words>2374</Words>
  <Characters>13538</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Бактыбеков Темирлан Бактыбекович</dc:creator>
  <cp:keywords/>
  <dc:description/>
  <cp:lastModifiedBy>Oumaima Makhlouk</cp:lastModifiedBy>
  <cp:revision>3</cp:revision>
  <dcterms:created xsi:type="dcterms:W3CDTF">2025-09-17T13:00:00Z</dcterms:created>
  <dcterms:modified xsi:type="dcterms:W3CDTF">2025-09-17T14:02:00Z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0x0101003E8070B344357E4CBD9642D4AE3FE5BC</vt:lpwstr>
  </property>
  <property fmtid="{D5CDD505-2E9C-101B-9397-08002B2CF9AE}" pid="3" name="ClassificationContentMarkingFooterShapeIds">
    <vt:lpwstr>613e07c3,5319a7aa,18461009</vt:lpwstr>
  </property>
  <property fmtid="{D5CDD505-2E9C-101B-9397-08002B2CF9AE}" pid="4" name="ClassificationContentMarkingFooterFontProps">
    <vt:lpwstr>#000000,10,Calibri</vt:lpwstr>
  </property>
  <property fmtid="{D5CDD505-2E9C-101B-9397-08002B2CF9AE}" pid="5" name="ClassificationContentMarkingFooterText">
    <vt:lpwstr>Official Use Only</vt:lpwstr>
  </property>
  <property fmtid="{D5CDD505-2E9C-101B-9397-08002B2CF9AE}" pid="6" name="MSIP_Label_f1bf45b6-5649-4236-82a3-f45024cd282e_Enabled">
    <vt:lpwstr>true</vt:lpwstr>
  </property>
  <property fmtid="{D5CDD505-2E9C-101B-9397-08002B2CF9AE}" pid="7" name="MSIP_Label_f1bf45b6-5649-4236-82a3-f45024cd282e_SetDate">
    <vt:lpwstr>2025-09-15T19:21:23Z</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iteId">
    <vt:lpwstr>31a2fec0-266b-4c67-b56e-2796d8f59c36</vt:lpwstr>
  </property>
  <property fmtid="{D5CDD505-2E9C-101B-9397-08002B2CF9AE}" pid="11" name="MSIP_Label_f1bf45b6-5649-4236-82a3-f45024cd282e_ActionId">
    <vt:lpwstr>3d6e6951-3661-4ac3-a193-36b1f43295f4</vt:lpwstr>
  </property>
  <property fmtid="{D5CDD505-2E9C-101B-9397-08002B2CF9AE}" pid="12" name="MSIP_Label_f1bf45b6-5649-4236-82a3-f45024cd282e_ContentBits">
    <vt:lpwstr>2</vt:lpwstr>
  </property>
  <property fmtid="{D5CDD505-2E9C-101B-9397-08002B2CF9AE}" pid="13" name="MSIP_Label_f1bf45b6-5649-4236-82a3-f45024cd282e_Tag">
    <vt:lpwstr>10, 3, 0, 1</vt:lpwstr>
  </property>
  <property fmtid="{D5CDD505-2E9C-101B-9397-08002B2CF9AE}" pid="14" name="MediaServiceImageTags">
    <vt:lpwstr/>
  </property>
</Properties>
</file>