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80"/>
      </w:pPr>
    </w:p>
    <w:p>
      <w:pPr>
        <w:spacing w:after="280"/>
        <w:jc w:val="center"/>
      </w:pPr>
      <w:r>
        <w:rPr>
          <w:rFonts w:ascii="Calibri" w:hAnsi="Calibri"/>
          <w:b/>
          <w:i w:val="0"/>
          <w:color w:val="2E74B5"/>
          <w:sz w:val="18"/>
        </w:rPr>
        <w:t>FICTIONAL SAMPLE  /  PRIVATE BETA</w:t>
      </w:r>
    </w:p>
    <w:p>
      <w:pPr>
        <w:spacing w:after="140"/>
        <w:jc w:val="center"/>
      </w:pPr>
      <w:r>
        <w:rPr>
          <w:rFonts w:ascii="Calibri" w:hAnsi="Calibri"/>
          <w:b/>
          <w:i w:val="0"/>
          <w:color w:val="1F497D"/>
          <w:sz w:val="58"/>
        </w:rPr>
        <w:t>Bywater Grounds</w:t>
        <w:br/>
        <w:t>Coffee House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5D6970"/>
          <w:sz w:val="28"/>
        </w:rPr>
        <w:t>Representative lender-ready business plan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F4D78"/>
          <w:sz w:val="22"/>
        </w:rPr>
        <w:t>SBA 7(a) funding request  |  $285,000</w:t>
      </w:r>
    </w:p>
    <w:p>
      <w:pPr>
        <w:spacing w:after="1360"/>
        <w:jc w:val="center"/>
      </w:pPr>
      <w:r>
        <w:rPr>
          <w:rFonts w:ascii="Calibri" w:hAnsi="Calibri"/>
          <w:b w:val="0"/>
          <w:i w:val="0"/>
          <w:color w:val="5D6970"/>
          <w:sz w:val="20"/>
        </w:rPr>
        <w:t>Prepared July 2026</w:t>
      </w:r>
    </w:p>
    <w:p>
      <w:pPr>
        <w:pStyle w:val="SampleNotice"/>
      </w:pPr>
      <w:r>
        <w:t>This made-up business and every figure in this document exist only to demonstrate the expected structure and formatting. No external research or customer data was used.</w:t>
      </w:r>
    </w:p>
    <w:p>
      <w:r>
        <w:br w:type="page"/>
      </w:r>
    </w:p>
    <w:p>
      <w:pPr>
        <w:pStyle w:val="Heading1"/>
      </w:pPr>
      <w:r>
        <w:t>Important sample notice</w:t>
      </w:r>
    </w:p>
    <w:p>
      <w:r>
        <w:rPr>
          <w:rFonts w:ascii="Calibri" w:hAnsi="Calibri"/>
          <w:b w:val="0"/>
          <w:i w:val="0"/>
          <w:color w:val="000000"/>
          <w:sz w:val="22"/>
        </w:rPr>
        <w:t>Bywater Grounds Coffee House is entirely fictional. This representative sample demonstrates document structure and formatting only. All facts, assumptions, and financial figures below were invented for the sample; they are not based on external research and should not be used for a real financing decision.</w:t>
      </w:r>
    </w:p>
    <w:p>
      <w:pPr>
        <w:pStyle w:val="Heading1"/>
      </w:pPr>
      <w:r>
        <w:t>Executive Summary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Bywater Grounds Coffee House is a fictional 2,100-square-foot neighborhood coffee shop planned for New Orleans, Louisiana. The concept combines a specialty beverage program, a focused food menu, and community events in a 50-seat location. The business is shown seeking a </w:t>
      </w:r>
      <w:r>
        <w:rPr>
          <w:rFonts w:ascii="Calibri" w:hAnsi="Calibri"/>
          <w:b/>
          <w:i w:val="0"/>
          <w:color w:val="000000"/>
          <w:sz w:val="22"/>
        </w:rPr>
        <w:t>$285,000 SBA 7(a) loan</w:t>
      </w:r>
      <w:r>
        <w:rPr>
          <w:rFonts w:ascii="Calibri" w:hAnsi="Calibri"/>
          <w:b w:val="0"/>
          <w:i w:val="0"/>
          <w:color w:val="000000"/>
          <w:sz w:val="22"/>
        </w:rPr>
        <w:t xml:space="preserve"> alongside a </w:t>
      </w:r>
      <w:r>
        <w:rPr>
          <w:rFonts w:ascii="Calibri" w:hAnsi="Calibri"/>
          <w:b/>
          <w:i w:val="0"/>
          <w:color w:val="000000"/>
          <w:sz w:val="22"/>
        </w:rPr>
        <w:t>$57,000 owner contribution</w:t>
      </w:r>
      <w:r>
        <w:rPr>
          <w:rFonts w:ascii="Calibri" w:hAnsi="Calibri"/>
          <w:b w:val="0"/>
          <w:i w:val="0"/>
          <w:color w:val="000000"/>
          <w:sz w:val="22"/>
        </w:rPr>
        <w:t xml:space="preserve"> to fund build-out, equipment, opening inventory, and working capital.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The sample operating model targets a six-month build-out and launch period. Revenue is assumed to grow from </w:t>
      </w:r>
      <w:r>
        <w:rPr>
          <w:rFonts w:ascii="Calibri" w:hAnsi="Calibri"/>
          <w:b/>
          <w:i w:val="0"/>
          <w:color w:val="000000"/>
          <w:sz w:val="22"/>
        </w:rPr>
        <w:t>$22,000 in month one</w:t>
      </w:r>
      <w:r>
        <w:rPr>
          <w:rFonts w:ascii="Calibri" w:hAnsi="Calibri"/>
          <w:b w:val="0"/>
          <w:i w:val="0"/>
          <w:color w:val="000000"/>
          <w:sz w:val="22"/>
        </w:rPr>
        <w:t xml:space="preserve"> to </w:t>
      </w:r>
      <w:r>
        <w:rPr>
          <w:rFonts w:ascii="Calibri" w:hAnsi="Calibri"/>
          <w:b/>
          <w:i w:val="0"/>
          <w:color w:val="000000"/>
          <w:sz w:val="22"/>
        </w:rPr>
        <w:t>$46,000 in month twelve</w:t>
      </w:r>
      <w:r>
        <w:rPr>
          <w:rFonts w:ascii="Calibri" w:hAnsi="Calibri"/>
          <w:b w:val="0"/>
          <w:i w:val="0"/>
          <w:color w:val="000000"/>
          <w:sz w:val="22"/>
        </w:rPr>
        <w:t xml:space="preserve">, supported by increasing daily transactions, an $8.40 blended average ticket, and later additions from catering and wholesale cold brew. The fictional plan estimates monthly operating break-even at approximately </w:t>
      </w:r>
      <w:r>
        <w:rPr>
          <w:rFonts w:ascii="Calibri" w:hAnsi="Calibri"/>
          <w:b/>
          <w:i w:val="0"/>
          <w:color w:val="000000"/>
          <w:sz w:val="22"/>
        </w:rPr>
        <w:t>$31,500 in revenue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primary risks are permitting delay, a slower-than-planned customer ramp, summer seasonality, and owner dependency. The plan addresses those risks with a six-month working-capital reserve, phased hiring, documented operating procedures, and a focus on one location until the model is stable.</w:t>
      </w:r>
    </w:p>
    <w:p>
      <w:pPr>
        <w:pStyle w:val="Heading1"/>
      </w:pPr>
      <w:r>
        <w:t>Company and Funding Request</w:t>
      </w:r>
    </w:p>
    <w:p>
      <w:pPr>
        <w:pStyle w:val="Heading2"/>
      </w:pPr>
      <w:r>
        <w:t>Business overview</w:t>
      </w:r>
    </w:p>
    <w:p>
      <w:r>
        <w:rPr>
          <w:rFonts w:ascii="Calibri" w:hAnsi="Calibri"/>
          <w:b w:val="0"/>
          <w:i w:val="0"/>
          <w:color w:val="000000"/>
          <w:sz w:val="22"/>
        </w:rPr>
        <w:t>Bywater Grounds is presented as a single-member Louisiana LLC operated by an owner with prior specialty-coffee management experience. The business would serve neighborhood residents, remote workers, and visitors through counter service, online pickup, small-event bookings, and local catering.</w:t>
      </w:r>
    </w:p>
    <w:p>
      <w:pPr>
        <w:pStyle w:val="Heading2"/>
      </w:pPr>
      <w:r>
        <w:t>Sources and uses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Source</w:t>
            </w:r>
          </w:p>
        </w:tc>
        <w:tc>
          <w:tcPr>
            <w:tcW w:type="dxa" w:w="286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Owner contribution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$57,000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SBA 7(a) loan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$285,000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Total project funding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$342,000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Planned use</w:t>
            </w:r>
          </w:p>
        </w:tc>
        <w:tc>
          <w:tcPr>
            <w:tcW w:type="dxa" w:w="286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Leasehold improvements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$128,000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Equipment and fixtures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$94,000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Opening inventory and smallwares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$18,000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Pre-opening payroll and marketing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$22,500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Working-capital reserve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$62,000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Contingency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$17,500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Total uses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$342,000</w:t>
            </w:r>
          </w:p>
        </w:tc>
      </w:tr>
    </w:tbl>
    <w:p>
      <w:pPr>
        <w:spacing w:after="40"/>
      </w:pPr>
    </w:p>
    <w:p>
      <w:pPr>
        <w:pStyle w:val="Heading1"/>
      </w:pPr>
      <w:r>
        <w:t>Customer and Offer</w:t>
      </w:r>
    </w:p>
    <w:p>
      <w:pPr>
        <w:pStyle w:val="Heading2"/>
      </w:pPr>
      <w:r>
        <w:t>Intended customer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primary fictional customer is a nearby resident or remote worker who wants a reliable neighborhood coffee shop with seating and consistent morning service. Secondary customers include visitors staying nearby, small offices ordering catering, and community groups booking events.</w:t>
      </w:r>
    </w:p>
    <w:p>
      <w:pPr>
        <w:pStyle w:val="Heading2"/>
      </w:pPr>
      <w:r>
        <w:t>Offer and revenue mix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core offer includes espresso drinks, brewed coffee, pastries, a small lunch menu, retail coffee, and ticketed classes. Catering and wholesale cold brew are phased in after the retail operation is stable.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Revenue line</w:t>
            </w:r>
          </w:p>
        </w:tc>
        <w:tc>
          <w:tcPr>
            <w:tcW w:type="dxa" w:w="286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Illustrative mature mix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Beverages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58%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Food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22%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Retail beans and merchandise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9%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Catering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6%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Wholesale cold brew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3%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Events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2%</w:t>
            </w:r>
          </w:p>
        </w:tc>
      </w:tr>
    </w:tbl>
    <w:p>
      <w:pPr>
        <w:spacing w:after="40"/>
      </w:pPr>
    </w:p>
    <w:p>
      <w:pPr>
        <w:pStyle w:val="Heading1"/>
      </w:pPr>
      <w:r>
        <w:t>Operations and Milestones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fictional location operates daily from 6:30 a.m. to 6:00 p.m. with an owner-operator, five part-time baristas, and outsourced bookkeeping. A shift lead is added after the initial ramp; an assistant manager is deferred until the second year.</w:t>
      </w:r>
    </w:p>
    <w:p>
      <w:pPr>
        <w:pStyle w:val="Heading2"/>
      </w:pPr>
      <w:r>
        <w:t>First-year milestones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Milestone</w:t>
            </w:r>
          </w:p>
        </w:tc>
        <w:tc>
          <w:tcPr>
            <w:tcW w:type="dxa" w:w="286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Target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Complete build-out and permits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Within six months of funding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Reach monthly operating break-even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Month seven after opening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Reach 320 daily transactions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Month twelve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Reach $46,000 monthly revenue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Month twelve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Establish wholesale accounts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Two by month twelve</w:t>
            </w:r>
          </w:p>
        </w:tc>
      </w:tr>
    </w:tbl>
    <w:p>
      <w:pPr>
        <w:spacing w:after="40"/>
      </w:pPr>
    </w:p>
    <w:p>
      <w:pPr>
        <w:pStyle w:val="Heading1"/>
      </w:pPr>
      <w:r>
        <w:t>Financial Plan</w:t>
      </w:r>
    </w:p>
    <w:p>
      <w:pPr>
        <w:pStyle w:val="Heading2"/>
      </w:pPr>
      <w:r>
        <w:t>Revenue ramp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Month</w:t>
            </w:r>
          </w:p>
        </w:tc>
        <w:tc>
          <w:tcPr>
            <w:tcW w:type="dxa" w:w="286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Revenue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$22,000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$31,000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$37,500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$42,500</w:t>
            </w:r>
          </w:p>
        </w:tc>
      </w:tr>
      <w:tr>
        <w:trPr/>
        <w:tc>
          <w:tcPr>
            <w:tcW w:type="dxa" w:w="6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$46,000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i w:val="0"/>
          <w:color w:val="000000"/>
          <w:sz w:val="22"/>
        </w:rPr>
        <w:t>The sample assumes that transaction volume grows as local awareness and repeat visits increase. It also assumes a stable blended average ticket and does not treat catering or wholesale as material revenue until later in the first year.</w:t>
      </w:r>
    </w:p>
    <w:p>
      <w:pPr>
        <w:pStyle w:val="Heading2"/>
      </w:pPr>
      <w:r>
        <w:t>Cost assumptions</w:t>
      </w:r>
    </w:p>
    <w:p>
      <w:r>
        <w:rPr>
          <w:rFonts w:ascii="Calibri" w:hAnsi="Calibri"/>
          <w:b w:val="0"/>
          <w:i w:val="0"/>
          <w:color w:val="000000"/>
          <w:sz w:val="22"/>
        </w:rPr>
        <w:t>Direct product costs are modeled at 30%–33% of revenue. Labor is targeted at 28%–32% of revenue once staffing reaches the planned level. Illustrative fixed monthly obligations include $4,800 in rent, $1,450 in utilities and related occupancy costs, and approximately $3,300 in debt service.</w:t>
      </w:r>
    </w:p>
    <w:p>
      <w:pPr>
        <w:pStyle w:val="Heading2"/>
      </w:pPr>
      <w:r>
        <w:t>Break-even narrative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fictional model estimates operating break-even near $31,500 in monthly revenue. This estimate depends on the assumed contribution margin, staffing schedule, and fixed-cost figures. A real applicant should replace every figure with documented quotes, current lender terms, and projections reviewed by a qualified financial professional.</w:t>
      </w:r>
    </w:p>
    <w:p>
      <w:pPr>
        <w:pStyle w:val="Heading1"/>
      </w:pPr>
      <w:r>
        <w:t>Risk Review</w:t>
      </w:r>
    </w:p>
    <w:p>
      <w:pPr>
        <w:pStyle w:val="Heading2"/>
      </w:pPr>
      <w:r>
        <w:t>Automated credibility notes</w:t>
      </w:r>
    </w:p>
    <w:p>
      <w:r>
        <w:rPr>
          <w:rFonts w:ascii="Calibri" w:hAnsi="Calibri"/>
          <w:b/>
          <w:i w:val="0"/>
          <w:color w:val="000000"/>
          <w:sz w:val="22"/>
        </w:rPr>
        <w:t>Connected assumptions:</w:t>
      </w:r>
      <w:r>
        <w:rPr>
          <w:rFonts w:ascii="Calibri" w:hAnsi="Calibri"/>
          <w:b w:val="0"/>
          <w:i w:val="0"/>
          <w:color w:val="000000"/>
          <w:sz w:val="22"/>
        </w:rPr>
        <w:t xml:space="preserve"> The funding request equals the listed project uses, and the owner contribution plus proposed loan equals total project funding.</w:t>
      </w:r>
    </w:p>
    <w:p>
      <w:r>
        <w:rPr>
          <w:rFonts w:ascii="Calibri" w:hAnsi="Calibri"/>
          <w:b/>
          <w:i w:val="0"/>
          <w:color w:val="000000"/>
          <w:sz w:val="22"/>
        </w:rPr>
        <w:t>Items requiring evidence:</w:t>
      </w:r>
      <w:r>
        <w:rPr>
          <w:rFonts w:ascii="Calibri" w:hAnsi="Calibri"/>
          <w:b w:val="0"/>
          <w:i w:val="0"/>
          <w:color w:val="000000"/>
          <w:sz w:val="22"/>
        </w:rPr>
        <w:t xml:space="preserve"> Lease terms, contractor bids, equipment quotes, lending rate, customer traffic assumptions, and owner experience would need supporting documentation in a real application.</w:t>
      </w:r>
    </w:p>
    <w:p>
      <w:r>
        <w:rPr>
          <w:rFonts w:ascii="Calibri" w:hAnsi="Calibri"/>
          <w:b/>
          <w:i w:val="0"/>
          <w:color w:val="000000"/>
          <w:sz w:val="22"/>
        </w:rPr>
        <w:t>Sensitivity to test:</w:t>
      </w:r>
      <w:r>
        <w:rPr>
          <w:rFonts w:ascii="Calibri" w:hAnsi="Calibri"/>
          <w:b w:val="0"/>
          <w:i w:val="0"/>
          <w:color w:val="000000"/>
          <w:sz w:val="22"/>
        </w:rPr>
        <w:t xml:space="preserve"> A slower customer ramp or higher build-out cost could consume the working-capital reserve earlier than planned. The owner should model downside cases before submitting a financing package.</w:t>
      </w:r>
    </w:p>
    <w:p>
      <w:pPr>
        <w:pStyle w:val="Heading1"/>
      </w:pPr>
      <w:r>
        <w:t>Final Review Responsibility</w:t>
      </w:r>
    </w:p>
    <w:p>
      <w:r>
        <w:rPr>
          <w:rFonts w:ascii="Calibri" w:hAnsi="Calibri"/>
          <w:b w:val="0"/>
          <w:i w:val="0"/>
          <w:color w:val="000000"/>
          <w:sz w:val="22"/>
        </w:rPr>
        <w:t>This sample was created with an AI-assisted drafting workflow and was not reviewed by a human accountant, attorney, lender, or industry specialist. It provides no legal, tax, accounting, investment, or lending advice and does not guarantee financing. A real business owner is responsible for checking all content before sharing a plan.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970"/>
        <w:sz w:val="16"/>
      </w:rPr>
      <w:t xml:space="preserve">Business Plan Writer  |  </w:t>
    </w:r>
    <w:r>
      <w:rPr>
        <w:rFonts w:ascii="Calibri" w:hAnsi="Calibri"/>
        <w:b w:val="0"/>
        <w:i w:val="0"/>
        <w:color w:val="5D697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D6970"/>
        <w:sz w:val="16"/>
      </w:rPr>
      <w:t>BYWATER GROUNDS  |  FICTIONAL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ampleNotice">
    <w:name w:val="Sample Notice"/>
    <w:basedOn w:val="Normal"/>
    <w:pPr>
      <w:spacing w:before="240" w:after="160" w:line="300" w:lineRule="auto"/>
      <w:jc w:val="center"/>
    </w:pPr>
    <w:rPr>
      <w:rFonts w:ascii="Calibri" w:hAnsi="Calibri"/>
      <w:color w:val="5D697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