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Arial" w:hAnsi="Arial"/>
          <w:b/>
          <w:color w:val="3F6B4F"/>
          <w:sz w:val="19"/>
        </w:rPr>
        <w:t>ARCHITECTURE DECISION MEMO</w:t>
      </w:r>
    </w:p>
    <w:p>
      <w:pPr>
        <w:spacing w:before="0" w:after="100"/>
      </w:pPr>
      <w:r>
        <w:rPr>
          <w:rFonts w:ascii="Arial" w:hAnsi="Arial"/>
          <w:b/>
          <w:color w:val="0B2545"/>
          <w:sz w:val="48"/>
        </w:rPr>
        <w:t>FarmFinder Automated Data Pipeline</w:t>
      </w:r>
    </w:p>
    <w:p>
      <w:pPr>
        <w:spacing w:before="0" w:after="280"/>
      </w:pPr>
      <w:r>
        <w:rPr>
          <w:rFonts w:ascii="Arial" w:hAnsi="Arial"/>
          <w:color w:val="555555"/>
          <w:sz w:val="26"/>
        </w:rPr>
        <w:t>Efficient national intake, governed QA, verification, and atomic promotion</w:t>
      </w:r>
    </w:p>
    <w:p>
      <w:pPr>
        <w:spacing w:before="0" w:after="40"/>
      </w:pPr>
      <w:r>
        <w:rPr>
          <w:rFonts w:ascii="Arial" w:hAnsi="Arial"/>
          <w:b/>
          <w:color w:val="0B2545"/>
          <w:sz w:val="21"/>
        </w:rPr>
        <w:t xml:space="preserve">Status: </w:t>
      </w:r>
      <w:r>
        <w:rPr>
          <w:rFonts w:ascii="Arial" w:hAnsi="Arial"/>
          <w:sz w:val="21"/>
        </w:rPr>
        <w:t>Proposed — ready for owner approval</w:t>
      </w:r>
    </w:p>
    <w:p>
      <w:pPr>
        <w:spacing w:before="0" w:after="40"/>
      </w:pPr>
      <w:r>
        <w:rPr>
          <w:rFonts w:ascii="Arial" w:hAnsi="Arial"/>
          <w:b/>
          <w:color w:val="0B2545"/>
          <w:sz w:val="21"/>
        </w:rPr>
        <w:t xml:space="preserve">Date: </w:t>
      </w:r>
      <w:r>
        <w:rPr>
          <w:rFonts w:ascii="Arial" w:hAnsi="Arial"/>
          <w:sz w:val="21"/>
        </w:rPr>
        <w:t>July 17, 2026</w:t>
      </w:r>
    </w:p>
    <w:p>
      <w:pPr>
        <w:spacing w:before="0" w:after="40"/>
      </w:pPr>
      <w:r>
        <w:rPr>
          <w:rFonts w:ascii="Arial" w:hAnsi="Arial"/>
          <w:b/>
          <w:color w:val="0B2545"/>
          <w:sz w:val="21"/>
        </w:rPr>
        <w:t xml:space="preserve">Decider: </w:t>
      </w:r>
      <w:r>
        <w:rPr>
          <w:rFonts w:ascii="Arial" w:hAnsi="Arial"/>
          <w:sz w:val="21"/>
        </w:rPr>
        <w:t>FarmFinder owner</w:t>
      </w:r>
    </w:p>
    <w:p>
      <w:pPr>
        <w:spacing w:before="0" w:after="40"/>
      </w:pPr>
      <w:r>
        <w:rPr>
          <w:rFonts w:ascii="Arial" w:hAnsi="Arial"/>
          <w:b/>
          <w:color w:val="0B2545"/>
          <w:sz w:val="21"/>
        </w:rPr>
        <w:t xml:space="preserve">Scope: </w:t>
      </w:r>
      <w:r>
        <w:rPr>
          <w:rFonts w:ascii="Arial" w:hAnsi="Arial"/>
          <w:sz w:val="21"/>
        </w:rPr>
        <w:t>Fully automated state expansion and recurring canonical rebuild pipeline</w:t>
      </w:r>
    </w:p>
    <w:p>
      <w:pPr>
        <w:spacing w:after="0"/>
      </w:pP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EAF2ED" w:val="clear"/>
            <w:tcBorders>
              <w:top w:val="single" w:sz="6" w:color="CBD3DC"/>
              <w:left w:val="single" w:sz="6" w:color="CBD3DC"/>
              <w:bottom w:val="single" w:sz="6" w:color="CBD3DC"/>
              <w:right w:val="single" w:sz="6" w:color="CBD3DC"/>
              <w:insideH w:val="single" w:sz="6" w:color="CBD3DC"/>
              <w:insideV w:val="single" w:sz="6" w:color="CBD3DC"/>
            </w:tcBorders>
            <w:tcMar>
              <w:top w:w="80" w:type="dxa"/>
              <w:bottom w:w="80" w:type="dxa"/>
              <w:start w:w="120" w:type="dxa"/>
              <w:end w:w="120" w:type="dxa"/>
            </w:tcMar>
          </w:tcPr>
          <w:p>
            <w:pPr>
              <w:spacing w:before="40" w:after="40" w:line="264" w:lineRule="auto"/>
            </w:pPr>
            <w:r>
              <w:rPr>
                <w:rFonts w:ascii="Arial" w:hAnsi="Arial"/>
                <w:b/>
                <w:color w:val="3F6B4F"/>
                <w:sz w:val="22"/>
              </w:rPr>
              <w:t xml:space="preserve">Recommended decision: </w:t>
            </w:r>
            <w:r>
              <w:rPr>
                <w:rFonts w:ascii="Arial" w:hAnsi="Arial"/>
                <w:sz w:val="22"/>
              </w:rPr>
              <w:t>Use a hybrid rolling pipeline: acquire durable source observations broadly, but admit candidates into governed state processing only at the rate QA and verification can absorb. Keep state releases as the approval and rollback boundary, regionalize source work, and retain two human gates.</w:t>
            </w:r>
          </w:p>
        </w:tc>
      </w:tr>
    </w:tbl>
    <w:p>
      <w:pPr>
        <w:spacing w:after="0"/>
      </w:pPr>
    </w:p>
    <w:p>
      <w:pPr>
        <w:pStyle w:val="Heading1"/>
      </w:pPr>
      <w:r>
        <w:t>Executive summary</w:t>
      </w:r>
    </w:p>
    <w:p>
      <w:r>
        <w:t>FarmFinder should not collect the entire country into one active candidate backlog and sort it later. That approach optimizes raw-record volume rather than trusted releases. The present staged inventory already contains 8,268 QA rows and 7,471 eligible rows; approximately 52.5% of staged entities are waiting in QA. Adding national collection at the same time would increase work-in-process at the bottleneck without increasing verified throughput.</w:t>
      </w:r>
    </w:p>
    <w:p>
      <w:r>
        <w:t>The recommended architecture separates broad acquisition from governed admission. National and regional sources may be registered and snapshotted ahead of processing. Minimal normalization makes every observation durable, attributable, and routable. A capacity gate then admits work state by state into the existing four-file contract. Downstream classification, QA, final verification, approval, atomic promotion, and UI regeneration remain state-scoped.</w:t>
      </w:r>
    </w:p>
    <w:tbl>
      <w:tblPr>
        <w:tblStyle w:val="TableGrid"/>
        <w:tblW w:type="dxa" w:w="9360"/>
        <w:jc w:val="left"/>
        <w:tblLayout w:type="fixed"/>
        <w:tblLook w:firstColumn="1" w:firstRow="1" w:lastColumn="0" w:lastRow="0" w:noHBand="0" w:noVBand="1" w:val="04A0"/>
        <w:tblInd w:type="dxa" w:w="120"/>
      </w:tblPr>
      <w:tblGrid>
        <w:gridCol w:w="2100"/>
        <w:gridCol w:w="2850"/>
        <w:gridCol w:w="4410"/>
      </w:tblGrid>
      <w:tr>
        <w:trPr>
          <w:tblHeader w:val="true"/>
          <w:cantSplit/>
        </w:trPr>
        <w:tc>
          <w:tcPr>
            <w:tcW w:type="dxa" w:w="21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Decision</w:t>
            </w:r>
          </w:p>
        </w:tc>
        <w:tc>
          <w:tcPr>
            <w:tcW w:type="dxa" w:w="28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Recommended position</w:t>
            </w:r>
          </w:p>
        </w:tc>
        <w:tc>
          <w:tcPr>
            <w:tcW w:type="dxa" w:w="44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Why</w:t>
            </w:r>
          </w:p>
        </w:tc>
      </w:tr>
      <w:tr>
        <w:trPr>
          <w:cantSplit/>
        </w:trPr>
        <w:tc>
          <w:tcPr>
            <w:tcW w:type="dxa" w:w="2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Collection strategy</w:t>
            </w:r>
          </w:p>
        </w:tc>
        <w:tc>
          <w:tcPr>
            <w:tcW w:type="dxa" w:w="2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Hybrid rolling waves</w:t>
            </w:r>
          </w:p>
        </w:tc>
        <w:tc>
          <w:tcPr>
            <w:tcW w:type="dxa" w:w="44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Combines broad discovery with bounded downstream work.</w:t>
            </w:r>
          </w:p>
        </w:tc>
      </w:tr>
      <w:tr>
        <w:trPr>
          <w:cantSplit/>
        </w:trPr>
        <w:tc>
          <w:tcPr>
            <w:tcW w:type="dxa" w:w="2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Work ownership</w:t>
            </w:r>
          </w:p>
        </w:tc>
        <w:tc>
          <w:tcPr>
            <w:tcW w:type="dxa" w:w="2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Regional source teams; state release units</w:t>
            </w:r>
          </w:p>
        </w:tc>
        <w:tc>
          <w:tcPr>
            <w:tcW w:type="dxa" w:w="44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Captures regional knowledge without coupling approvals or rollback.</w:t>
            </w:r>
          </w:p>
        </w:tc>
      </w:tr>
      <w:tr>
        <w:trPr>
          <w:cantSplit/>
        </w:trPr>
        <w:tc>
          <w:tcPr>
            <w:tcW w:type="dxa" w:w="2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QA model</w:t>
            </w:r>
          </w:p>
        </w:tc>
        <w:tc>
          <w:tcPr>
            <w:tcW w:type="dxa" w:w="2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One taxonomy, one process, state-local rows</w:t>
            </w:r>
          </w:p>
        </w:tc>
        <w:tc>
          <w:tcPr>
            <w:tcW w:type="dxa" w:w="44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The consolidated view is derived; it is not another queue.</w:t>
            </w:r>
          </w:p>
        </w:tc>
      </w:tr>
      <w:tr>
        <w:trPr>
          <w:cantSplit/>
        </w:trPr>
        <w:tc>
          <w:tcPr>
            <w:tcW w:type="dxa" w:w="2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Human control</w:t>
            </w:r>
          </w:p>
        </w:tc>
        <w:tc>
          <w:tcPr>
            <w:tcW w:type="dxa" w:w="2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Two gates</w:t>
            </w:r>
          </w:p>
        </w:tc>
        <w:tc>
          <w:tcPr>
            <w:tcW w:type="dxa" w:w="44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Merge governed changes; approve immutable release fingerprint.</w:t>
            </w:r>
          </w:p>
        </w:tc>
      </w:tr>
      <w:tr>
        <w:trPr>
          <w:cantSplit/>
        </w:trPr>
        <w:tc>
          <w:tcPr>
            <w:tcW w:type="dxa" w:w="2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Promotion</w:t>
            </w:r>
          </w:p>
        </w:tc>
        <w:tc>
          <w:tcPr>
            <w:tcW w:type="dxa" w:w="2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Automatic after approval and passing CI</w:t>
            </w:r>
          </w:p>
        </w:tc>
        <w:tc>
          <w:tcPr>
            <w:tcW w:type="dxa" w:w="44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Preserves control while removing routine operational work.</w:t>
            </w:r>
          </w:p>
        </w:tc>
      </w:tr>
    </w:tbl>
    <w:p>
      <w:pPr>
        <w:spacing w:after="0"/>
      </w:pPr>
    </w:p>
    <w:p>
      <w:pPr>
        <w:pStyle w:val="Heading1"/>
      </w:pPr>
      <w:r>
        <w:t>1. Context and constraints</w:t>
      </w:r>
    </w:p>
    <w:p>
      <w:r>
        <w:t>FarmFinder is a provenance-first national farm directory. Louisiana and Mississippi remain the pre-cutover canonical coverage area, while ten state releases are staged under contract version 2. The current operational priority is QA reduction, not new-state collection.</w:t>
      </w:r>
    </w:p>
    <w:p>
      <w:pPr>
        <w:spacing w:before="0" w:after="160" w:line="280" w:lineRule="auto"/>
        <w:numPr>
          <w:ilvl w:val="0"/>
          <w:numId w:val="10"/>
        </w:numPr>
      </w:pPr>
      <w:r>
        <w:rPr>
          <w:rFonts w:ascii="Arial" w:hAnsi="Arial"/>
          <w:sz w:val="22"/>
        </w:rPr>
        <w:t>The committed state contract contains exactly state.yaml, entities.csv, decisions.csv, and report.md.</w:t>
      </w:r>
    </w:p>
    <w:p>
      <w:pPr>
        <w:spacing w:before="0" w:after="160" w:line="280" w:lineRule="auto"/>
        <w:numPr>
          <w:ilvl w:val="0"/>
          <w:numId w:val="10"/>
        </w:numPr>
      </w:pPr>
      <w:r>
        <w:rPr>
          <w:rFonts w:ascii="Arial" w:hAnsi="Arial"/>
          <w:sz w:val="22"/>
        </w:rPr>
        <w:t>A named candidate is durable. Missing data creates a QA blocker; it does not justify deletion or exclusion.</w:t>
      </w:r>
    </w:p>
    <w:p>
      <w:pPr>
        <w:spacing w:before="0" w:after="160" w:line="280" w:lineRule="auto"/>
        <w:numPr>
          <w:ilvl w:val="0"/>
          <w:numId w:val="10"/>
        </w:numPr>
      </w:pPr>
      <w:r>
        <w:rPr>
          <w:rFonts w:ascii="Arial" w:hAnsi="Arial"/>
          <w:sz w:val="22"/>
        </w:rPr>
        <w:t>Every correction, corroboration, merge, or exclusion remains append-only and evidence-backed.</w:t>
      </w:r>
    </w:p>
    <w:p>
      <w:pPr>
        <w:spacing w:before="0" w:after="160" w:line="280" w:lineRule="auto"/>
        <w:numPr>
          <w:ilvl w:val="0"/>
          <w:numId w:val="10"/>
        </w:numPr>
      </w:pPr>
      <w:r>
        <w:rPr>
          <w:rFonts w:ascii="Arial" w:hAnsi="Arial"/>
          <w:sz w:val="22"/>
        </w:rPr>
        <w:t>Eligible staging is not record verification, approval, or canonical promotion.</w:t>
      </w:r>
    </w:p>
    <w:p>
      <w:pPr>
        <w:spacing w:before="0" w:after="160" w:line="280" w:lineRule="auto"/>
        <w:numPr>
          <w:ilvl w:val="0"/>
          <w:numId w:val="10"/>
        </w:numPr>
      </w:pPr>
      <w:r>
        <w:rPr>
          <w:rFonts w:ascii="Arial" w:hAnsi="Arial"/>
          <w:sz w:val="22"/>
        </w:rPr>
        <w:t>Private contacts and exact private locations must not enter the public projection.</w:t>
      </w:r>
    </w:p>
    <w:p>
      <w:pPr>
        <w:spacing w:before="0" w:after="160" w:line="280" w:lineRule="auto"/>
        <w:numPr>
          <w:ilvl w:val="0"/>
          <w:numId w:val="10"/>
        </w:numPr>
      </w:pPr>
      <w:r>
        <w:rPr>
          <w:rFonts w:ascii="Arial" w:hAnsi="Arial"/>
          <w:sz w:val="22"/>
        </w:rPr>
        <w:t>New-state collection is gated while the committed QA queue exceeds the intake cap.</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F4F6F9" w:val="clear"/>
            <w:tcBorders>
              <w:top w:val="single" w:sz="6" w:color="CBD3DC"/>
              <w:left w:val="single" w:sz="6" w:color="CBD3DC"/>
              <w:bottom w:val="single" w:sz="6" w:color="CBD3DC"/>
              <w:right w:val="single" w:sz="6" w:color="CBD3DC"/>
              <w:insideH w:val="single" w:sz="6" w:color="CBD3DC"/>
              <w:insideV w:val="single" w:sz="6" w:color="CBD3DC"/>
            </w:tcBorders>
            <w:tcMar>
              <w:top w:w="80" w:type="dxa"/>
              <w:bottom w:w="80" w:type="dxa"/>
              <w:start w:w="120" w:type="dxa"/>
              <w:end w:w="120" w:type="dxa"/>
            </w:tcMar>
          </w:tcPr>
          <w:p>
            <w:pPr>
              <w:spacing w:before="40" w:after="40" w:line="264" w:lineRule="auto"/>
            </w:pPr>
            <w:r>
              <w:rPr>
                <w:rFonts w:ascii="Arial" w:hAnsi="Arial"/>
                <w:b/>
                <w:color w:val="1F4D78"/>
                <w:sz w:val="22"/>
              </w:rPr>
              <w:t xml:space="preserve">Efficiency objective: </w:t>
            </w:r>
            <w:r>
              <w:rPr>
                <w:rFonts w:ascii="Arial" w:hAnsi="Arial"/>
                <w:sz w:val="22"/>
              </w:rPr>
              <w:t>Optimize trusted state coverage promoted per month—not observations scraped per month. Queue depth is inventory, not throughput.</w:t>
            </w:r>
          </w:p>
        </w:tc>
      </w:tr>
    </w:tbl>
    <w:p>
      <w:pPr>
        <w:spacing w:after="0"/>
      </w:pPr>
    </w:p>
    <w:p>
      <w:pPr>
        <w:pStyle w:val="Heading1"/>
      </w:pPr>
      <w:r>
        <w:t>2. Decisions</w:t>
      </w:r>
    </w:p>
    <w:p>
      <w:pPr>
        <w:pStyle w:val="Heading2"/>
      </w:pPr>
      <w:r>
        <w:t>2.1 Use a hybrid rolling acquisition model</w:t>
      </w:r>
    </w:p>
    <w:p>
      <w:r>
        <w:t>FarmFinder may discover sources nationally and acquire finite national or regional datasets in advance. It should not convert every raw observation into an active governed candidate at once. Candidate admission is pulled by downstream capacity.</w:t>
      </w:r>
    </w:p>
    <w:p>
      <w:pPr>
        <w:spacing w:after="120"/>
      </w:pPr>
      <w:r>
        <w:rPr>
          <w:rFonts w:ascii="Arial" w:hAnsi="Arial"/>
          <w:b/>
          <w:color w:val="0B2545"/>
          <w:sz w:val="22"/>
        </w:rPr>
        <w:t xml:space="preserve">Acquire broadly: </w:t>
      </w:r>
      <w:r>
        <w:rPr>
          <w:rFonts w:ascii="Arial" w:hAnsi="Arial"/>
          <w:sz w:val="22"/>
        </w:rPr>
        <w:t>Source registries, official datasets, market directories, and immutable snapshots may span many states.</w:t>
      </w:r>
    </w:p>
    <w:p>
      <w:pPr>
        <w:spacing w:after="120"/>
      </w:pPr>
      <w:r>
        <w:rPr>
          <w:rFonts w:ascii="Arial" w:hAnsi="Arial"/>
          <w:b/>
          <w:color w:val="0B2545"/>
          <w:sz w:val="22"/>
        </w:rPr>
        <w:t xml:space="preserve">Process narrowly: </w:t>
      </w:r>
      <w:r>
        <w:rPr>
          <w:rFonts w:ascii="Arial" w:hAnsi="Arial"/>
          <w:sz w:val="22"/>
        </w:rPr>
        <w:t>Normalization, QA, verification, approval, and promotion advance in bounded state cohorts.</w:t>
      </w:r>
    </w:p>
    <w:p>
      <w:pPr>
        <w:spacing w:after="120"/>
      </w:pPr>
      <w:r>
        <w:rPr>
          <w:rFonts w:ascii="Arial" w:hAnsi="Arial"/>
          <w:b/>
          <w:color w:val="0B2545"/>
          <w:sz w:val="22"/>
        </w:rPr>
        <w:t xml:space="preserve">Refresh before admission: </w:t>
      </w:r>
      <w:r>
        <w:rPr>
          <w:rFonts w:ascii="Arial" w:hAnsi="Arial"/>
          <w:sz w:val="22"/>
        </w:rPr>
        <w:t>If waiting evidence exceeds its grade-specific freshness threshold, recollect it before treating it as current.</w:t>
      </w:r>
    </w:p>
    <w:p>
      <w:pPr>
        <w:pStyle w:val="Heading2"/>
      </w:pPr>
      <w:r>
        <w:t>2.2 Keep state as the release boundary</w:t>
      </w:r>
    </w:p>
    <w:p>
      <w:r>
        <w:t>Regions are useful operating assignments, not governance units. Teams may own source discovery and collector configuration for the Southeast, South, Midwest, Northeast, or West. Each state retains its own lifecycle, county-equivalent denominator, QA count, fingerprint, approval, atomic promotion, and rollback path.</w:t>
      </w:r>
    </w:p>
    <w:p>
      <w:pPr>
        <w:pStyle w:val="Heading2"/>
      </w:pPr>
      <w:r>
        <w:t>2.3 Maintain one QA discipline</w:t>
      </w:r>
    </w:p>
    <w:p>
      <w:r>
        <w:t>There is one QA process: routable blocker → resolution strategy → append-only decision → reclassification. State queues are storage locality. The consolidated triage view aggregates those same rows. The workbook QA sheet for the 299 canonical Louisiana/Mississippi listings is temporary pre-cutover scaffolding and retires when PostgreSQL becomes canonical.</w:t>
      </w:r>
    </w:p>
    <w:p>
      <w:pPr>
        <w:pStyle w:val="Heading2"/>
      </w:pPr>
      <w:r>
        <w:t>2.4 Retain two human gates</w:t>
      </w:r>
    </w:p>
    <w:p>
      <w:pPr>
        <w:spacing w:after="120"/>
      </w:pPr>
      <w:r>
        <w:rPr>
          <w:rFonts w:ascii="Arial" w:hAnsi="Arial"/>
          <w:b/>
          <w:color w:val="0B2545"/>
          <w:sz w:val="22"/>
        </w:rPr>
        <w:t xml:space="preserve">Human gate 1 — governed change merge: </w:t>
      </w:r>
      <w:r>
        <w:rPr>
          <w:rFonts w:ascii="Arial" w:hAnsi="Arial"/>
          <w:sz w:val="22"/>
        </w:rPr>
        <w:t>A person merges any PR that changes state contract data, append-only decisions, source policy, or release inputs. Deterministic batches are reviewed through reconciled counts, provenance, samples, and CI; identity, closure, and status conflicts receive row-level review.</w:t>
      </w:r>
    </w:p>
    <w:p>
      <w:pPr>
        <w:spacing w:after="120"/>
      </w:pPr>
      <w:r>
        <w:rPr>
          <w:rFonts w:ascii="Arial" w:hAnsi="Arial"/>
          <w:b/>
          <w:color w:val="0B2545"/>
          <w:sz w:val="22"/>
        </w:rPr>
        <w:t xml:space="preserve">Human gate 2 — release approval: </w:t>
      </w:r>
      <w:r>
        <w:rPr>
          <w:rFonts w:ascii="Arial" w:hAnsi="Arial"/>
          <w:sz w:val="22"/>
        </w:rPr>
        <w:t>A person approves the immutable release fingerprint. Any entity, decision, evidence checksum, object version, or policy change invalidates that approval.</w:t>
      </w:r>
    </w:p>
    <w:p>
      <w:r>
        <w:t>Proposal generation, source scans, triage, evidence assembly, and other non-mutating jobs do not require a separate human gate. After gate 2 and passing CI, promotion and UI regeneration may run automatically.</w:t>
      </w:r>
    </w:p>
    <w:p>
      <w:pPr>
        <w:pStyle w:val="Heading2"/>
      </w:pPr>
      <w:r>
        <w:t>2.5 Schedule the next action, not merely the next state</w:t>
      </w:r>
    </w:p>
    <w:p>
      <w:r>
        <w:t>A scheduler based only on “first state not promoted” would repeatedly choose states that are already coverage-reviewed but waiting on QA or approval. Rollout order applies only to selecting uncollected expansion work. The scheduler derives the next permissible action from lifecycle, queue pressure, freshness, WIP limits, and approval state.</w:t>
      </w:r>
    </w:p>
    <w:p>
      <w:pPr>
        <w:pStyle w:val="Heading2"/>
      </w:pPr>
      <w:r>
        <w:t>2.6 Rebuild canonical states through the same governed path</w:t>
      </w:r>
    </w:p>
    <w:p>
      <w:r>
        <w:t>The semiannual scanner should initiate recollection for due canonical states through the contract’s canonicalRebuild mechanism. It must never overwrite canonical values directly. User corrections enter as higher-priority assertions, and a complete reviewed release remains the only promotion unit.</w:t>
      </w:r>
    </w:p>
    <w:p>
      <w:r>
        <w:drawing>
          <wp:inline xmlns:a="http://schemas.openxmlformats.org/drawingml/2006/main" xmlns:pic="http://schemas.openxmlformats.org/drawingml/2006/picture">
            <wp:extent cx="5943600" cy="2839720"/>
            <wp:docPr id="1" name="Picture 1" descr="FarmFinder pipeline from scheduling and acquisition through classification, routed QA, verification, human approval, atomic promotion, and UI regeneration." title="Target automated FarmFinder pipeline"/>
            <wp:cNvGraphicFramePr>
              <a:graphicFrameLocks noChangeAspect="1"/>
            </wp:cNvGraphicFramePr>
            <a:graphic>
              <a:graphicData uri="http://schemas.openxmlformats.org/drawingml/2006/picture">
                <pic:pic>
                  <pic:nvPicPr>
                    <pic:cNvPr id="0" name="pipeline-flow.png"/>
                    <pic:cNvPicPr/>
                  </pic:nvPicPr>
                  <pic:blipFill>
                    <a:blip r:embed="rId11"/>
                    <a:stretch>
                      <a:fillRect/>
                    </a:stretch>
                  </pic:blipFill>
                  <pic:spPr>
                    <a:xfrm>
                      <a:off x="0" y="0"/>
                      <a:ext cx="5943600" cy="2839720"/>
                    </a:xfrm>
                    <a:prstGeom prst="rect"/>
                  </pic:spPr>
                </pic:pic>
              </a:graphicData>
            </a:graphic>
          </wp:inline>
        </w:drawing>
      </w:r>
    </w:p>
    <w:p>
      <w:pPr>
        <w:pStyle w:val="Caption"/>
        <w:jc w:val="center"/>
      </w:pPr>
      <w:r>
        <w:t>Figure 1. Recommended end-to-end pipeline and human control points.</w:t>
      </w:r>
    </w:p>
    <w:p>
      <w:pPr>
        <w:pStyle w:val="Heading1"/>
      </w:pPr>
      <w:r>
        <w:t>3. Revised intake architecture</w:t>
      </w:r>
    </w:p>
    <w:p>
      <w:r>
        <w:t>The principal change is at the front door. “Intake” is split into acquisition and admission so FarmFinder can preserve broad observations without flooding the governed QA queue.</w:t>
      </w:r>
    </w:p>
    <w:p>
      <w:pPr>
        <w:spacing w:before="0" w:after="160" w:line="280" w:lineRule="auto"/>
        <w:numPr>
          <w:ilvl w:val="0"/>
          <w:numId w:val="11"/>
        </w:numPr>
      </w:pPr>
      <w:r>
        <w:rPr>
          <w:rFonts w:ascii="Arial" w:hAnsi="Arial"/>
          <w:b/>
          <w:sz w:val="22"/>
        </w:rPr>
        <w:t>Register the source.</w:t>
      </w:r>
      <w:r>
        <w:rPr>
          <w:rFonts w:ascii="Arial" w:hAnsi="Arial"/>
          <w:sz w:val="22"/>
        </w:rPr>
        <w:t xml:space="preserve"> Record source identity, ownership, geographic scope, evidence grade, tier, retrieval method, expected cadence, and applicable states.</w:t>
      </w:r>
    </w:p>
    <w:p>
      <w:pPr>
        <w:spacing w:before="0" w:after="160" w:line="280" w:lineRule="auto"/>
        <w:numPr>
          <w:ilvl w:val="0"/>
          <w:numId w:val="11"/>
        </w:numPr>
      </w:pPr>
      <w:r>
        <w:rPr>
          <w:rFonts w:ascii="Arial" w:hAnsi="Arial"/>
          <w:b/>
          <w:sz w:val="22"/>
        </w:rPr>
        <w:t>Acquire an immutable snapshot.</w:t>
      </w:r>
      <w:r>
        <w:rPr>
          <w:rFonts w:ascii="Arial" w:hAnsi="Arial"/>
          <w:sz w:val="22"/>
        </w:rPr>
        <w:t xml:space="preserve"> Store raw content, retrieval time, source ID, checksum, object version, request outcomes, and collector version.</w:t>
      </w:r>
    </w:p>
    <w:p>
      <w:pPr>
        <w:spacing w:before="0" w:after="160" w:line="280" w:lineRule="auto"/>
        <w:numPr>
          <w:ilvl w:val="0"/>
          <w:numId w:val="11"/>
        </w:numPr>
      </w:pPr>
      <w:r>
        <w:rPr>
          <w:rFonts w:ascii="Arial" w:hAnsi="Arial"/>
          <w:b/>
          <w:sz w:val="22"/>
        </w:rPr>
        <w:t>Apply minimum normalization.</w:t>
      </w:r>
      <w:r>
        <w:rPr>
          <w:rFonts w:ascii="Arial" w:hAnsi="Arial"/>
          <w:sz w:val="22"/>
        </w:rPr>
        <w:t xml:space="preserve"> Extract candidate name, infer jurisdiction, classify source tier, identify malformed or ambiguous observations, and generate cross-state referrals.</w:t>
      </w:r>
    </w:p>
    <w:p>
      <w:pPr>
        <w:spacing w:before="0" w:after="160" w:line="280" w:lineRule="auto"/>
        <w:numPr>
          <w:ilvl w:val="0"/>
          <w:numId w:val="11"/>
        </w:numPr>
      </w:pPr>
      <w:r>
        <w:rPr>
          <w:rFonts w:ascii="Arial" w:hAnsi="Arial"/>
          <w:b/>
          <w:sz w:val="22"/>
        </w:rPr>
        <w:t>Screen national identity.</w:t>
      </w:r>
      <w:r>
        <w:rPr>
          <w:rFonts w:ascii="Arial" w:hAnsi="Arial"/>
          <w:sz w:val="22"/>
        </w:rPr>
        <w:t xml:space="preserve"> Compare source IDs, normalized names, geography, websites, contacts, and other stable identifiers before state entity materialization.</w:t>
      </w:r>
    </w:p>
    <w:p>
      <w:pPr>
        <w:spacing w:before="0" w:after="160" w:line="280" w:lineRule="auto"/>
        <w:numPr>
          <w:ilvl w:val="0"/>
          <w:numId w:val="11"/>
        </w:numPr>
      </w:pPr>
      <w:r>
        <w:rPr>
          <w:rFonts w:ascii="Arial" w:hAnsi="Arial"/>
          <w:b/>
          <w:sz w:val="22"/>
        </w:rPr>
        <w:t>Apply the admission gate.</w:t>
      </w:r>
      <w:r>
        <w:rPr>
          <w:rFonts w:ascii="Arial" w:hAnsi="Arial"/>
          <w:sz w:val="22"/>
        </w:rPr>
        <w:t xml:space="preserve"> Require an active state, available QA capacity, no conflicting state PR, available evidence storage, and passing contract checks.</w:t>
      </w:r>
    </w:p>
    <w:p>
      <w:pPr>
        <w:spacing w:before="0" w:after="160" w:line="280" w:lineRule="auto"/>
        <w:numPr>
          <w:ilvl w:val="0"/>
          <w:numId w:val="11"/>
        </w:numPr>
      </w:pPr>
      <w:r>
        <w:rPr>
          <w:rFonts w:ascii="Arial" w:hAnsi="Arial"/>
          <w:b/>
          <w:sz w:val="22"/>
        </w:rPr>
        <w:t>Create or update state candidates.</w:t>
      </w:r>
      <w:r>
        <w:rPr>
          <w:rFonts w:ascii="Arial" w:hAnsi="Arial"/>
          <w:sz w:val="22"/>
        </w:rPr>
        <w:t xml:space="preserve"> Once admitted, the existing durability, privacy, non-deletion, QA, and append-only decision rules apply.</w:t>
      </w:r>
    </w:p>
    <w:p>
      <w:pPr>
        <w:spacing w:before="0" w:after="160" w:line="280" w:lineRule="auto"/>
        <w:numPr>
          <w:ilvl w:val="0"/>
          <w:numId w:val="11"/>
        </w:numPr>
      </w:pPr>
      <w:r>
        <w:rPr>
          <w:rFonts w:ascii="Arial" w:hAnsi="Arial"/>
          <w:b/>
          <w:sz w:val="22"/>
        </w:rPr>
        <w:t>Run the governed state pipeline.</w:t>
      </w:r>
      <w:r>
        <w:rPr>
          <w:rFonts w:ascii="Arial" w:hAnsi="Arial"/>
          <w:sz w:val="22"/>
        </w:rPr>
        <w:t xml:space="preserve"> Classify, enrich, resolve QA, verify, approve, promote atomically, and regenerate the public projection.</w:t>
      </w:r>
    </w:p>
    <w:p>
      <w:pPr>
        <w:pStyle w:val="Heading2"/>
      </w:pPr>
      <w:r>
        <w:t>3.1 Intake artifacts and authority</w:t>
      </w:r>
    </w:p>
    <w:tbl>
      <w:tblPr>
        <w:tblStyle w:val="TableGrid"/>
        <w:tblW w:type="dxa" w:w="9360"/>
        <w:jc w:val="left"/>
        <w:tblLayout w:type="fixed"/>
        <w:tblLook w:firstColumn="1" w:firstRow="1" w:lastColumn="0" w:lastRow="0" w:noHBand="0" w:noVBand="1" w:val="04A0"/>
        <w:tblInd w:type="dxa" w:w="120"/>
      </w:tblPr>
      <w:tblGrid>
        <w:gridCol w:w="1750"/>
        <w:gridCol w:w="2700"/>
        <w:gridCol w:w="2050"/>
        <w:gridCol w:w="2860"/>
      </w:tblGrid>
      <w:tr>
        <w:trPr>
          <w:tblHeader w:val="true"/>
          <w:cantSplit/>
        </w:trPr>
        <w:tc>
          <w:tcPr>
            <w:tcW w:type="dxa" w:w="17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Artifact</w:t>
            </w:r>
          </w:p>
        </w:tc>
        <w:tc>
          <w:tcPr>
            <w:tcW w:type="dxa" w:w="27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Purpose</w:t>
            </w:r>
          </w:p>
        </w:tc>
        <w:tc>
          <w:tcPr>
            <w:tcW w:type="dxa" w:w="20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Authority status</w:t>
            </w:r>
          </w:p>
        </w:tc>
        <w:tc>
          <w:tcPr>
            <w:tcW w:type="dxa" w:w="286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Location</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Source registry</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Defines source policy and collection configuration</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Governed configuration</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Committed configuration</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Raw snapshot</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Preserves source material exactly as acquired</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Immutable evidence</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Versioned object storage</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Waiting inventory</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Tracks routable observations not yet admitted</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Derived operational inventory</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Staging database or private storage</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State contract</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Holds durable entities, decisions, lifecycle, counts, and report</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Committed state authority</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research/state-expansions/&lt;ST&gt;/</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QA worklists</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Routes current blockers and proposals</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Derived view only</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Private generated exports</w:t>
            </w:r>
          </w:p>
        </w:tc>
      </w:tr>
      <w:tr>
        <w:trPr>
          <w:cantSplit/>
        </w:trPr>
        <w:tc>
          <w:tcPr>
            <w:tcW w:type="dxa" w:w="17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Canonical database release</w:t>
            </w:r>
          </w:p>
        </w:tc>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Serves approved public and internal projections</w:t>
            </w:r>
          </w:p>
        </w:tc>
        <w:tc>
          <w:tcPr>
            <w:tcW w:type="dxa" w:w="20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Canonical after cutover</w:t>
            </w:r>
          </w:p>
        </w:tc>
        <w:tc>
          <w:tcPr>
            <w:tcW w:type="dxa" w:w="28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PostgreSQL release pointer</w:t>
            </w:r>
          </w:p>
        </w:tc>
      </w:tr>
    </w:tbl>
    <w:p>
      <w:pPr>
        <w:spacing w:after="0"/>
      </w:pPr>
    </w:p>
    <w:p>
      <w:pPr>
        <w:pStyle w:val="Heading2"/>
      </w:pPr>
      <w:r>
        <w:t>3.2 Admission policy</w:t>
      </w:r>
    </w:p>
    <w:p>
      <w:r>
        <w:t>Expansion observations may enter active state processing only when all of the following are true:</w:t>
      </w:r>
    </w:p>
    <w:p>
      <w:pPr>
        <w:spacing w:before="0" w:after="160" w:line="280" w:lineRule="auto"/>
        <w:numPr>
          <w:ilvl w:val="0"/>
          <w:numId w:val="10"/>
        </w:numPr>
      </w:pPr>
      <w:r>
        <w:rPr>
          <w:rFonts w:ascii="Arial" w:hAnsi="Arial"/>
          <w:sz w:val="22"/>
        </w:rPr>
        <w:t>The state is next under the committed rollout order or is already an active state release.</w:t>
      </w:r>
    </w:p>
    <w:p>
      <w:pPr>
        <w:spacing w:before="0" w:after="160" w:line="280" w:lineRule="auto"/>
        <w:numPr>
          <w:ilvl w:val="0"/>
          <w:numId w:val="10"/>
        </w:numPr>
      </w:pPr>
      <w:r>
        <w:rPr>
          <w:rFonts w:ascii="Arial" w:hAnsi="Arial"/>
          <w:sz w:val="22"/>
        </w:rPr>
        <w:t>The global expansion QA queue is below the configured intake cap.</w:t>
      </w:r>
    </w:p>
    <w:p>
      <w:pPr>
        <w:spacing w:before="0" w:after="160" w:line="280" w:lineRule="auto"/>
        <w:numPr>
          <w:ilvl w:val="0"/>
          <w:numId w:val="10"/>
        </w:numPr>
      </w:pPr>
      <w:r>
        <w:rPr>
          <w:rFonts w:ascii="Arial" w:hAnsi="Arial"/>
          <w:sz w:val="22"/>
        </w:rPr>
        <w:t>No other state-data PR is in flight for the same state.</w:t>
      </w:r>
    </w:p>
    <w:p>
      <w:pPr>
        <w:spacing w:before="0" w:after="160" w:line="280" w:lineRule="auto"/>
        <w:numPr>
          <w:ilvl w:val="0"/>
          <w:numId w:val="10"/>
        </w:numPr>
      </w:pPr>
      <w:r>
        <w:rPr>
          <w:rFonts w:ascii="Arial" w:hAnsi="Arial"/>
          <w:sz w:val="22"/>
        </w:rPr>
        <w:t>The source has an approved tier and a reproducible acquisition policy.</w:t>
      </w:r>
    </w:p>
    <w:p>
      <w:pPr>
        <w:spacing w:before="0" w:after="160" w:line="280" w:lineRule="auto"/>
        <w:numPr>
          <w:ilvl w:val="0"/>
          <w:numId w:val="10"/>
        </w:numPr>
      </w:pPr>
      <w:r>
        <w:rPr>
          <w:rFonts w:ascii="Arial" w:hAnsi="Arial"/>
          <w:sz w:val="22"/>
        </w:rPr>
        <w:t>Raw evidence is stored immutably with checksum and object version.</w:t>
      </w:r>
    </w:p>
    <w:p>
      <w:pPr>
        <w:spacing w:before="0" w:after="160" w:line="280" w:lineRule="auto"/>
        <w:numPr>
          <w:ilvl w:val="0"/>
          <w:numId w:val="10"/>
        </w:numPr>
      </w:pPr>
      <w:r>
        <w:rPr>
          <w:rFonts w:ascii="Arial" w:hAnsi="Arial"/>
          <w:sz w:val="22"/>
        </w:rPr>
        <w:t>The observation can be assigned to a jurisdiction or a routable jurisdiction-resolution queue.</w:t>
      </w:r>
    </w:p>
    <w:p>
      <w:pPr>
        <w:spacing w:before="0" w:after="160" w:line="280" w:lineRule="auto"/>
        <w:numPr>
          <w:ilvl w:val="0"/>
          <w:numId w:val="10"/>
        </w:numPr>
      </w:pPr>
      <w:r>
        <w:rPr>
          <w:rFonts w:ascii="Arial" w:hAnsi="Arial"/>
          <w:sz w:val="22"/>
        </w:rPr>
        <w:t>The collector version and state contract validator pass.</w:t>
      </w:r>
    </w:p>
    <w:p>
      <w:r>
        <w:br w:type="page"/>
      </w:r>
    </w:p>
    <w:p>
      <w:pPr>
        <w:pStyle w:val="Heading2"/>
      </w:pPr>
      <w:r>
        <w:t>3.3 Three intake lanes</w:t>
      </w:r>
    </w:p>
    <w:tbl>
      <w:tblPr>
        <w:tblStyle w:val="TableGrid"/>
        <w:tblW w:type="dxa" w:w="9360"/>
        <w:jc w:val="left"/>
        <w:tblLayout w:type="fixed"/>
        <w:tblLook w:firstColumn="1" w:firstRow="1" w:lastColumn="0" w:lastRow="0" w:noHBand="0" w:noVBand="1" w:val="04A0"/>
        <w:tblInd w:type="dxa" w:w="120"/>
      </w:tblPr>
      <w:tblGrid>
        <w:gridCol w:w="2600"/>
        <w:gridCol w:w="1100"/>
        <w:gridCol w:w="1550"/>
        <w:gridCol w:w="4110"/>
      </w:tblGrid>
      <w:tr>
        <w:trPr>
          <w:tblHeader w:val="true"/>
          <w:cantSplit/>
        </w:trPr>
        <w:tc>
          <w:tcPr>
            <w:tcW w:type="dxa" w:w="26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Lane</w:t>
            </w:r>
          </w:p>
        </w:tc>
        <w:tc>
          <w:tcPr>
            <w:tcW w:type="dxa" w:w="11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Priority</w:t>
            </w:r>
          </w:p>
        </w:tc>
        <w:tc>
          <w:tcPr>
            <w:tcW w:type="dxa" w:w="15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Expansion cap</w:t>
            </w:r>
          </w:p>
        </w:tc>
        <w:tc>
          <w:tcPr>
            <w:tcW w:type="dxa" w:w="41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Treatment</w:t>
            </w:r>
          </w:p>
        </w:tc>
      </w:tr>
      <w:tr>
        <w:trPr>
          <w:cantSplit/>
        </w:trPr>
        <w:tc>
          <w:tcPr>
            <w:tcW w:type="dxa" w:w="2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Farm-owner corrections and urgent canonical issues</w:t>
            </w:r>
          </w:p>
        </w:tc>
        <w:tc>
          <w:tcPr>
            <w:tcW w:type="dxa" w:w="1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Highest</w:t>
            </w:r>
          </w:p>
        </w:tc>
        <w:tc>
          <w:tcPr>
            <w:tcW w:type="dxa" w:w="15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Not blocked</w:t>
            </w:r>
          </w:p>
        </w:tc>
        <w:tc>
          <w:tcPr>
            <w:tcW w:type="dxa" w:w="41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Route immediately as current assertions; preserve review and release gates.</w:t>
            </w:r>
          </w:p>
        </w:tc>
      </w:tr>
      <w:tr>
        <w:trPr>
          <w:cantSplit/>
        </w:trPr>
        <w:tc>
          <w:tcPr>
            <w:tcW w:type="dxa" w:w="2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Semiannual canonical maintenance and rebuilds</w:t>
            </w:r>
          </w:p>
        </w:tc>
        <w:tc>
          <w:tcPr>
            <w:tcW w:type="dxa" w:w="1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High</w:t>
            </w:r>
          </w:p>
        </w:tc>
        <w:tc>
          <w:tcPr>
            <w:tcW w:type="dxa" w:w="15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Reserved capacity</w:t>
            </w:r>
          </w:p>
        </w:tc>
        <w:tc>
          <w:tcPr>
            <w:tcW w:type="dxa" w:w="41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Refresh due evidence and use canonicalRebuild; never overwrite in place.</w:t>
            </w:r>
          </w:p>
        </w:tc>
      </w:tr>
      <w:tr>
        <w:trPr>
          <w:cantSplit/>
        </w:trPr>
        <w:tc>
          <w:tcPr>
            <w:tcW w:type="dxa" w:w="2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New-state expansion</w:t>
            </w:r>
          </w:p>
        </w:tc>
        <w:tc>
          <w:tcPr>
            <w:tcW w:type="dxa" w:w="1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Normal</w:t>
            </w:r>
          </w:p>
        </w:tc>
        <w:tc>
          <w:tcPr>
            <w:tcW w:type="dxa" w:w="15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Fully gated</w:t>
            </w:r>
          </w:p>
        </w:tc>
        <w:tc>
          <w:tcPr>
            <w:tcW w:type="dxa" w:w="41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Admit only when downstream QA capacity is available.</w:t>
            </w:r>
          </w:p>
        </w:tc>
      </w:tr>
    </w:tbl>
    <w:p>
      <w:pPr>
        <w:spacing w:after="0"/>
      </w:pPr>
    </w:p>
    <w:p>
      <w:pPr>
        <w:pStyle w:val="Heading1"/>
      </w:pPr>
      <w:r>
        <w:t>4. Scheduler decision model</w:t>
      </w:r>
    </w:p>
    <w:p>
      <w:r>
        <w:t>On each run, the scheduler evaluates work in this order:</w:t>
      </w:r>
    </w:p>
    <w:p>
      <w:pPr>
        <w:spacing w:before="0" w:after="160" w:line="280" w:lineRule="auto"/>
        <w:numPr>
          <w:ilvl w:val="0"/>
          <w:numId w:val="12"/>
        </w:numPr>
      </w:pPr>
      <w:r>
        <w:rPr>
          <w:rFonts w:ascii="Arial" w:hAnsi="Arial"/>
          <w:sz w:val="22"/>
        </w:rPr>
        <w:t>Accept and route farm-owner corrections or urgent canonical issues.</w:t>
      </w:r>
    </w:p>
    <w:p>
      <w:pPr>
        <w:spacing w:before="0" w:after="160" w:line="280" w:lineRule="auto"/>
        <w:numPr>
          <w:ilvl w:val="0"/>
          <w:numId w:val="12"/>
        </w:numPr>
      </w:pPr>
      <w:r>
        <w:rPr>
          <w:rFonts w:ascii="Arial" w:hAnsi="Arial"/>
          <w:sz w:val="22"/>
        </w:rPr>
        <w:t>Run due canonical scans and reserve maintenance capacity for rebuild work.</w:t>
      </w:r>
    </w:p>
    <w:p>
      <w:pPr>
        <w:spacing w:before="0" w:after="160" w:line="280" w:lineRule="auto"/>
        <w:numPr>
          <w:ilvl w:val="0"/>
          <w:numId w:val="12"/>
        </w:numPr>
      </w:pPr>
      <w:r>
        <w:rPr>
          <w:rFonts w:ascii="Arial" w:hAnsi="Arial"/>
          <w:sz w:val="22"/>
        </w:rPr>
        <w:t>Refresh QA routing and execute deterministic geography resolution.</w:t>
      </w:r>
    </w:p>
    <w:p>
      <w:pPr>
        <w:spacing w:before="0" w:after="160" w:line="280" w:lineRule="auto"/>
        <w:numPr>
          <w:ilvl w:val="0"/>
          <w:numId w:val="12"/>
        </w:numPr>
      </w:pPr>
      <w:r>
        <w:rPr>
          <w:rFonts w:ascii="Arial" w:hAnsi="Arial"/>
          <w:sz w:val="22"/>
        </w:rPr>
        <w:t>Run corroboration and operation-evidence assistants; prepare governed PR batches.</w:t>
      </w:r>
    </w:p>
    <w:p>
      <w:pPr>
        <w:spacing w:before="0" w:after="160" w:line="280" w:lineRule="auto"/>
        <w:numPr>
          <w:ilvl w:val="0"/>
          <w:numId w:val="12"/>
        </w:numPr>
      </w:pPr>
      <w:r>
        <w:rPr>
          <w:rFonts w:ascii="Arial" w:hAnsi="Arial"/>
          <w:sz w:val="22"/>
        </w:rPr>
        <w:t>Surface judgment-only identity, closure, and status conflicts with drafted evidence.</w:t>
      </w:r>
    </w:p>
    <w:p>
      <w:pPr>
        <w:spacing w:before="0" w:after="160" w:line="280" w:lineRule="auto"/>
        <w:numPr>
          <w:ilvl w:val="0"/>
          <w:numId w:val="12"/>
        </w:numPr>
      </w:pPr>
      <w:r>
        <w:rPr>
          <w:rFonts w:ascii="Arial" w:hAnsi="Arial"/>
          <w:sz w:val="22"/>
        </w:rPr>
        <w:t>Advance QA-zero states to final verification, then release approval.</w:t>
      </w:r>
    </w:p>
    <w:p>
      <w:pPr>
        <w:spacing w:before="0" w:after="160" w:line="280" w:lineRule="auto"/>
        <w:numPr>
          <w:ilvl w:val="0"/>
          <w:numId w:val="12"/>
        </w:numPr>
      </w:pPr>
      <w:r>
        <w:rPr>
          <w:rFonts w:ascii="Arial" w:hAnsi="Arial"/>
          <w:sz w:val="22"/>
        </w:rPr>
        <w:t>Promote approved, fingerprint-matching releases after CI passes.</w:t>
      </w:r>
    </w:p>
    <w:p>
      <w:pPr>
        <w:spacing w:before="0" w:after="160" w:line="280" w:lineRule="auto"/>
        <w:numPr>
          <w:ilvl w:val="0"/>
          <w:numId w:val="12"/>
        </w:numPr>
      </w:pPr>
      <w:r>
        <w:rPr>
          <w:rFonts w:ascii="Arial" w:hAnsi="Arial"/>
          <w:sz w:val="22"/>
        </w:rPr>
        <w:t>Only when expansion QA is below cap, select the next uncollected state from rollout order.</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FFF7E6" w:val="clear"/>
            <w:tcBorders>
              <w:top w:val="single" w:sz="6" w:color="CBD3DC"/>
              <w:left w:val="single" w:sz="6" w:color="CBD3DC"/>
              <w:bottom w:val="single" w:sz="6" w:color="CBD3DC"/>
              <w:right w:val="single" w:sz="6" w:color="CBD3DC"/>
              <w:insideH w:val="single" w:sz="6" w:color="CBD3DC"/>
              <w:insideV w:val="single" w:sz="6" w:color="CBD3DC"/>
            </w:tcBorders>
            <w:tcMar>
              <w:top w:w="80" w:type="dxa"/>
              <w:bottom w:w="80" w:type="dxa"/>
              <w:start w:w="120" w:type="dxa"/>
              <w:end w:w="120" w:type="dxa"/>
            </w:tcMar>
          </w:tcPr>
          <w:p>
            <w:pPr>
              <w:spacing w:before="40" w:after="40" w:line="264" w:lineRule="auto"/>
            </w:pPr>
            <w:r>
              <w:rPr>
                <w:rFonts w:ascii="Arial" w:hAnsi="Arial"/>
                <w:b/>
                <w:color w:val="9B741A"/>
                <w:sz w:val="22"/>
              </w:rPr>
              <w:t xml:space="preserve">Important correction: </w:t>
            </w:r>
            <w:r>
              <w:rPr>
                <w:rFonts w:ascii="Arial" w:hAnsi="Arial"/>
                <w:sz w:val="22"/>
              </w:rPr>
              <w:t>Judgment-only residue never flows directly to verification. It remains in QA until a human decision is recorded and merged through gate 1; classification then runs again.</w:t>
            </w:r>
          </w:p>
        </w:tc>
      </w:tr>
    </w:tbl>
    <w:p>
      <w:pPr>
        <w:spacing w:after="0"/>
      </w:pPr>
    </w:p>
    <w:p>
      <w:pPr>
        <w:pStyle w:val="Heading1"/>
      </w:pPr>
      <w:r>
        <w:t>5. QA and verification behavior</w:t>
      </w:r>
    </w:p>
    <w:p>
      <w:pPr>
        <w:pStyle w:val="Heading2"/>
      </w:pPr>
      <w:r>
        <w:t>5.1 Automation drains before humans review</w:t>
      </w:r>
    </w:p>
    <w:tbl>
      <w:tblPr>
        <w:tblStyle w:val="TableGrid"/>
        <w:tblW w:type="dxa" w:w="9360"/>
        <w:jc w:val="left"/>
        <w:tblLayout w:type="fixed"/>
        <w:tblLook w:firstColumn="1" w:firstRow="1" w:lastColumn="0" w:lastRow="0" w:noHBand="0" w:noVBand="1" w:val="04A0"/>
        <w:tblInd w:type="dxa" w:w="120"/>
      </w:tblPr>
      <w:tblGrid>
        <w:gridCol w:w="950"/>
        <w:gridCol w:w="1500"/>
        <w:gridCol w:w="3100"/>
        <w:gridCol w:w="3810"/>
      </w:tblGrid>
      <w:tr>
        <w:trPr>
          <w:tblHeader w:val="true"/>
          <w:cantSplit/>
        </w:trPr>
        <w:tc>
          <w:tcPr>
            <w:tcW w:type="dxa" w:w="9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Priority</w:t>
            </w:r>
          </w:p>
        </w:tc>
        <w:tc>
          <w:tcPr>
            <w:tcW w:type="dxa" w:w="15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Strategy</w:t>
            </w:r>
          </w:p>
        </w:tc>
        <w:tc>
          <w:tcPr>
            <w:tcW w:type="dxa" w:w="31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Default resolver</w:t>
            </w:r>
          </w:p>
        </w:tc>
        <w:tc>
          <w:tcPr>
            <w:tcW w:type="dxa" w:w="38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Human role</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1</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Geography</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Census place reference, TIGERweb, geocode cache</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Review batch summary and merge deterministic corrections.</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2</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Corroboration</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Corroboration assistant</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Approve or reject evidence-backed proposals.</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3</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Operation evidence</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Cross-directory assistant plus targeted research</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Review ambiguous scope evidence.</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4</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Baseline</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Canonical rebuild comparison</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Resolve non-rediscovered LA/MS records.</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5</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Identity</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Evidence assembly only</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Make evidence-based identity decision.</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6</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Status conflict</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Evidence assembly only</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Decide closure, reopening, or conflict disposition.</w:t>
            </w:r>
          </w:p>
        </w:tc>
      </w:tr>
      <w:tr>
        <w:trPr>
          <w:cantSplit/>
        </w:trPr>
        <w:tc>
          <w:tcPr>
            <w:tcW w:type="dxa" w:w="9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7</w:t>
            </w:r>
          </w:p>
        </w:tc>
        <w:tc>
          <w:tcPr>
            <w:tcW w:type="dxa" w:w="1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Contact outreach</w:t>
            </w:r>
          </w:p>
        </w:tc>
        <w:tc>
          <w:tcPr>
            <w:tcW w:type="dxa" w:w="31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Research and outreach support</w:t>
            </w:r>
          </w:p>
        </w:tc>
        <w:tc>
          <w:tcPr>
            <w:tcW w:type="dxa" w:w="38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Review only when unresolved after higher-priority work.</w:t>
            </w:r>
          </w:p>
        </w:tc>
      </w:tr>
    </w:tbl>
    <w:p>
      <w:pPr>
        <w:spacing w:after="0"/>
      </w:pPr>
    </w:p>
    <w:p>
      <w:pPr>
        <w:pStyle w:val="Heading2"/>
      </w:pPr>
      <w:r>
        <w:t>5.2 Final verification</w:t>
      </w:r>
    </w:p>
    <w:p>
      <w:r>
        <w:t>Every eligible record must pass four checks before it enters a passing release set:</w:t>
      </w:r>
    </w:p>
    <w:p>
      <w:pPr>
        <w:spacing w:before="0" w:after="160" w:line="280" w:lineRule="auto"/>
        <w:numPr>
          <w:ilvl w:val="0"/>
          <w:numId w:val="10"/>
        </w:numPr>
      </w:pPr>
      <w:r>
        <w:rPr>
          <w:rFonts w:ascii="Arial" w:hAnsi="Arial"/>
          <w:sz w:val="22"/>
        </w:rPr>
        <w:t>Identity — the record represents the intended operation.</w:t>
      </w:r>
    </w:p>
    <w:p>
      <w:pPr>
        <w:spacing w:before="0" w:after="160" w:line="280" w:lineRule="auto"/>
        <w:numPr>
          <w:ilvl w:val="0"/>
          <w:numId w:val="10"/>
        </w:numPr>
      </w:pPr>
      <w:r>
        <w:rPr>
          <w:rFonts w:ascii="Arial" w:hAnsi="Arial"/>
          <w:sz w:val="22"/>
        </w:rPr>
        <w:t>Farm scope — the operation qualifies for FarmFinder and is not merely a retailer, market, processor, association, or school.</w:t>
      </w:r>
    </w:p>
    <w:p>
      <w:pPr>
        <w:spacing w:before="0" w:after="160" w:line="280" w:lineRule="auto"/>
        <w:numPr>
          <w:ilvl w:val="0"/>
          <w:numId w:val="10"/>
        </w:numPr>
      </w:pPr>
      <w:r>
        <w:rPr>
          <w:rFonts w:ascii="Arial" w:hAnsi="Arial"/>
          <w:sz w:val="22"/>
        </w:rPr>
        <w:t>Current operating evidence — evidence is fresh enough to support operation and promoted public fields.</w:t>
      </w:r>
    </w:p>
    <w:p>
      <w:pPr>
        <w:spacing w:before="0" w:after="160" w:line="280" w:lineRule="auto"/>
        <w:numPr>
          <w:ilvl w:val="0"/>
          <w:numId w:val="10"/>
        </w:numPr>
      </w:pPr>
      <w:r>
        <w:rPr>
          <w:rFonts w:ascii="Arial" w:hAnsi="Arial"/>
          <w:sz w:val="22"/>
        </w:rPr>
        <w:t>Duplicate handling — possible matches are resolved, explicitly distinct, or merged through append-only decisions.</w:t>
      </w:r>
    </w:p>
    <w:p>
      <w:r>
        <w:t>Verification failures return to the originating state’s routed QA queue. A state reaches record_verified only when every retained candidate has a disposition and the QA count is zero.</w:t>
      </w:r>
    </w:p>
    <w:p>
      <w:pPr>
        <w:pStyle w:val="Heading1"/>
      </w:pPr>
      <w:r>
        <w:t>6. Trade-off analysis</w:t>
      </w:r>
    </w:p>
    <w:tbl>
      <w:tblPr>
        <w:tblStyle w:val="TableGrid"/>
        <w:tblW w:type="dxa" w:w="9360"/>
        <w:jc w:val="left"/>
        <w:tblLayout w:type="fixed"/>
        <w:tblLook w:firstColumn="1" w:firstRow="1" w:lastColumn="0" w:lastRow="0" w:noHBand="0" w:noVBand="1" w:val="04A0"/>
        <w:tblInd w:type="dxa" w:w="120"/>
      </w:tblPr>
      <w:tblGrid>
        <w:gridCol w:w="2400"/>
        <w:gridCol w:w="1700"/>
        <w:gridCol w:w="1600"/>
        <w:gridCol w:w="1450"/>
        <w:gridCol w:w="2210"/>
      </w:tblGrid>
      <w:tr>
        <w:trPr>
          <w:tblHeader w:val="true"/>
          <w:cantSplit/>
        </w:trPr>
        <w:tc>
          <w:tcPr>
            <w:tcW w:type="dxa" w:w="24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Approach</w:t>
            </w:r>
          </w:p>
        </w:tc>
        <w:tc>
          <w:tcPr>
            <w:tcW w:type="dxa" w:w="17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Initial collection speed</w:t>
            </w:r>
          </w:p>
        </w:tc>
        <w:tc>
          <w:tcPr>
            <w:tcW w:type="dxa" w:w="16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Rework risk</w:t>
            </w:r>
          </w:p>
        </w:tc>
        <w:tc>
          <w:tcPr>
            <w:tcW w:type="dxa" w:w="14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Freshness</w:t>
            </w:r>
          </w:p>
        </w:tc>
        <w:tc>
          <w:tcPr>
            <w:tcW w:type="dxa" w:w="22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Time to trusted coverage</w:t>
            </w:r>
          </w:p>
        </w:tc>
      </w:tr>
      <w:tr>
        <w:trPr>
          <w:cantSplit/>
        </w:trPr>
        <w:tc>
          <w:tcPr>
            <w:tcW w:type="dxa" w:w="24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Collect the country, sort later</w:t>
            </w:r>
          </w:p>
        </w:tc>
        <w:tc>
          <w:tcPr>
            <w:tcW w:type="dxa" w:w="1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Highest</w:t>
            </w:r>
          </w:p>
        </w:tc>
        <w:tc>
          <w:tcPr>
            <w:tcW w:type="dxa" w:w="1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Very high</w:t>
            </w:r>
          </w:p>
        </w:tc>
        <w:tc>
          <w:tcPr>
            <w:tcW w:type="dxa" w:w="1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Poor</w:t>
            </w:r>
          </w:p>
        </w:tc>
        <w:tc>
          <w:tcPr>
            <w:tcW w:type="dxa" w:w="22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Slow</w:t>
            </w:r>
          </w:p>
        </w:tc>
      </w:tr>
      <w:tr>
        <w:trPr>
          <w:cantSplit/>
        </w:trPr>
        <w:tc>
          <w:tcPr>
            <w:tcW w:type="dxa" w:w="24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Strict one-state end to end</w:t>
            </w:r>
          </w:p>
        </w:tc>
        <w:tc>
          <w:tcPr>
            <w:tcW w:type="dxa" w:w="1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Low</w:t>
            </w:r>
          </w:p>
        </w:tc>
        <w:tc>
          <w:tcPr>
            <w:tcW w:type="dxa" w:w="1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Low</w:t>
            </w:r>
          </w:p>
        </w:tc>
        <w:tc>
          <w:tcPr>
            <w:tcW w:type="dxa" w:w="1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Strong</w:t>
            </w:r>
          </w:p>
        </w:tc>
        <w:tc>
          <w:tcPr>
            <w:tcW w:type="dxa" w:w="22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Moderate</w:t>
            </w:r>
          </w:p>
        </w:tc>
      </w:tr>
      <w:tr>
        <w:trPr>
          <w:cantSplit/>
        </w:trPr>
        <w:tc>
          <w:tcPr>
            <w:tcW w:type="dxa" w:w="24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Hybrid rolling regional waves</w:t>
            </w:r>
          </w:p>
        </w:tc>
        <w:tc>
          <w:tcPr>
            <w:tcW w:type="dxa" w:w="1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High</w:t>
            </w:r>
          </w:p>
        </w:tc>
        <w:tc>
          <w:tcPr>
            <w:tcW w:type="dxa" w:w="16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Controlled</w:t>
            </w:r>
          </w:p>
        </w:tc>
        <w:tc>
          <w:tcPr>
            <w:tcW w:type="dxa" w:w="1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Strong</w:t>
            </w:r>
          </w:p>
        </w:tc>
        <w:tc>
          <w:tcPr>
            <w:tcW w:type="dxa" w:w="22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Fastest expected</w:t>
            </w:r>
          </w:p>
        </w:tc>
      </w:tr>
    </w:tbl>
    <w:p>
      <w:pPr>
        <w:spacing w:after="0"/>
      </w:pPr>
    </w:p>
    <w:p>
      <w:pPr>
        <w:pStyle w:val="Heading2"/>
      </w:pPr>
      <w:r>
        <w:t>6.1 When broad acquisition is efficient</w:t>
      </w:r>
    </w:p>
    <w:p>
      <w:r>
        <w:t>Acquire broadly when a source is finite, expensive to reproduce, likely to disappear, useful for national identity matching, or already available as a stable downloadable dataset. Preserve it immutably without converting every row into committed QA work.</w:t>
      </w:r>
    </w:p>
    <w:p>
      <w:pPr>
        <w:pStyle w:val="Heading2"/>
      </w:pPr>
      <w:r>
        <w:t>6.2 When broad acquisition is wasteful</w:t>
      </w:r>
    </w:p>
    <w:p>
      <w:r>
        <w:t>Do not crawl dynamic farm websites many months before the corresponding state can be processed. Their evidence may expire before verification. Do not allow regional teams to independently scrape overlapping sources and reconcile later; shared source IDs, snapshots, and identity screening prevent duplicate effort.</w:t>
      </w:r>
    </w:p>
    <w:p>
      <w:pPr>
        <w:pStyle w:val="Heading1"/>
      </w:pPr>
      <w:r>
        <w:t>7. Operational controls and metrics</w:t>
      </w:r>
    </w:p>
    <w:p>
      <w:pPr>
        <w:pStyle w:val="Heading2"/>
      </w:pPr>
      <w:r>
        <w:t>7.1 WIP and backpressure</w:t>
      </w:r>
    </w:p>
    <w:p>
      <w:pPr>
        <w:spacing w:before="0" w:after="160" w:line="280" w:lineRule="auto"/>
        <w:numPr>
          <w:ilvl w:val="0"/>
          <w:numId w:val="10"/>
        </w:numPr>
      </w:pPr>
      <w:r>
        <w:rPr>
          <w:rFonts w:ascii="Arial" w:hAnsi="Arial"/>
          <w:sz w:val="22"/>
        </w:rPr>
        <w:t>One state-data PR in flight per state.</w:t>
      </w:r>
    </w:p>
    <w:p>
      <w:pPr>
        <w:spacing w:before="0" w:after="160" w:line="280" w:lineRule="auto"/>
        <w:numPr>
          <w:ilvl w:val="0"/>
          <w:numId w:val="10"/>
        </w:numPr>
      </w:pPr>
      <w:r>
        <w:rPr>
          <w:rFonts w:ascii="Arial" w:hAnsi="Arial"/>
          <w:sz w:val="22"/>
        </w:rPr>
        <w:t>Expansion admission stops when the committed QA total exceeds the configured cap.</w:t>
      </w:r>
    </w:p>
    <w:p>
      <w:pPr>
        <w:spacing w:before="0" w:after="160" w:line="280" w:lineRule="auto"/>
        <w:numPr>
          <w:ilvl w:val="0"/>
          <w:numId w:val="10"/>
        </w:numPr>
      </w:pPr>
      <w:r>
        <w:rPr>
          <w:rFonts w:ascii="Arial" w:hAnsi="Arial"/>
          <w:sz w:val="22"/>
        </w:rPr>
        <w:t>Maintenance and correction lanes retain reserved capacity.</w:t>
      </w:r>
    </w:p>
    <w:p>
      <w:pPr>
        <w:spacing w:before="0" w:after="160" w:line="280" w:lineRule="auto"/>
        <w:numPr>
          <w:ilvl w:val="0"/>
          <w:numId w:val="10"/>
        </w:numPr>
      </w:pPr>
      <w:r>
        <w:rPr>
          <w:rFonts w:ascii="Arial" w:hAnsi="Arial"/>
          <w:sz w:val="22"/>
        </w:rPr>
        <w:t>Every QA row must route to a known strategy; unrouted rows are process defects.</w:t>
      </w:r>
    </w:p>
    <w:p>
      <w:pPr>
        <w:spacing w:before="0" w:after="160" w:line="280" w:lineRule="auto"/>
        <w:numPr>
          <w:ilvl w:val="0"/>
          <w:numId w:val="10"/>
        </w:numPr>
      </w:pPr>
      <w:r>
        <w:rPr>
          <w:rFonts w:ascii="Arial" w:hAnsi="Arial"/>
          <w:sz w:val="22"/>
        </w:rPr>
        <w:t>Deterministic automation executes before human batches.</w:t>
      </w:r>
    </w:p>
    <w:p>
      <w:pPr>
        <w:spacing w:before="0" w:after="160" w:line="280" w:lineRule="auto"/>
        <w:numPr>
          <w:ilvl w:val="0"/>
          <w:numId w:val="10"/>
        </w:numPr>
      </w:pPr>
      <w:r>
        <w:rPr>
          <w:rFonts w:ascii="Arial" w:hAnsi="Arial"/>
          <w:sz w:val="22"/>
        </w:rPr>
        <w:t>Batches stay within repository scope limits and split by state, county group, or strategy.</w:t>
      </w:r>
    </w:p>
    <w:p>
      <w:pPr>
        <w:pStyle w:val="Heading2"/>
      </w:pPr>
      <w:r>
        <w:t>7.2 Measures</w:t>
      </w:r>
    </w:p>
    <w:tbl>
      <w:tblPr>
        <w:tblStyle w:val="TableGrid"/>
        <w:tblW w:type="dxa" w:w="9360"/>
        <w:jc w:val="left"/>
        <w:tblLayout w:type="fixed"/>
        <w:tblLook w:firstColumn="1" w:firstRow="1" w:lastColumn="0" w:lastRow="0" w:noHBand="0" w:noVBand="1" w:val="04A0"/>
        <w:tblInd w:type="dxa" w:w="120"/>
      </w:tblPr>
      <w:tblGrid>
        <w:gridCol w:w="3300"/>
        <w:gridCol w:w="6060"/>
      </w:tblGrid>
      <w:tr>
        <w:trPr>
          <w:tblHeader w:val="true"/>
          <w:cantSplit/>
        </w:trPr>
        <w:tc>
          <w:tcPr>
            <w:tcW w:type="dxa" w:w="33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Metric</w:t>
            </w:r>
          </w:p>
        </w:tc>
        <w:tc>
          <w:tcPr>
            <w:tcW w:type="dxa" w:w="606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Purpose</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Raw observations acquired</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Measures source acquisition only; never used as a trust metric.</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Waiting inventory and age</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Shows preserved work not yet admitted and highlights refresh risk.</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Candidate admission rate</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Measures how much work enters governed state processing.</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QA inflow, outflow, and net trend</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Proves whether the bottleneck is improving.</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Unrouted QA count</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Must remain zero; growth indicates taxonomy or collector defects.</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Eligible-to-QA ratio by source and state</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Identifies sources that create disproportionate cleanup.</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Median time from acquisition to promotion</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Measures actual trusted-data lead time.</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Verification failure reasons</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Targets upstream prevention and source-policy changes.</w:t>
            </w:r>
          </w:p>
        </w:tc>
      </w:tr>
      <w:tr>
        <w:trPr>
          <w:cantSplit/>
        </w:trPr>
        <w:tc>
          <w:tcPr>
            <w:tcW w:type="dxa" w:w="33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Release rollback readiness</w:t>
            </w:r>
          </w:p>
        </w:tc>
        <w:tc>
          <w:tcPr>
            <w:tcW w:type="dxa" w:w="60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Confirms every promotion remains reversible.</w:t>
            </w:r>
          </w:p>
        </w:tc>
      </w:tr>
    </w:tbl>
    <w:p>
      <w:pPr>
        <w:spacing w:after="0"/>
      </w:pPr>
    </w:p>
    <w:p>
      <w:pPr>
        <w:pStyle w:val="Heading1"/>
      </w:pPr>
      <w:r>
        <w:t>8. Risks and mitigations</w:t>
      </w:r>
    </w:p>
    <w:tbl>
      <w:tblPr>
        <w:tblStyle w:val="TableGrid"/>
        <w:tblW w:type="dxa" w:w="9360"/>
        <w:jc w:val="left"/>
        <w:tblLayout w:type="fixed"/>
        <w:tblLook w:firstColumn="1" w:firstRow="1" w:lastColumn="0" w:lastRow="0" w:noHBand="0" w:noVBand="1" w:val="04A0"/>
        <w:tblInd w:type="dxa" w:w="120"/>
      </w:tblPr>
      <w:tblGrid>
        <w:gridCol w:w="3450"/>
        <w:gridCol w:w="5910"/>
      </w:tblGrid>
      <w:tr>
        <w:trPr>
          <w:tblHeader w:val="true"/>
          <w:cantSplit/>
        </w:trPr>
        <w:tc>
          <w:tcPr>
            <w:tcW w:type="dxa" w:w="34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Risk</w:t>
            </w:r>
          </w:p>
        </w:tc>
        <w:tc>
          <w:tcPr>
            <w:tcW w:type="dxa" w:w="59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Mitigation</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Waiting raw evidence becomes stale</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Track age by evidence grade and refresh before admission.</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Raw inventory becomes a competing source of truth</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Treat it as immutable evidence and derived waiting inventory; only the four-file state contract is committed authority before cutover.</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Regional teams create duplicate candidates</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Use shared source IDs, national identity screening, cross-state referrals, and state-scoped admission.</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Automation silently invents evidence</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Resolvers may assemble and transform cited evidence but never fabricate facts or decide ambiguous identity, scope, or status.</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 merge becomes superficial</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Generate reconciled summaries, risk-based samples, decision diffs, count deltas, and provenance checks; require row review for judgment cases.</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QA blocks urgent corrections</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Maintain separate priority lanes and reserve maintenance capacity.</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Approval becomes stale after changes</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Bind approval to a deterministic release fingerprint and invalidate it on any governed input change.</w:t>
            </w:r>
          </w:p>
        </w:tc>
      </w:tr>
      <w:tr>
        <w:trPr>
          <w:cantSplit/>
        </w:trPr>
        <w:tc>
          <w:tcPr>
            <w:tcW w:type="dxa" w:w="34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Mega-releases couple failures</w:t>
            </w:r>
          </w:p>
        </w:tc>
        <w:tc>
          <w:tcPr>
            <w:tcW w:type="dxa" w:w="59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Keep state-level approvals, promotions, and rollback boundaries.</w:t>
            </w:r>
          </w:p>
        </w:tc>
      </w:tr>
    </w:tbl>
    <w:p>
      <w:pPr>
        <w:spacing w:after="0"/>
      </w:pPr>
    </w:p>
    <w:p>
      <w:pPr>
        <w:pStyle w:val="Heading1"/>
      </w:pPr>
      <w:r>
        <w:t>9. Documentation decisions and consistency fixes</w:t>
      </w:r>
    </w:p>
    <w:p>
      <w:r>
        <w:t>Before implementation, governance documents should describe one consistent policy. The newer QA backpressure standard and AGENTS.md state that new-state collection pauses above the intake cap. Older language in ADR-0004 and the scalable pipeline standard says QA does not block collection of the next state. That older consequence must be superseded or qualified to mean that existing-state work and eligible handoffs may continue while net-new state admission is blocked.</w:t>
      </w:r>
    </w:p>
    <w:p>
      <w:pPr>
        <w:spacing w:before="0" w:after="160" w:line="280" w:lineRule="auto"/>
        <w:numPr>
          <w:ilvl w:val="0"/>
          <w:numId w:val="10"/>
        </w:numPr>
      </w:pPr>
      <w:r>
        <w:rPr>
          <w:rFonts w:ascii="Arial" w:hAnsi="Arial"/>
          <w:sz w:val="22"/>
        </w:rPr>
        <w:t>Commit an explicit fifty-state rollout order; use it only for choosing uncollected expansion states.</w:t>
      </w:r>
    </w:p>
    <w:p>
      <w:pPr>
        <w:spacing w:before="0" w:after="160" w:line="280" w:lineRule="auto"/>
        <w:numPr>
          <w:ilvl w:val="0"/>
          <w:numId w:val="10"/>
        </w:numPr>
      </w:pPr>
      <w:r>
        <w:rPr>
          <w:rFonts w:ascii="Arial" w:hAnsi="Arial"/>
          <w:sz w:val="22"/>
        </w:rPr>
        <w:t>Amend ADR-0004 to acknowledge global backpressure and the acquisition/admission split.</w:t>
      </w:r>
    </w:p>
    <w:p>
      <w:pPr>
        <w:spacing w:before="0" w:after="160" w:line="280" w:lineRule="auto"/>
        <w:numPr>
          <w:ilvl w:val="0"/>
          <w:numId w:val="10"/>
        </w:numPr>
      </w:pPr>
      <w:r>
        <w:rPr>
          <w:rFonts w:ascii="Arial" w:hAnsi="Arial"/>
          <w:sz w:val="22"/>
        </w:rPr>
        <w:t>Amend the scalable pipeline standard so new-state intake respects QA capacity.</w:t>
      </w:r>
    </w:p>
    <w:p>
      <w:pPr>
        <w:spacing w:before="0" w:after="160" w:line="280" w:lineRule="auto"/>
        <w:numPr>
          <w:ilvl w:val="0"/>
          <w:numId w:val="10"/>
        </w:numPr>
      </w:pPr>
      <w:r>
        <w:rPr>
          <w:rFonts w:ascii="Arial" w:hAnsi="Arial"/>
          <w:sz w:val="22"/>
        </w:rPr>
        <w:t>Document the three intake lanes and reserved maintenance capacity.</w:t>
      </w:r>
    </w:p>
    <w:p>
      <w:pPr>
        <w:spacing w:before="0" w:after="160" w:line="280" w:lineRule="auto"/>
        <w:numPr>
          <w:ilvl w:val="0"/>
          <w:numId w:val="10"/>
        </w:numPr>
      </w:pPr>
      <w:r>
        <w:rPr>
          <w:rFonts w:ascii="Arial" w:hAnsi="Arial"/>
          <w:sz w:val="22"/>
        </w:rPr>
        <w:t>Document that judgment-only QA loops back through a governed decision before verification.</w:t>
      </w:r>
    </w:p>
    <w:p>
      <w:pPr>
        <w:spacing w:before="0" w:after="160" w:line="280" w:lineRule="auto"/>
        <w:numPr>
          <w:ilvl w:val="0"/>
          <w:numId w:val="10"/>
        </w:numPr>
      </w:pPr>
      <w:r>
        <w:rPr>
          <w:rFonts w:ascii="Arial" w:hAnsi="Arial"/>
          <w:sz w:val="22"/>
        </w:rPr>
        <w:t>Clarify that the legacy workbook QA sheet retires at PostgreSQL cutover.</w:t>
      </w:r>
    </w:p>
    <w:p>
      <w:pPr>
        <w:spacing w:before="0" w:after="160" w:line="280" w:lineRule="auto"/>
        <w:numPr>
          <w:ilvl w:val="0"/>
          <w:numId w:val="10"/>
        </w:numPr>
      </w:pPr>
      <w:r>
        <w:rPr>
          <w:rFonts w:ascii="Arial" w:hAnsi="Arial"/>
          <w:sz w:val="22"/>
        </w:rPr>
        <w:t>Define source-registry authority, waiting-inventory retention, and refresh-before-admission policy.</w:t>
      </w:r>
    </w:p>
    <w:p>
      <w:pPr>
        <w:pStyle w:val="Heading1"/>
      </w:pPr>
      <w:r>
        <w:t>10. Implementation sequence</w:t>
      </w:r>
    </w:p>
    <w:p>
      <w:pPr>
        <w:spacing w:before="0" w:after="160" w:line="280" w:lineRule="auto"/>
        <w:numPr>
          <w:ilvl w:val="0"/>
          <w:numId w:val="13"/>
        </w:numPr>
      </w:pPr>
      <w:r>
        <w:rPr>
          <w:rFonts w:ascii="Arial" w:hAnsi="Arial"/>
          <w:b/>
          <w:sz w:val="22"/>
        </w:rPr>
        <w:t>Phase 0 — Align governance.</w:t>
      </w:r>
      <w:r>
        <w:rPr>
          <w:rFonts w:ascii="Arial" w:hAnsi="Arial"/>
          <w:sz w:val="22"/>
        </w:rPr>
        <w:t xml:space="preserve"> Write the architecture decision, reconcile conflicting documents, commit rollout order, define cap and maintenance reserve, and add contract tests.</w:t>
      </w:r>
    </w:p>
    <w:p>
      <w:pPr>
        <w:spacing w:before="0" w:after="160" w:line="280" w:lineRule="auto"/>
        <w:numPr>
          <w:ilvl w:val="0"/>
          <w:numId w:val="13"/>
        </w:numPr>
      </w:pPr>
      <w:r>
        <w:rPr>
          <w:rFonts w:ascii="Arial" w:hAnsi="Arial"/>
          <w:b/>
          <w:sz w:val="22"/>
        </w:rPr>
        <w:t>Phase 1 — Drain the current QA bottleneck.</w:t>
      </w:r>
      <w:r>
        <w:rPr>
          <w:rFonts w:ascii="Arial" w:hAnsi="Arial"/>
          <w:sz w:val="22"/>
        </w:rPr>
        <w:t xml:space="preserve"> Run geography first, then corroboration, operation evidence, and judgment-only batches. Operationalize risk-based PR review surfaces.</w:t>
      </w:r>
    </w:p>
    <w:p>
      <w:pPr>
        <w:spacing w:before="0" w:after="160" w:line="280" w:lineRule="auto"/>
        <w:numPr>
          <w:ilvl w:val="0"/>
          <w:numId w:val="13"/>
        </w:numPr>
      </w:pPr>
      <w:r>
        <w:rPr>
          <w:rFonts w:ascii="Arial" w:hAnsi="Arial"/>
          <w:b/>
          <w:sz w:val="22"/>
        </w:rPr>
        <w:t>Phase 2 — Operationalize final verification.</w:t>
      </w:r>
      <w:r>
        <w:rPr>
          <w:rFonts w:ascii="Arial" w:hAnsi="Arial"/>
          <w:sz w:val="22"/>
        </w:rPr>
        <w:t xml:space="preserve"> Build batch verification for identity, farm scope, current evidence, and duplicate handling. Return failures to routed QA.</w:t>
      </w:r>
    </w:p>
    <w:p>
      <w:pPr>
        <w:spacing w:before="0" w:after="160" w:line="280" w:lineRule="auto"/>
        <w:numPr>
          <w:ilvl w:val="0"/>
          <w:numId w:val="13"/>
        </w:numPr>
      </w:pPr>
      <w:r>
        <w:rPr>
          <w:rFonts w:ascii="Arial" w:hAnsi="Arial"/>
          <w:b/>
          <w:sz w:val="22"/>
        </w:rPr>
        <w:t>Phase 3 — Build orchestration.</w:t>
      </w:r>
      <w:r>
        <w:rPr>
          <w:rFonts w:ascii="Arial" w:hAnsi="Arial"/>
          <w:sz w:val="22"/>
        </w:rPr>
        <w:t xml:space="preserve"> Implement the next-action scheduler, lifecycle transitions, WIP enforcement, fingerprint approval, atomic promotion, and UI regeneration.</w:t>
      </w:r>
    </w:p>
    <w:p>
      <w:pPr>
        <w:spacing w:before="0" w:after="160" w:line="280" w:lineRule="auto"/>
        <w:numPr>
          <w:ilvl w:val="0"/>
          <w:numId w:val="13"/>
        </w:numPr>
      </w:pPr>
      <w:r>
        <w:rPr>
          <w:rFonts w:ascii="Arial" w:hAnsi="Arial"/>
          <w:b/>
          <w:sz w:val="22"/>
        </w:rPr>
        <w:t>Phase 4 — Add acquisition/admission separation.</w:t>
      </w:r>
      <w:r>
        <w:rPr>
          <w:rFonts w:ascii="Arial" w:hAnsi="Arial"/>
          <w:sz w:val="22"/>
        </w:rPr>
        <w:t xml:space="preserve"> Create the governed source registry, immutable raw landing contract, waiting inventory, jurisdiction routing, national identity screening, and admission gate.</w:t>
      </w:r>
    </w:p>
    <w:p>
      <w:pPr>
        <w:spacing w:before="0" w:after="160" w:line="280" w:lineRule="auto"/>
        <w:numPr>
          <w:ilvl w:val="0"/>
          <w:numId w:val="13"/>
        </w:numPr>
      </w:pPr>
      <w:r>
        <w:rPr>
          <w:rFonts w:ascii="Arial" w:hAnsi="Arial"/>
          <w:b/>
          <w:sz w:val="22"/>
        </w:rPr>
        <w:t>Phase 5 — Add regional scaling.</w:t>
      </w:r>
      <w:r>
        <w:rPr>
          <w:rFonts w:ascii="Arial" w:hAnsi="Arial"/>
          <w:sz w:val="22"/>
        </w:rPr>
        <w:t xml:space="preserve"> Enable parallel regional source work while preserving state release boundaries and shared source/identity services.</w:t>
      </w:r>
    </w:p>
    <w:p>
      <w:pPr>
        <w:spacing w:before="0" w:after="160" w:line="280" w:lineRule="auto"/>
        <w:numPr>
          <w:ilvl w:val="0"/>
          <w:numId w:val="13"/>
        </w:numPr>
      </w:pPr>
      <w:r>
        <w:rPr>
          <w:rFonts w:ascii="Arial" w:hAnsi="Arial"/>
          <w:b/>
          <w:sz w:val="22"/>
        </w:rPr>
        <w:t>Phase 6 — Close the recurring loop.</w:t>
      </w:r>
      <w:r>
        <w:rPr>
          <w:rFonts w:ascii="Arial" w:hAnsi="Arial"/>
          <w:sz w:val="22"/>
        </w:rPr>
        <w:t xml:space="preserve"> Fold recollection into the semiannual scanner using canonicalRebuild and integrate farm-owner corrections as a priority lane.</w:t>
      </w:r>
    </w:p>
    <w:p>
      <w:pPr>
        <w:pStyle w:val="Heading1"/>
      </w:pPr>
      <w:r>
        <w:t>11. Acceptance criteria</w:t>
      </w:r>
    </w:p>
    <w:p>
      <w:pPr>
        <w:spacing w:before="0" w:after="160" w:line="280" w:lineRule="auto"/>
        <w:numPr>
          <w:ilvl w:val="0"/>
          <w:numId w:val="10"/>
        </w:numPr>
      </w:pPr>
      <w:r>
        <w:rPr>
          <w:rFonts w:ascii="Arial" w:hAnsi="Arial"/>
          <w:sz w:val="22"/>
        </w:rPr>
        <w:t>The scheduler can explain every selected or deferred action from committed policy and current state.</w:t>
      </w:r>
    </w:p>
    <w:p>
      <w:pPr>
        <w:spacing w:before="0" w:after="160" w:line="280" w:lineRule="auto"/>
        <w:numPr>
          <w:ilvl w:val="0"/>
          <w:numId w:val="10"/>
        </w:numPr>
      </w:pPr>
      <w:r>
        <w:rPr>
          <w:rFonts w:ascii="Arial" w:hAnsi="Arial"/>
          <w:sz w:val="22"/>
        </w:rPr>
        <w:t>No net-new state candidates are admitted above the expansion QA cap without an explicit reviewed exception.</w:t>
      </w:r>
    </w:p>
    <w:p>
      <w:pPr>
        <w:spacing w:before="0" w:after="160" w:line="280" w:lineRule="auto"/>
        <w:numPr>
          <w:ilvl w:val="0"/>
          <w:numId w:val="10"/>
        </w:numPr>
      </w:pPr>
      <w:r>
        <w:rPr>
          <w:rFonts w:ascii="Arial" w:hAnsi="Arial"/>
          <w:sz w:val="22"/>
        </w:rPr>
        <w:t>Raw observations remain immutable, checksummed, attributable, and refreshable.</w:t>
      </w:r>
    </w:p>
    <w:p>
      <w:pPr>
        <w:spacing w:before="0" w:after="160" w:line="280" w:lineRule="auto"/>
        <w:numPr>
          <w:ilvl w:val="0"/>
          <w:numId w:val="10"/>
        </w:numPr>
      </w:pPr>
      <w:r>
        <w:rPr>
          <w:rFonts w:ascii="Arial" w:hAnsi="Arial"/>
          <w:sz w:val="22"/>
        </w:rPr>
        <w:t>Every admitted named candidate remains durable and receives a disposition without silent deletion.</w:t>
      </w:r>
    </w:p>
    <w:p>
      <w:pPr>
        <w:spacing w:before="0" w:after="160" w:line="280" w:lineRule="auto"/>
        <w:numPr>
          <w:ilvl w:val="0"/>
          <w:numId w:val="10"/>
        </w:numPr>
      </w:pPr>
      <w:r>
        <w:rPr>
          <w:rFonts w:ascii="Arial" w:hAnsi="Arial"/>
          <w:sz w:val="22"/>
        </w:rPr>
        <w:t>Every QA blocker routes to a strategy; the unrouted count is zero.</w:t>
      </w:r>
    </w:p>
    <w:p>
      <w:pPr>
        <w:spacing w:before="0" w:after="160" w:line="280" w:lineRule="auto"/>
        <w:numPr>
          <w:ilvl w:val="0"/>
          <w:numId w:val="10"/>
        </w:numPr>
      </w:pPr>
      <w:r>
        <w:rPr>
          <w:rFonts w:ascii="Arial" w:hAnsi="Arial"/>
          <w:sz w:val="22"/>
        </w:rPr>
        <w:t>Deterministic resolutions create paired entity changes and append-only decisions.</w:t>
      </w:r>
    </w:p>
    <w:p>
      <w:pPr>
        <w:spacing w:before="0" w:after="160" w:line="280" w:lineRule="auto"/>
        <w:numPr>
          <w:ilvl w:val="0"/>
          <w:numId w:val="10"/>
        </w:numPr>
      </w:pPr>
      <w:r>
        <w:rPr>
          <w:rFonts w:ascii="Arial" w:hAnsi="Arial"/>
          <w:sz w:val="22"/>
        </w:rPr>
        <w:t>Judgment-only residue cannot reach verification without a merged human decision.</w:t>
      </w:r>
    </w:p>
    <w:p>
      <w:pPr>
        <w:spacing w:before="0" w:after="160" w:line="280" w:lineRule="auto"/>
        <w:numPr>
          <w:ilvl w:val="0"/>
          <w:numId w:val="10"/>
        </w:numPr>
      </w:pPr>
      <w:r>
        <w:rPr>
          <w:rFonts w:ascii="Arial" w:hAnsi="Arial"/>
          <w:sz w:val="22"/>
        </w:rPr>
        <w:t>Every passing record has identity, farm-scope, current-evidence, and duplicate checks.</w:t>
      </w:r>
    </w:p>
    <w:p>
      <w:pPr>
        <w:spacing w:before="0" w:after="160" w:line="280" w:lineRule="auto"/>
        <w:numPr>
          <w:ilvl w:val="0"/>
          <w:numId w:val="10"/>
        </w:numPr>
      </w:pPr>
      <w:r>
        <w:rPr>
          <w:rFonts w:ascii="Arial" w:hAnsi="Arial"/>
          <w:sz w:val="22"/>
        </w:rPr>
        <w:t>Release approval is bound to the current fingerprint and invalidated by any governed input change.</w:t>
      </w:r>
    </w:p>
    <w:p>
      <w:pPr>
        <w:spacing w:before="0" w:after="160" w:line="280" w:lineRule="auto"/>
        <w:numPr>
          <w:ilvl w:val="0"/>
          <w:numId w:val="10"/>
        </w:numPr>
      </w:pPr>
      <w:r>
        <w:rPr>
          <w:rFonts w:ascii="Arial" w:hAnsi="Arial"/>
          <w:sz w:val="22"/>
        </w:rPr>
        <w:t>Promotion is atomic, rollback is demonstrated, and the UI artifact is regenerated from the promoted release.</w:t>
      </w:r>
    </w:p>
    <w:p>
      <w:pPr>
        <w:spacing w:before="0" w:after="160" w:line="280" w:lineRule="auto"/>
        <w:numPr>
          <w:ilvl w:val="0"/>
          <w:numId w:val="10"/>
        </w:numPr>
      </w:pPr>
      <w:r>
        <w:rPr>
          <w:rFonts w:ascii="Arial" w:hAnsi="Arial"/>
          <w:sz w:val="22"/>
        </w:rPr>
        <w:t>A semiannual rebuild can traverse the same pipeline without overwriting the current canonical state in place.</w:t>
      </w:r>
    </w:p>
    <w:p>
      <w:pPr>
        <w:pStyle w:val="Heading1"/>
      </w:pPr>
      <w:r>
        <w:t>12. Open parameters for owner approval</w:t>
      </w:r>
    </w:p>
    <w:tbl>
      <w:tblPr>
        <w:tblStyle w:val="TableGrid"/>
        <w:tblW w:type="dxa" w:w="9360"/>
        <w:jc w:val="left"/>
        <w:tblLayout w:type="fixed"/>
        <w:tblLook w:firstColumn="1" w:firstRow="1" w:lastColumn="0" w:lastRow="0" w:noHBand="0" w:noVBand="1" w:val="04A0"/>
        <w:tblInd w:type="dxa" w:w="120"/>
      </w:tblPr>
      <w:tblGrid>
        <w:gridCol w:w="2500"/>
        <w:gridCol w:w="3850"/>
        <w:gridCol w:w="3010"/>
      </w:tblGrid>
      <w:tr>
        <w:trPr>
          <w:tblHeader w:val="true"/>
          <w:cantSplit/>
        </w:trPr>
        <w:tc>
          <w:tcPr>
            <w:tcW w:type="dxa" w:w="25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Parameter</w:t>
            </w:r>
          </w:p>
        </w:tc>
        <w:tc>
          <w:tcPr>
            <w:tcW w:type="dxa" w:w="385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Recommended default</w:t>
            </w:r>
          </w:p>
        </w:tc>
        <w:tc>
          <w:tcPr>
            <w:tcW w:type="dxa" w:w="301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Decision needed</w:t>
            </w:r>
          </w:p>
        </w:tc>
      </w:tr>
      <w:tr>
        <w:trPr>
          <w:cantSplit/>
        </w:trPr>
        <w:tc>
          <w:tcPr>
            <w:tcW w:type="dxa" w:w="2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Expansion QA cap</w:t>
            </w:r>
          </w:p>
        </w:tc>
        <w:tc>
          <w:tcPr>
            <w:tcW w:type="dxa" w:w="3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Retain the current committed cap until backlog burn-down proves a better threshold</w:t>
            </w:r>
          </w:p>
        </w:tc>
        <w:tc>
          <w:tcPr>
            <w:tcW w:type="dxa" w:w="30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Confirm whether cap is absolute or ratio-based after stabilization.</w:t>
            </w:r>
          </w:p>
        </w:tc>
      </w:tr>
      <w:tr>
        <w:trPr>
          <w:cantSplit/>
        </w:trPr>
        <w:tc>
          <w:tcPr>
            <w:tcW w:type="dxa" w:w="2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Maintenance reserve</w:t>
            </w:r>
          </w:p>
        </w:tc>
        <w:tc>
          <w:tcPr>
            <w:tcW w:type="dxa" w:w="3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Reserve capacity independent of expansion admission</w:t>
            </w:r>
          </w:p>
        </w:tc>
        <w:tc>
          <w:tcPr>
            <w:tcW w:type="dxa" w:w="30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Choose a percentage or fixed monthly budget.</w:t>
            </w:r>
          </w:p>
        </w:tc>
      </w:tr>
      <w:tr>
        <w:trPr>
          <w:cantSplit/>
        </w:trPr>
        <w:tc>
          <w:tcPr>
            <w:tcW w:type="dxa" w:w="2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Waiting inventory freshness</w:t>
            </w:r>
          </w:p>
        </w:tc>
        <w:tc>
          <w:tcPr>
            <w:tcW w:type="dxa" w:w="3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Use evidence-grade freshness windows</w:t>
            </w:r>
          </w:p>
        </w:tc>
        <w:tc>
          <w:tcPr>
            <w:tcW w:type="dxa" w:w="30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Confirm whether stale snapshots are refreshed automatically or discarded and reacquired.</w:t>
            </w:r>
          </w:p>
        </w:tc>
      </w:tr>
      <w:tr>
        <w:trPr>
          <w:cantSplit/>
        </w:trPr>
        <w:tc>
          <w:tcPr>
            <w:tcW w:type="dxa" w:w="2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 review sampling</w:t>
            </w:r>
          </w:p>
        </w:tc>
        <w:tc>
          <w:tcPr>
            <w:tcW w:type="dxa" w:w="3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Risk-based deterministic sample plus full judgment-row review</w:t>
            </w:r>
          </w:p>
        </w:tc>
        <w:tc>
          <w:tcPr>
            <w:tcW w:type="dxa" w:w="30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Set minimum sample size by batch and strategy.</w:t>
            </w:r>
          </w:p>
        </w:tc>
      </w:tr>
      <w:tr>
        <w:trPr>
          <w:cantSplit/>
        </w:trPr>
        <w:tc>
          <w:tcPr>
            <w:tcW w:type="dxa" w:w="25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Regional concurrency</w:t>
            </w:r>
          </w:p>
        </w:tc>
        <w:tc>
          <w:tcPr>
            <w:tcW w:type="dxa" w:w="385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Start one active expansion state per region only after QA is below cap</w:t>
            </w:r>
          </w:p>
        </w:tc>
        <w:tc>
          <w:tcPr>
            <w:tcW w:type="dxa" w:w="301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Increase only when queue outflow consistently exceeds inflow.</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EAF2ED" w:val="clear"/>
            <w:tcBorders>
              <w:top w:val="single" w:sz="6" w:color="CBD3DC"/>
              <w:left w:val="single" w:sz="6" w:color="CBD3DC"/>
              <w:bottom w:val="single" w:sz="6" w:color="CBD3DC"/>
              <w:right w:val="single" w:sz="6" w:color="CBD3DC"/>
              <w:insideH w:val="single" w:sz="6" w:color="CBD3DC"/>
              <w:insideV w:val="single" w:sz="6" w:color="CBD3DC"/>
            </w:tcBorders>
            <w:tcMar>
              <w:top w:w="80" w:type="dxa"/>
              <w:bottom w:w="80" w:type="dxa"/>
              <w:start w:w="120" w:type="dxa"/>
              <w:end w:w="120" w:type="dxa"/>
            </w:tcMar>
          </w:tcPr>
          <w:p>
            <w:pPr>
              <w:spacing w:before="40" w:after="40" w:line="264" w:lineRule="auto"/>
            </w:pPr>
            <w:r>
              <w:rPr>
                <w:rFonts w:ascii="Arial" w:hAnsi="Arial"/>
                <w:b/>
                <w:color w:val="3F6B4F"/>
                <w:sz w:val="22"/>
              </w:rPr>
              <w:t xml:space="preserve">Final recommendation: </w:t>
            </w:r>
            <w:r>
              <w:rPr>
                <w:rFonts w:ascii="Arial" w:hAnsi="Arial"/>
                <w:sz w:val="22"/>
              </w:rPr>
              <w:t>Approve the hybrid rolling architecture and two human gates. First reconcile policy documents and drain the present QA queue; then implement final verification and orchestration before increasing acquisition concurrency.</w:t>
            </w:r>
          </w:p>
        </w:tc>
      </w:tr>
    </w:tbl>
    <w:p>
      <w:pPr>
        <w:spacing w:after="0"/>
      </w:pPr>
    </w:p>
    <w:p>
      <w:r>
        <w:br w:type="page"/>
      </w:r>
    </w:p>
    <w:p>
      <w:pPr>
        <w:pStyle w:val="Heading1"/>
      </w:pPr>
      <w:r>
        <w:t>Appendix A — Existing authoritative references</w:t>
      </w:r>
    </w:p>
    <w:p>
      <w:pPr>
        <w:spacing w:before="0" w:after="160" w:line="280" w:lineRule="auto"/>
        <w:numPr>
          <w:ilvl w:val="0"/>
          <w:numId w:val="10"/>
        </w:numPr>
      </w:pPr>
      <w:r>
        <w:rPr>
          <w:rFonts w:ascii="Arial" w:hAnsi="Arial"/>
          <w:sz w:val="22"/>
        </w:rPr>
        <w:t>AGENTS.md — session rules, current state, backpressure, and active workstream priority.</w:t>
      </w:r>
    </w:p>
    <w:p>
      <w:pPr>
        <w:spacing w:before="0" w:after="160" w:line="280" w:lineRule="auto"/>
        <w:numPr>
          <w:ilvl w:val="0"/>
          <w:numId w:val="10"/>
        </w:numPr>
      </w:pPr>
      <w:r>
        <w:rPr>
          <w:rFonts w:ascii="Arial" w:hAnsi="Arial"/>
          <w:sz w:val="22"/>
        </w:rPr>
        <w:t>01-database/qa-operations.md — blocker taxonomy, drain order, WIP limits, and intake cap.</w:t>
      </w:r>
    </w:p>
    <w:p>
      <w:pPr>
        <w:spacing w:before="0" w:after="160" w:line="280" w:lineRule="auto"/>
        <w:numPr>
          <w:ilvl w:val="0"/>
          <w:numId w:val="10"/>
        </w:numPr>
      </w:pPr>
      <w:r>
        <w:rPr>
          <w:rFonts w:ascii="Arial" w:hAnsi="Arial"/>
          <w:sz w:val="22"/>
        </w:rPr>
        <w:t>01-database/scalable-data-pipeline.md — classification, verification, release, and automation boundary.</w:t>
      </w:r>
    </w:p>
    <w:p>
      <w:pPr>
        <w:spacing w:before="0" w:after="160" w:line="280" w:lineRule="auto"/>
        <w:numPr>
          <w:ilvl w:val="0"/>
          <w:numId w:val="10"/>
        </w:numPr>
      </w:pPr>
      <w:r>
        <w:rPr>
          <w:rFonts w:ascii="Arial" w:hAnsi="Arial"/>
          <w:sz w:val="22"/>
        </w:rPr>
        <w:t>01-database/state-release-contract.md — lifecycle, four-file contract, evidence, approval, and canonical rebuild rules.</w:t>
      </w:r>
    </w:p>
    <w:p>
      <w:pPr>
        <w:spacing w:before="0" w:after="160" w:line="280" w:lineRule="auto"/>
        <w:numPr>
          <w:ilvl w:val="0"/>
          <w:numId w:val="10"/>
        </w:numPr>
      </w:pPr>
      <w:r>
        <w:rPr>
          <w:rFonts w:ascii="Arial" w:hAnsi="Arial"/>
          <w:sz w:val="22"/>
        </w:rPr>
        <w:t>01-database/state-expansion-and-verification.md — three-pass collection, county coverage, and semiannual scan.</w:t>
      </w:r>
    </w:p>
    <w:p>
      <w:pPr>
        <w:spacing w:before="0" w:after="160" w:line="280" w:lineRule="auto"/>
        <w:numPr>
          <w:ilvl w:val="0"/>
          <w:numId w:val="10"/>
        </w:numPr>
      </w:pPr>
      <w:r>
        <w:rPr>
          <w:rFonts w:ascii="Arial" w:hAnsi="Arial"/>
          <w:sz w:val="22"/>
        </w:rPr>
        <w:t>03-app/site/docs/architecture/decisions/0004-national-state-data-contract.md — accepted four-file state contract.</w:t>
      </w:r>
    </w:p>
    <w:p>
      <w:pPr>
        <w:spacing w:before="0" w:after="160" w:line="280" w:lineRule="auto"/>
        <w:numPr>
          <w:ilvl w:val="0"/>
          <w:numId w:val="10"/>
        </w:numPr>
      </w:pPr>
      <w:r>
        <w:rPr>
          <w:rFonts w:ascii="Arial" w:hAnsi="Arial"/>
          <w:sz w:val="22"/>
        </w:rPr>
        <w:t>03-app/site/docs/data-governance/cutover-runbook.md — PostgreSQL cutover and canonical promotion.</w:t>
      </w:r>
    </w:p>
    <w:p>
      <w:pPr>
        <w:pStyle w:val="Heading1"/>
      </w:pPr>
      <w:r>
        <w:t>Appendix B — Status language</w:t>
      </w:r>
    </w:p>
    <w:tbl>
      <w:tblPr>
        <w:tblStyle w:val="TableGrid"/>
        <w:tblW w:type="dxa" w:w="9360"/>
        <w:jc w:val="left"/>
        <w:tblLayout w:type="fixed"/>
        <w:tblLook w:firstColumn="1" w:firstRow="1" w:lastColumn="0" w:lastRow="0" w:noHBand="0" w:noVBand="1" w:val="04A0"/>
        <w:tblInd w:type="dxa" w:w="120"/>
      </w:tblPr>
      <w:tblGrid>
        <w:gridCol w:w="2700"/>
        <w:gridCol w:w="4200"/>
        <w:gridCol w:w="2460"/>
      </w:tblGrid>
      <w:tr>
        <w:trPr>
          <w:tblHeader w:val="true"/>
          <w:cantSplit/>
        </w:trPr>
        <w:tc>
          <w:tcPr>
            <w:tcW w:type="dxa" w:w="27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Status</w:t>
            </w:r>
          </w:p>
        </w:tc>
        <w:tc>
          <w:tcPr>
            <w:tcW w:type="dxa" w:w="420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Meaning</w:t>
            </w:r>
          </w:p>
        </w:tc>
        <w:tc>
          <w:tcPr>
            <w:tcW w:type="dxa" w:w="2460"/>
            <w:shd w:fill="F2F4F7" w:val="clear"/>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2" w:lineRule="auto"/>
            </w:pPr>
            <w:r>
              <w:rPr>
                <w:rFonts w:ascii="Arial" w:hAnsi="Arial"/>
                <w:b/>
                <w:color w:val="0B2545"/>
                <w:sz w:val="19"/>
              </w:rPr>
              <w:t>Canonical?</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research_or_qa_queue</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Retained candidate with unresolved routed blocker</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No</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promotion_eligible_</w:t>
              <w:br/>
              <w:t>reviewed</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Passed staged field, privacy, geography, identity, and evidence gates</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No</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eligible_staged</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Derived downstream verification handoff exists</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No</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verified_passing</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Passed final verification for a proposed immutable release</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Only through approval and promotion</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approved</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Release-level approval matches immutable fingerprint</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Ready for atomic promotion</w:t>
            </w:r>
          </w:p>
        </w:tc>
      </w:tr>
      <w:tr>
        <w:trPr>
          <w:cantSplit/>
        </w:trPr>
        <w:tc>
          <w:tcPr>
            <w:tcW w:type="dxa" w:w="27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promoted</w:t>
            </w:r>
          </w:p>
        </w:tc>
        <w:tc>
          <w:tcPr>
            <w:tcW w:type="dxa" w:w="420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Canonical release pointer moved atomically</w:t>
            </w:r>
          </w:p>
        </w:tc>
        <w:tc>
          <w:tcPr>
            <w:tcW w:type="dxa" w:w="2460"/>
            <w:tcBorders>
              <w:top w:val="single" w:sz="6" w:color="CBD3DC"/>
              <w:left w:val="single" w:sz="6" w:color="CBD3DC"/>
              <w:bottom w:val="single" w:sz="6" w:color="CBD3DC"/>
              <w:right w:val="single" w:sz="6" w:color="CBD3DC"/>
              <w:insideH w:val="single" w:sz="6" w:color="CBD3DC"/>
              <w:insideV w:val="single" w:sz="6" w:color="CBD3DC"/>
            </w:tcBorders>
            <w:vAlign w:val="center"/>
            <w:tcMar>
              <w:top w:w="80" w:type="dxa"/>
              <w:bottom w:w="80" w:type="dxa"/>
              <w:start w:w="120" w:type="dxa"/>
              <w:end w:w="120" w:type="dxa"/>
            </w:tcMar>
          </w:tcPr>
          <w:p>
            <w:pPr>
              <w:spacing w:before="20" w:after="20" w:line="259" w:lineRule="auto"/>
            </w:pPr>
            <w:r>
              <w:rPr>
                <w:rFonts w:ascii="Arial" w:hAnsi="Arial"/>
                <w:sz w:val="19"/>
              </w:rPr>
              <w:t>Yes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55555"/>
        <w:sz w:val="18"/>
      </w:rPr>
      <w:t xml:space="preserve">FarmFinder  |  July 17, 2026  |  </w:t>
    </w:r>
    <w:r>
      <w:rPr>
        <w:rFonts w:ascii="Arial" w:hAnsi="Arial"/>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55555"/>
        <w:sz w:val="17"/>
      </w:rPr>
      <w:t>FARMFINDER  ·  PIPELINE ARCHITECTURE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Arial" w:hAnsi="Arial"/>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FarmFinder Automated Data Pipeline — Architecture Decision</dc:title>
  <dc:subject>Efficient national intake, QA, verification, approval, and promotion</dc:subject>
  <dc:creator>FarmFinder</dc:creator>
  <cp:keywords>FarmFinder, data pipeline, architecture, QA, verification, intake, promotion</cp:keywords>
  <dc:description>Prepared from the July 17, 2026 pipeline architecture discussion.</dc:description>
  <cp:lastModifiedBy/>
  <cp:revision>1</cp:revision>
  <dcterms:created xsi:type="dcterms:W3CDTF">2013-12-23T23:15:00Z</dcterms:created>
  <dcterms:modified xsi:type="dcterms:W3CDTF">2013-12-23T23:15:00Z</dcterms:modified>
  <cp:category/>
</cp:coreProperties>
</file>