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pStyle w:val="Heading2"/>
        <w:keepLines w:val="0"/>
        <w:spacing w:before="280" w:line="240" w:lineRule="auto"/>
        <w:rPr>
          <w:rFonts w:ascii="Calibri" w:cs="Calibri" w:eastAsia="Calibri" w:hAnsi="Calibri"/>
          <w:b w:val="1"/>
          <w:bCs w:val="1"/>
          <w:color w:val="469e83"/>
          <w:sz w:val="30"/>
          <w:szCs w:val="30"/>
        </w:rPr>
      </w:pPr>
      <w:r w:rsidDel="00000000" w:rsidR="00000000" w:rsidRPr="00000000">
        <w:rPr>
          <w:rFonts w:ascii="Calibri" w:cs="Calibri" w:eastAsia="Calibri" w:hAnsi="Calibri"/>
          <w:b w:val="1"/>
          <w:bCs w:val="1"/>
          <w:color w:val="469e83"/>
          <w:sz w:val="30"/>
          <w:szCs w:val="30"/>
          <w:rtl w:val="0"/>
        </w:rPr>
        <w:t xml:space="preserve">Grant Opportunities and Annual Plan Linking — Business Requirements</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Extract from the Manih Grant Management System BRD covering how grant opportunities are created (UC28) and maintained (UC29), how opportunities, applications and projects are linked to annual plan items and initiatives (UC26), and the opportunity's post-approval defaults, including the default annual plan item charged when an application becomes a project (UC31). Use case, requirement (BRQ) and error (ERR) numbers are the same as in the full BRD.</w:t>
      </w:r>
      <w:sdt>
        <w:sdtPr>
          <w:id w:val="1685703371"/>
          <w:tag w:val="goog_rdk_0"/>
        </w:sdtPr>
        <w:sdtContent/>
      </w:sdt>
      <w:r w:rsidDel="00000000" w:rsidR="00000000" w:rsidRPr="00000000">
        <w:rPr>
          <w:b w:val="0"/>
          <w:bCs w:val="0"/>
          <w:i w:val="0"/>
          <w:iCs w:val="0"/>
          <w:rtl w:val="0"/>
        </w:rPr>
        <w:t xml:space="preserve"/>
      </w:r>
      <w:r w:rsidDel="00000000" w:rsidR="00000000" w:rsidRPr="00000000">
        <w:rPr>
          <w:b w:val="0"/>
          <w:bCs w:val="0"/>
          <w:i w:val="0"/>
          <w:iCs w:val="0"/>
          <w:rtl w:val="0"/>
        </w:rPr>
        <w:t xml:space="preserve"/>
      </w:r>
      <w:r w:rsidDel="00000000" w:rsidR="00000000" w:rsidRPr="00000000">
        <w:rPr>
          <w:b w:val="0"/>
          <w:bCs w:val="0"/>
          <w:i w:val="0"/>
          <w:iCs w:val="0"/>
          <w:rtl w:val="1"/>
        </w:rPr>
        <w:t xml:space="preserve"/>
      </w:r>
      <w:r w:rsidDel="00000000" w:rsidR="00000000" w:rsidRPr="00000000">
        <w:rPr>
          <w:b w:val="0"/>
          <w:bCs w:val="0"/>
          <w:i w:val="0"/>
          <w:iCs w:val="0"/>
          <w:rtl w:val="0"/>
        </w:rPr>
        <w:t xml:space="preserve"/>
      </w:r>
      <w:r w:rsidDel="00000000" w:rsidR="00000000" w:rsidRPr="00000000"/>
      <w:r w:rsidDel="00000000" w:rsidR="00000000" w:rsidRPr="00000000">
        <w:rPr>
          <w:b w:val="0"/>
          <w:bCs w:val="0"/>
          <w:i w:val="0"/>
          <w:iCs w:val="0"/>
          <w:rtl w:val="0"/>
        </w:rPr>
        <w:t xml:space="preserve"/>
      </w:r>
      <w:sdt>
        <w:sdtPr>
          <w:id w:val="-286941563"/>
          <w:tag w:val="goog_rdk_1"/>
        </w:sdtPr>
        <w:sdtContent/>
      </w:sdt>
      <w:r w:rsidDel="00000000" w:rsidR="00000000" w:rsidRPr="00000000">
        <w:rPr>
          <w:b w:val="0"/>
          <w:bCs w:val="0"/>
          <w:i w:val="0"/>
          <w:iCs w:val="0"/>
          <w:rtl w:val="0"/>
        </w:rPr>
        <w:t xml:space="preserve"/>
      </w:r>
      <w:r w:rsidDel="00000000" w:rsidR="00000000" w:rsidRPr="00000000"/>
      <w:r w:rsidDel="00000000" w:rsidR="00000000" w:rsidRPr="00000000">
        <w:rPr>
          <w:b w:val="0"/>
          <w:bCs w:val="0"/>
          <w:i w:val="0"/>
          <w:iCs w:val="0"/>
          <w:rtl w:val="0"/>
        </w:rPr>
        <w:t xml:space="preserve"/>
      </w:r>
      <w:r w:rsidDel="00000000" w:rsidR="00000000" w:rsidRPr="00000000">
        <w:rPr>
          <w:rtl w:val="0"/>
        </w:rPr>
      </w:r>
    </w:p>
    <w:p w:rsidR="00000000" w:rsidDel="00000000" w:rsidP="00000000" w:rsidRDefault="00000000" w:rsidRPr="00000000" w14:paraId="00000E8D">
      <w:pPr>
        <w:pStyle w:val="Heading3"/>
        <w:rPr/>
      </w:pPr>
      <w:r w:rsidDel="00000000" w:rsidR="00000000" w:rsidRPr="00000000">
        <w:rPr>
          <w:rtl w:val="0"/>
        </w:rPr>
        <w:t xml:space="preserve">4.6.2  UC28 – Create a grant opportunity</w:t>
      </w:r>
    </w:p>
    <w:tbl>
      <w:tblPr>
        <w:tblStyle w:val="Table6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8F">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92">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9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96">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E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A0">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E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5">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E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A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A">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EAE">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EB4">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EBA">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EC0">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EC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CB">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ECC">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EC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CF">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ED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D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D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D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1">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2">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E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7">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E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E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E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E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E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F06">
      <w:pPr>
        <w:spacing w:after="160" w:before="0" w:line="240" w:lineRule="auto"/>
        <w:ind w:left="0" w:firstLine="0"/>
        <w:rPr/>
      </w:pPr>
      <w:r w:rsidDel="00000000" w:rsidR="00000000" w:rsidRPr="00000000">
        <w:rPr>
          <w:rtl w:val="0"/>
        </w:rPr>
      </w:r>
    </w:p>
    <w:p w:rsidR="00000000" w:rsidDel="00000000" w:rsidP="00000000" w:rsidRDefault="00000000" w:rsidRPr="00000000" w14:paraId="00000F07">
      <w:pPr>
        <w:pStyle w:val="Heading3"/>
        <w:rPr/>
      </w:pPr>
      <w:r w:rsidDel="00000000" w:rsidR="00000000" w:rsidRPr="00000000">
        <w:rPr>
          <w:rtl w:val="0"/>
        </w:rPr>
        <w:t xml:space="preserve">4.6.3  UC29 – Maintain opportunity information, reception window and status</w:t>
      </w:r>
    </w:p>
    <w:tbl>
      <w:tblPr>
        <w:tblStyle w:val="Table6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0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1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13">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F14">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1A">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F1B">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F1C">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F1D">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F1E">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F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0">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5">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F26">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F2A">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F30">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F36">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F3C">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41">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F42">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F45">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F46">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48">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F4A">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4C">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F4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7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4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5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5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5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F5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5B">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5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6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6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F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F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F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F91">
      <w:pPr>
        <w:spacing w:after="160" w:before="0" w:line="240" w:lineRule="auto"/>
        <w:ind w:left="0" w:firstLine="0"/>
        <w:rPr/>
      </w:pPr>
      <w:r w:rsidDel="00000000" w:rsidR="00000000" w:rsidRPr="00000000">
        <w:rPr>
          <w:rtl w:val="0"/>
        </w:rPr>
      </w:r>
    </w:p>
    <w:p w:rsidR="00000000" w:rsidDel="00000000" w:rsidP="00000000" w:rsidRDefault="00000000" w:rsidRPr="00000000" w14:paraId="00000DBC">
      <w:pPr>
        <w:pStyle w:val="Heading3"/>
        <w:rPr/>
      </w:pPr>
      <w:r w:rsidDel="00000000" w:rsidR="00000000" w:rsidRPr="00000000">
        <w:rPr>
          <w:rtl w:val="0"/>
        </w:rPr>
        <w:t xml:space="preserve">4.5.3  UC26 – Link applications, projects and opportunities to plan items</w:t>
      </w:r>
    </w:p>
    <w:tbl>
      <w:tblPr>
        <w:tblStyle w:val="Table6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E">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C1">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C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DC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A">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D">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D0">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DD3">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D5">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DD6">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9">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DDA">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D">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0">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3">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6">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9">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C">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F">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2">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5">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D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6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0B">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E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1">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17">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E18">
      <w:pPr>
        <w:spacing w:after="160" w:before="0" w:line="240" w:lineRule="auto"/>
        <w:ind w:left="0" w:firstLine="0"/>
        <w:rPr/>
      </w:pPr>
      <w:r w:rsidDel="00000000" w:rsidR="00000000" w:rsidRPr="00000000">
        <w:rPr>
          <w:rtl w:val="0"/>
        </w:rPr>
      </w:r>
    </w:p>
    <w:p w:rsidR="00000000" w:rsidDel="00000000" w:rsidP="00000000" w:rsidRDefault="00000000" w:rsidRPr="00000000" w14:paraId="0000100E">
      <w:pPr>
        <w:pStyle w:val="Heading3"/>
        <w:rPr/>
      </w:pPr>
      <w:r w:rsidDel="00000000" w:rsidR="00000000" w:rsidRPr="00000000">
        <w:rPr>
          <w:rtl w:val="0"/>
        </w:rPr>
        <w:t xml:space="preserve">4.6.5  UC31 – Configure the opportunity workflow, evaluation, form and post-approval defaults</w:t>
      </w:r>
    </w:p>
    <w:tbl>
      <w:tblPr>
        <w:tblStyle w:val="Table7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01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1B">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101C">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23">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1024">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1025">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1026">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1027">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1028">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1029">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10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30">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1031">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103A">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C">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103D">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F">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1040">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2">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5">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1046">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B">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E">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1">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54">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105A">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10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7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1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0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10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7">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1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D">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10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3">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1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9">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10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0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09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1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B">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10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109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0">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1">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1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A7">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10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0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C">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D">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10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B2">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10B3">
      <w:pPr>
        <w:spacing w:after="160" w:before="0" w:line="240" w:lineRule="auto"/>
        <w:ind w:left="0" w:firstLine="0"/>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2">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3">
    <w:pPr>
      <w:ind w:firstLine="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4">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0F">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0">
    <w:pPr>
      <w:ind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1">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table" w:styleId="Table212">
    <w:basedOn w:val="TableNormal"/>
    <w:tblPr>
      <w:tblStyleRowBandSize w:val="1"/>
      <w:tblStyleColBandSize w:val="1"/>
      <w:tblCellMar>
        <w:top w:w="0.0" w:type="dxa"/>
        <w:left w:w="115.0" w:type="dxa"/>
        <w:bottom w:w="0.0" w:type="dxa"/>
        <w:right w:w="115.0" w:type="dxa"/>
      </w:tblCellMar>
    </w:tblPr>
  </w:style>
  <w:style w:type="table" w:styleId="Table213">
    <w:basedOn w:val="TableNormal"/>
    <w:tblPr>
      <w:tblStyleRowBandSize w:val="1"/>
      <w:tblStyleColBandSize w:val="1"/>
      <w:tblCellMar>
        <w:top w:w="0.0" w:type="dxa"/>
        <w:left w:w="115.0" w:type="dxa"/>
        <w:bottom w:w="0.0" w:type="dxa"/>
        <w:right w:w="115.0" w:type="dxa"/>
      </w:tblCellMar>
    </w:tblPr>
  </w:style>
  <w:style w:type="table" w:styleId="Table214">
    <w:basedOn w:val="TableNormal"/>
    <w:tblPr>
      <w:tblStyleRowBandSize w:val="1"/>
      <w:tblStyleColBandSize w:val="1"/>
      <w:tblCellMar>
        <w:top w:w="0.0" w:type="dxa"/>
        <w:left w:w="115.0" w:type="dxa"/>
        <w:bottom w:w="0.0" w:type="dxa"/>
        <w:right w:w="115.0" w:type="dxa"/>
      </w:tblCellMar>
    </w:tblPr>
  </w:style>
  <w:style w:type="table" w:styleId="Table2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hzZZbOmu1T1617fo5WmL2JIx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