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60" w:before="0" w:line="240" w:lineRule="auto"/>
        <w:ind w:left="0" w:firstLine="0"/>
      </w:pPr>
      <w:r>
        <w:rPr>
          <w:b/>
          <w:i w:val="0"/>
          <w:color w:val="4C8479"/>
          <w:sz w:val="48"/>
          <w:szCs w:val="48"/>
        </w:rPr>
        <w:t>Manih  |  مانح</w:t>
      </w:r>
    </w:p>
    <w:p>
      <w:pPr>
        <w:pBdr>
          <w:bottom w:val="single" w:sz="8" w:space="4" w:color="4C8479"/>
        </w:pBdr>
        <w:spacing w:after="200" w:before="0" w:line="240" w:lineRule="auto"/>
        <w:ind w:left="0" w:firstLine="0"/>
      </w:pPr>
      <w:r>
        <w:rPr>
          <w:b w:val="0"/>
          <w:i w:val="0"/>
          <w:color w:val="487E74"/>
          <w:sz w:val="28"/>
          <w:szCs w:val="28"/>
        </w:rPr>
        <w:t>Release Backlog — features in priority order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600"/>
        <w:gridCol w:w="7655"/>
      </w:tblGrid>
      <w:tr>
        <w:trPr>
          <w:cantSplit/>
        </w:trPr>
        <w:tc>
          <w:tcPr>
            <w:tcW w:type="dxa" w:w="2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Source</w:t>
            </w:r>
          </w:p>
        </w:tc>
        <w:tc>
          <w:tcPr>
            <w:tcW w:type="dxa" w:w="7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Manih Business Requirements Document (96 use cases)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Features</w:t>
            </w:r>
          </w:p>
        </w:tc>
        <w:tc>
          <w:tcPr>
            <w:tcW w:type="dxa" w:w="7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34 features in 8 releases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Date</w:t>
            </w:r>
          </w:p>
        </w:tc>
        <w:tc>
          <w:tcPr>
            <w:tcW w:type="dxa" w:w="7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21/10/2026</w:t>
            </w:r>
          </w:p>
        </w:tc>
      </w:tr>
      <w:tr>
        <w:trPr>
          <w:cantSplit/>
        </w:trPr>
        <w:tc>
          <w:tcPr>
            <w:tcW w:type="dxa" w:w="2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Status</w:t>
            </w:r>
          </w:p>
        </w:tc>
        <w:tc>
          <w:tcPr>
            <w:tcW w:type="dxa" w:w="7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Draft for review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2"/>
      </w:pPr>
      <w:r>
        <w:t>1.  How this backlog works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Each feature is a vertical slice: when it is done it can be released and used on its own.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A feature only depends on features in earlier releases (or earlier in the same release). Nothing waits for a later feature; anything that would is listed under “Later” and moved to the feature that delivers it.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Releases are in priority order. R1–R6 make the minimum end-to-end grant cycle (Must); R7–R8 add insight, efficiency and advanced models (Should / Could).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Size: S ≈ up to one sprint for one team; M ≈ one to two sprints. Larger items were split.</w:t>
      </w:r>
    </w:p>
    <w:p>
      <w:pPr>
        <w:spacing w:after="80" w:before="0" w:line="240" w:lineRule="auto"/>
        <w:ind w:left="360" w:hanging="280"/>
      </w:pPr>
      <w:r>
        <w:rPr>
          <w:b w:val="0"/>
          <w:i w:val="0"/>
        </w:rPr>
        <w:t>•  Detail stays in the BRD: each feature lists the use cases (UC) it delivers, for full rules, fields and messages.</w:t>
      </w:r>
    </w:p>
    <w:p>
      <w:pPr>
        <w:pStyle w:val="Heading2"/>
      </w:pPr>
      <w:r>
        <w:t>2.  The 5R check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8555"/>
      </w:tblGrid>
      <w:tr>
        <w:trPr>
          <w:cantSplit/>
          <w:tblHeader/>
        </w:trPr>
        <w:tc>
          <w:tcPr>
            <w:tcW w:type="dxa" w:w="1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Principle</w:t>
            </w:r>
          </w:p>
        </w:tc>
        <w:tc>
          <w:tcPr>
            <w:tcW w:type="dxa" w:w="8555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How the backlog meets it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Readable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One short card per feature: value, scope, what is not included, acceptance criteria. Plain business language.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Realistic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Built on what the prototype already shows working; production gaps (security, enforced roles) are inside the first features, not added later.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Relevant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Every feature states the value it gives a user or the business; the releases replace the manual process step by step.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Right-sized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Every feature is S or M; nothing larger than two sprints.</w:t>
            </w:r>
          </w:p>
        </w:tc>
      </w:tr>
      <w:tr>
        <w:trPr>
          <w:cantSplit/>
        </w:trPr>
        <w:tc>
          <w:tcPr>
            <w:tcW w:type="dxa" w:w="1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Ready</w:t>
            </w:r>
          </w:p>
        </w:tc>
        <w:tc>
          <w:tcPr>
            <w:tcW w:type="dxa" w:w="85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Each feature has testable acceptance criteria and only released dependencies. Features with an open business decision are flagged below — the decision must be taken before the sprint.</w:t>
            </w:r>
          </w:p>
        </w:tc>
      </w:tr>
    </w:tbl>
    <w:p>
      <w:pPr>
        <w:pStyle w:val="Heading2"/>
      </w:pPr>
      <w:r>
        <w:t>3.  Release roadmap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00"/>
        <w:gridCol w:w="2200"/>
        <w:gridCol w:w="4655"/>
        <w:gridCol w:w="2700"/>
      </w:tblGrid>
      <w:tr>
        <w:trPr>
          <w:cantSplit/>
          <w:tblHeader/>
        </w:trPr>
        <w:tc>
          <w:tcPr>
            <w:tcW w:type="dxa" w:w="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#</w:t>
            </w:r>
          </w:p>
        </w:tc>
        <w:tc>
          <w:tcPr>
            <w:tcW w:type="dxa" w:w="22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type="dxa" w:w="4655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Goal</w:t>
            </w:r>
          </w:p>
        </w:tc>
        <w:tc>
          <w:tcPr>
            <w:tcW w:type="dxa" w:w="2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Features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R1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Foundation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Staff can sign in with their own accounts and see only what their role allows.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F01, F02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Partner registry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register online and the foundation keeps one verified register of partners.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F03, F04, F05, F06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Plan &amp; opportunities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annual plan is digital and grant opportunities are published to eligible charities.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F07, F08, F09, F10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Applications &amp; decisions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apply online and staff review and decide applications with a full history.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F11, F12, F13, F14, F15, F16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Contracts &amp; projects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Approved grants become contracts and projects that are followed up with evidence.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F17, F18, F19, F20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R6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Payments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Grant payments are released against approved milestones through a controlled approval chain.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F21, F22, F23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Insight &amp; efficiency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Management gets live reporting, and staff get tools that save time.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F24, F25, F26, F27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22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Advanced grant types &amp; AI</w:t>
            </w:r>
          </w:p>
        </w:tc>
        <w:tc>
          <w:tcPr>
            <w:tcW w:type="dxa" w:w="46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Additional grant models and AI assistance on top of the working core.</w:t>
            </w:r>
          </w:p>
        </w:tc>
        <w:tc>
          <w:tcPr>
            <w:tcW w:type="dxa" w:w="2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F28, F29, F30, F31, F32, F33, F34</w:t>
            </w:r>
          </w:p>
        </w:tc>
      </w:tr>
    </w:tbl>
    <w:p>
      <w:pPr>
        <w:pStyle w:val="Heading2"/>
      </w:pPr>
      <w:r>
        <w:t>4.  Feature list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00"/>
        <w:gridCol w:w="3300"/>
        <w:gridCol w:w="650"/>
        <w:gridCol w:w="900"/>
        <w:gridCol w:w="600"/>
        <w:gridCol w:w="1500"/>
        <w:gridCol w:w="2605"/>
      </w:tblGrid>
      <w:tr>
        <w:trPr>
          <w:cantSplit/>
          <w:tblHeader/>
        </w:trPr>
        <w:tc>
          <w:tcPr>
            <w:tcW w:type="dxa" w:w="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ID</w:t>
            </w:r>
          </w:p>
        </w:tc>
        <w:tc>
          <w:tcPr>
            <w:tcW w:type="dxa" w:w="33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type="dxa" w:w="65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Rel.</w:t>
            </w:r>
          </w:p>
        </w:tc>
        <w:tc>
          <w:tcPr>
            <w:tcW w:type="dxa" w:w="9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</w:t>
            </w:r>
          </w:p>
        </w:tc>
        <w:tc>
          <w:tcPr>
            <w:tcW w:type="dxa" w:w="6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Size</w:t>
            </w:r>
          </w:p>
        </w:tc>
        <w:tc>
          <w:tcPr>
            <w:tcW w:type="dxa" w:w="15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2605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Staff accounts and secure sign-in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R1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UC01, UC08, UC09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Role-based workspace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R1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F01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UC02, UC11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self-registration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UC39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Registration review and partner register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UC49, UC50, UC56, UC57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portal access and team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F04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UC40, UC41, UC55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F06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profile and verification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R2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F05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UC46, UC51, UC52, UC53, UC54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F07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Annual plan and budget structure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UC19, UC20, UC21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F08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Publish a grant opportunity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F07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UC13, UC28, UC29, UC30, UC31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Opportunities on the public page and portal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F08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UC03, UC42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F10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Eligibility, partner groups and invitations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R3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UC32, UC36, UC43, UC58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Submit a grant application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UC44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My Tasks inbox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UC90, UC91, UC92, UC93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 review by stages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F11, F12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UC59, UC60, UC62, UC88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Evaluation criteria and pass score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follow-up and requested edits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UC45, UC63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F16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Committee decisions by minute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R4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UC64, UC95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Contract and project from an approved application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F16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UC67, UC69, UC70, UC71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F18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Project plan and start of execution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UC72, UC74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progress reports and milestone approval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F18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UC47, UC75, UC76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F20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Plan revisions and project closure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R5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UC77, UC78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 approval chain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R6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UC80, UC81, UC89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Disbursement order, transfer and receipt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R6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F21, F06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UC82, UC83, UC84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Payments register and commitments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R6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UC79, UC85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Budget monitoring and adjustments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900"/>
            <w:shd w:val="clear" w:color="auto" w:fill="E2EFDA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UC22, UC23, UC24, UC25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Endowments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F24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UC16, UC26, UC27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F26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Executive dashboard and reports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UC12, UC86, UC87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F27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Productivity tools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R7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F13, F21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UC04, UC06, UC07, UC94, UC96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F28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Configuration library and governance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UC14, UC15, UC18, UC34, UC38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F29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Custom roles and permissions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FFF2CC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UC10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F30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AI assistance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UC05, UC48, UC61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In-kind (product) grants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UC35, UC68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Tendered projects (RFP)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UC37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Multi-project grants, merges and funding conditions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UC65, UC66, UC73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Multi-organization platform</w:t>
            </w:r>
          </w:p>
        </w:tc>
        <w:tc>
          <w:tcPr>
            <w:tcW w:type="dxa" w:w="65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R8</w:t>
            </w:r>
          </w:p>
        </w:tc>
        <w:tc>
          <w:tcPr>
            <w:tcW w:type="dxa" w:w="900"/>
            <w:shd w:val="clear" w:color="auto" w:fill="EDEDED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Won't (this year)</w:t>
            </w:r>
          </w:p>
        </w:tc>
        <w:tc>
          <w:tcPr>
            <w:tcW w:type="dxa" w:w="6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260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UC17</w:t>
            </w:r>
          </w:p>
        </w:tc>
      </w:tr>
    </w:tbl>
    <w:p>
      <w:pPr>
        <w:pStyle w:val="Heading2"/>
      </w:pPr>
      <w:r>
        <w:t>5.  Decisions needed before the sprint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These features are ready except for one business decision. Taking it before sprint planning makes them fully Ready.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00"/>
        <w:gridCol w:w="3300"/>
        <w:gridCol w:w="6255"/>
      </w:tblGrid>
      <w:tr>
        <w:trPr>
          <w:cantSplit/>
          <w:tblHeader/>
        </w:trPr>
        <w:tc>
          <w:tcPr>
            <w:tcW w:type="dxa" w:w="7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ID</w:t>
            </w:r>
          </w:p>
        </w:tc>
        <w:tc>
          <w:tcPr>
            <w:tcW w:type="dxa" w:w="3300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type="dxa" w:w="6255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Decision needed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Role-based workspace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Q149 — should system roles be editable? (does not block: fixed roles ship first)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self-registration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Which identity verification is required for delegates (OTP only, or national ID)?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portal access and team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Can one person belong to more than one charity? (open comment in BRD)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 review by stages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Are the three stages fixed, or configurable per opportunity?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 approval chain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Are there amount thresholds that change the approval chain?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Payments register and commitments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Single definition of “paid” (after transfer or after receipt?)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F25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Endowments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How are endowment shares decided (equal, by size, manual)?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F26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Executive dashboard and reports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Which reports does management request today?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F29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Custom roles and permissions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Q149 — may system roles be edited, or only custom roles?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F30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AI assistance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Which AI provider, and what data may be sent to it?</w:t>
            </w:r>
          </w:p>
        </w:tc>
      </w:tr>
      <w:tr>
        <w:trPr>
          <w:cantSplit/>
        </w:trPr>
        <w:tc>
          <w:tcPr>
            <w:tcW w:type="dxa" w:w="7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F34</w:t>
            </w:r>
          </w:p>
        </w:tc>
        <w:tc>
          <w:tcPr>
            <w:tcW w:type="dxa" w:w="3300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Multi-organization platform</w:t>
            </w:r>
          </w:p>
        </w:tc>
        <w:tc>
          <w:tcPr>
            <w:tcW w:type="dxa" w:w="6255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Is Manih for one foundation or several?</w:t>
            </w:r>
          </w:p>
        </w:tc>
      </w:tr>
    </w:tbl>
    <w:p>
      <w:pPr>
        <w:pStyle w:val="Heading1"/>
        <w:pageBreakBefore/>
      </w:pPr>
      <w:r>
        <w:t>R1 — Foundation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Staff can sign in with their own accounts and see only what their role allows.</w:t>
      </w:r>
    </w:p>
    <w:p>
      <w:pPr>
        <w:pStyle w:val="Heading3"/>
      </w:pPr>
      <w:r>
        <w:t>F01  Staff accounts and secure sign-in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Every action in the system is done by a known person.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Individual staff accounts (name, email, role, department)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Sign in / sign out, forgotten password, session timeout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Add, edit and deactivate staff (no deletion of history)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Audit trail of sign-ins and account changes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Charity (partner) accounts → F03; custom roles → F29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active staff account, when the user signs in with correct credentials, then their home page opens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wrong credentials, when the user signs in, then access is refused with a generic message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deactivated account, when the user tries to sign in, then access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4. Given any sign-in or account change, then it is recorded with user and time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None — can start first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UC01, UC08, UC09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F02  Role-based workspace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Each person sees only the menus, pages and actions of their role.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Fixed system roles: Admin, Grants Manager, Reviewer, Committee Secretary, Project Manager, Finance, CEO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Menu and home page per role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Access enforced by the system on every page and action, not only by hiding menus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Departments list for organizing staff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Editable / custom roles → F29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Reviewer, when they open the system, then only their sections appear in the menu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user opens a page outside their role by link, then the system blocks it with an access-denied message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Admin changes a user's role, then the new access applies at the next action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UC02, UC11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Q149 — should system roles be editable? (does not block: fixed roles ship first)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R2 — Partner registry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Charities register online and the foundation keeps one verified register of partners.</w:t>
      </w:r>
    </w:p>
    <w:p>
      <w:pPr>
        <w:pStyle w:val="Heading3"/>
      </w:pPr>
      <w:r>
        <w:t>F03  Charity self-registration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register online instead of sending papers.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Registration with licence number, organization data and delegate details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Delegate mobile / email verification by one-time code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Required documents upload (licence, delegate authorization)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Registration status visible to the applicant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Joining an already registered charity → F05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new licence number, when the delegate completes the form and verifies the code, then a registration request is created with status Pending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licence number already registered, then the system stops a duplicate registration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missing required document, then the request cannot be submitted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Which identity verification is required for delegates (OTP only, or national ID)?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F04  Registration review and partner register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One trusted register of approved charities.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Queue of registration requests with documents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Approve / return / reject with reason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On approval: charity record and delegate account created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Partner directory with search, filters and Excel export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Add a charity manually and invite its delegate to activate the account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Bank verification and licence updates → F06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pending request, when the Grants Manager approves it, then the charity appears in the register and the delegate can sign in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request is returned or rejected, then a reason is mandatory and the applicant sees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directory, when the user filters by status, then only matching charities are listed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UC49, UC50, UC56, UC57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F05  Charity portal access and team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manage their own users without calling the foundation.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Charity users sign in to the portal; choose the charity if they belong to more than one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Primary delegate adds / deactivates team members (project manager, finance, member)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Transfer of the primary delegation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Join request to an existing charity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primary delegate, when they add a team member, then that person can sign in to the charity portal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non-delegate member, then they cannot add or remove team members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delegation is transferred, then the old delegate loses delegate rights immediately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UC40, UC41, UC55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Can one person belong to more than one charity? (open comment in BRD)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F06  Charity profile and verification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Funding goes only to verified charities and verified bank accounts.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Charity 360 profile: data, documents, decision history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Confirm or block a charity (with reason)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Bank account (IBAN certificate) verification by staff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Licence / official data update requested by the charity and reviewed by staff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charity uploads a new IBAN certificate, then the account stays Unverified until staff verify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blocked charity, then it cannot submit new applications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any confirm / block / verify decision, then it appears in the charity's history with user and time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UC46, UC51, UC52, UC53, UC54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R3 — Plan &amp; opportunities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The annual plan is digital and grant opportunities are published to eligible charities.</w:t>
      </w:r>
    </w:p>
    <w:p>
      <w:pPr>
        <w:pStyle w:val="Heading3"/>
      </w:pPr>
      <w:r>
        <w:t>F07  Annual plan and budget structure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annual budget is defined in the system instead of spreadsheets.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Create the annual plan with total budget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Plan tree: tracks → items → initiatives with budget per level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Edits recorded with an evidence document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Warning when child budgets exceed the parent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Budget adjustments and plan lock → F24; endowments → F25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new plan, when levels are added, then the tree shows each level's budget and the plan total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children budgets exceed the parent, then the system warns before saving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changes are saved, then an evidence document is required and the change is in the plan history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UC19, UC20, UC21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F08  Publish a grant opportunity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announces calls for grants in one place.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Create opportunity: name, description, budget, plan item, open / close dates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Application form from a simple form builder (fields, required flags)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Draft → Published → Closed status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Opportunity list with status and application count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Eligibility targeting and invitations → F10; workflow templates → F28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draft opportunity, then it is not visible to charities until published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published opportunity, when the close date passes, then it stops accepting applications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opportunity budget exceeds the plan item's available budget, then the system refuses to save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UC13, UC28, UC29, UC30, UC31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F09  Opportunities on the public page and portal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find open grants without contacting the foundation.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Public landing page listing published, open opportunities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Portal list of opportunities the charity can apply to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Opportunity details page with dates, budget and conditions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Filtering by eligibility → F10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published opportunity within its dates, then it appears on the public page and in the portal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visitor who is not signed in clicks Apply, then they are asked to sign in or register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UC03, UC42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F10  Eligibility, partner groups and invitations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Only the right charities can apply to each opportunity.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Eligibility rules per opportunity (applicant type, region, groups)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Partner groups for targeting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Private invitations to selected charities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Limit of applications per charity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charity that does not meet the rules, then the opportunity is not offered to it and it cannot apply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invited charity, when it opens the invitation, then it can apply even if the opportunity is private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per-charity limit is reached, then a new application is refused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UC32, UC36, UC43, UC58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R4 — Applications &amp; decisions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Charities apply online and staff review and decide applications with a full history.</w:t>
      </w:r>
    </w:p>
    <w:p>
      <w:pPr>
        <w:pStyle w:val="Heading3"/>
      </w:pPr>
      <w:r>
        <w:t>F11  Submit a grant application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Applications arrive complete and in one place.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Fill the opportunity's form in the portal, save as draft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Required attachments per opportunity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Requested amount, duration and bill of quantities (items)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Submit with confirmation; application number generated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AI pre-fill → F30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missing required field or attachment, then the application cannot be submitted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submitted application, then the charity sees it with status Submitted and cannot edit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opportunity is closed, then submission is refused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F12  My Tasks inbox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Every staff member sees their pending work in one list.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Inbox with tasks assigned to me, due dates and overdue flags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Manual tasks: create, assign, change status, comment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Meetings with date and attendees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List and calendar views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Bulk decisions and focus mode → F27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task is assigned to a user, then it appears in their inbox with its due date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task passes its due date, then it is flagged overdue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manual task, then only its creator or assignee can change it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UC90, UC91, UC92, UC93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F13  Application review by stages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Applications move through Reception → Study → Approval with clear owners and SLAs.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Review queue per stage with filters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Application dossier: data, attachments, history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Stage decision: approve to next stage, return for edits, reject (reason required)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Stage tasks created automatically in My Tasks with SLA days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Scoring and pass score → F14; committee minutes → F16; AI evaluation → F30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application at a stage, then a task is created for that stage's owners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reviewer approves, then the application moves to the next stage and the history records who and when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rejection, then a reason is mandatory and the charity is notified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F11, F12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UC59, UC60, UC62, UC88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Are the three stages fixed, or configurable per opportunity?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F14  Evaluation criteria and pass score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Applications are scored consistently and weak ones cannot be approved by mistake.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Evaluation criteria with weights per opportunity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Reviewers score each criterion with notes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Pass score: approval blocked below it, wherever the decision is taken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criteria weights that do not total 100%, then they cannot be saved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the total score is below the pass score, then approval is blocked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scored application, then the dossier shows each reviewer's score and notes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F15  Charity follow-up and requested edits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Charities see where their application is and respond quickly.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Application status and expected reply date in the portal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Returned for edits: charity edits the data / attachments and resubmits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Staff-proposed changes to amounts or quantities accepted or refused by the charity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application is returned for edits, then the charity can change its data and resubmit to the same stage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staff propose a new amount, then it applies only after the charity accepts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final decision, then the charity sees the decision and reason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UC45, UC63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F16  Committee decisions by minute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Committee decisions are recorded once and applied to all the applications they cover.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Committee secretary selects applications at the Approval stage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Minute with date, members, decision per application and the signed minute file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Decisions applied to all selected applications in one step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minute is saved with decisions, then each application moves according to its decision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minute without the signed file, then it cannot be finalized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 application decided by minute, then its history links to the minute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UC64, UC95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R5 — Contracts &amp; projects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Approved grants become contracts and projects that are followed up with evidence.</w:t>
      </w:r>
    </w:p>
    <w:p>
      <w:pPr>
        <w:pStyle w:val="Heading3"/>
      </w:pPr>
      <w:r>
        <w:t>F17  Contract and project from an approved application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Approved grants become signed contracts and trackable projects without retyping.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Contract generated from the application (parties, amount, items, payment schedule)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Payment schedule as % of amount per milestone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Contract signing status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Project created with budget and project manager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Splitting one application into several projects → F30C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approved application, when the Grants Manager transfers it, then one contract and one project are created with the approved amount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the payment schedule does not total 100%, then the transfer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contract is not signed, then project execution cannot start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UC67, UC69, UC70, UC71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F18  Project plan and start of execution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Each project has an agreed plan before work starts.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Project plan: milestones, activities, due dates, linked payments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Start execution (requires signed contract and complete plan)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Project portfolio list with status and overdue (stalled) flag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Plan changes after start → F20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signed contract and a complete plan, when the project manager starts execution, then the project status becomes In progress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activity passes its due date without approval, then the project is flagged stalled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UC72, UC74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F19  Charity progress reports and milestone approval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Progress is proven with evidence before money is released.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Charity submits task progress, evidence files and milestone reports in the portal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Project manager verifies evidence: accept or return with note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Milestone approved → its payment becomes due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Not in this feature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Indicators → F30C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charity submits a milestone report with evidence, then the project manager gets a task to verify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evidence is returned, then the charity sees the note and can resubmit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milestone is approved, then its linked payment becomes Due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UC47, UC75, UC76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F20  Plan revisions and project closure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Changes and closure are controlled and documented.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Request a plan revision with reason; approved by a different person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Close the project after all milestones are approved, with a final evaluation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revision request, then the requester cannot approve it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unapproved milestones, then the project cannot be closed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 project is closed, then no new tasks or payments can be added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UC77, UC78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R6 — Payments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Grant payments are released against approved milestones through a controlled approval chain.</w:t>
      </w:r>
    </w:p>
    <w:p>
      <w:pPr>
        <w:pStyle w:val="Heading3"/>
      </w:pPr>
      <w:r>
        <w:t>F21  Payment approval chain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No payment is released without the required approvals.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Due payments list per project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Submit a due payment for approval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Three-level approval: project manager → Grants Manager → CEO; reject with reason returns it to Due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Approval tasks created in My Tasks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due payment is submitted, then the project's manager gets an approval task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step 1 is approved, then the Grants Manager gets the next task; after step 2 the CEO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any rejection, then a reason is mandatory and the payment returns to Due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4. Given a person approved one step, then they cannot approve another step of the same payment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UC80, UC81, UC89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Are there amount thresholds that change the approval chain?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F22  Disbursement order, transfer and receipt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Finance pays the right account and every payment is closed with proof.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Disbursement order issued after final approval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Payee confirmed (charity's verified bank account; third party only with re-approval)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Finance records the bank transfer and uploads the transfer notice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Charity uploads the receipt voucher; payment closed as Paid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payment is fully approved, then a disbursement order is issued with a unique number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the bank account is not verified, then the transfer cannot be recorded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payee is changed after approval, then the approval chain restarts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4. Given the receipt voucher is uploaded, then the payment status becomes Paid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F21, F06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UC82, UC83, UC84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F23  Payments register and commitments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Finance and management see every payment and what is still owed.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Payments register with status, partner, project and amounts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Commitments per charity (scheduled vs paid)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Excel export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the register, then each payment shows its current status and who it waits for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charity, then its committed, due and paid totals add up to its contracts' amounts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UC79, UC85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Single definition of “paid” (after transfer or after receipt?)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R7 — Insight &amp; efficiency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Management gets live reporting, and staff get tools that save time.</w:t>
      </w:r>
    </w:p>
    <w:p>
      <w:pPr>
        <w:pStyle w:val="Heading3"/>
      </w:pPr>
      <w:r>
        <w:t>F24  Budget monitoring and adjustments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always knows used, committed, paid and available budget.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Live budget figures per plan level: committed, due, paid, available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Budget increase / decrease / transfer with evidence document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Financial operations register and plan history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Lock and reopen the plan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contract is signed, then the plan item's committed amount increases by the contract amount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decrease larger than the available amount, then it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any adjustment, then an evidence document is required and the operation is in the register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Must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UC22, UC23, UC24, UC25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F25  Endowments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Each endowment's share of the plan and its use are visible.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Register endowments (funding sources)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Record endowment funding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Endowment share per plan level and endowment report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endowments participate in a plan item, then the item's budget is split by their shares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endowment is used in a plan, then it cannot be deleted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UC16, UC26, UC27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How are endowment shares decided (equal, by size, manual)?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F26  Executive dashboard and reports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Management gets the numbers without asking the team.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Dashboard: budget, applications by stage, projects, payments, delays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Standard reports (applications, projects, payments, partners) with filters and Excel export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Staff workload and performance view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the dashboard, then figures match the registers they come from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report with filters, when exported, then the Excel file contains the same rows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F23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UC12, UC86, UC87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Which reports does management request today?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F27  Productivity tools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Staff spend less time navigating and deciding.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Global search across partners, applications, projects and payments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Saved views and list exports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Decide directly from a task, and bulk decisions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Focus mode for processing tasks one by one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search term, then results show only records the user may access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decision from a task or focus mode, then the same rules apply as on the application page (e.g. pass score)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F13, F21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UC04, UC06, UC07, UC94, UC96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1"/>
        <w:pageBreakBefore/>
      </w:pPr>
      <w:r>
        <w:t>R8 — Advanced grant types &amp; AI</w:t>
      </w:r>
    </w:p>
    <w:p>
      <w:pPr>
        <w:spacing w:after="160" w:before="0" w:line="240" w:lineRule="auto"/>
        <w:ind w:left="0" w:firstLine="0"/>
      </w:pPr>
      <w:r>
        <w:rPr>
          <w:b w:val="0"/>
          <w:i w:val="0"/>
        </w:rPr>
        <w:t>Additional grant models and AI assistance on top of the working core.</w:t>
      </w:r>
    </w:p>
    <w:p>
      <w:pPr>
        <w:pStyle w:val="Heading3"/>
      </w:pPr>
      <w:r>
        <w:t>F28  Configuration library and governance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Admins reuse setups and every sensitive change is traceable.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Workflow templates reusable across opportunities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Communication templates and reference lists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Applicant types open / closed for registration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Sensitive configuration changes require an evidence document and keep history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template is applied to an opportunity, then its stages and criteria are copied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sensitive setting is changed, then an evidence document is required and the old value is kept in history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UC14, UC15, UC18, UC34, UC38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F29  Custom roles and permissions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adapts access to its own structure.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Permission matrix (view / write / delete) by role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Create custom roles, optionally copying a system role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Enable / disable permissions for a whole role, with change history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permission is disabled for a role, then every user with that role loses it at their next action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custom role is assigned to staff, then it cannot be deleted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any permission change, then it is recorded with user, time and before / after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Should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UC10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Q149 — may system roles be edited, or only custom roles?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F30  AI assistance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AI saves time on forms and evaluation while people keep every decision.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AI pre-fill of application forms from uploaded documents (charity confirms)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AI document check on attachments (advisory)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AI evaluation summary for reviewers and external AI evaluation report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AI assistant for questions on grant data (read-only, proposes links)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AI proposes values, then nothing is saved until the user confirms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AI check flags a document, then the user can still proceed (advisory only)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the AI assistant answers, then it uses only data the user may access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UC05, UC48, UC61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Which AI provider, and what data may be sent to it?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F31  In-kind (product) grants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can grant products from its stock, not only money.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Product catalog with stock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Product opportunities and product requests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Approval deducts stock; delivery recorded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 request above available stock, then it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 product grant is approved, then stock is deducted once and delivery is tracked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F14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UC35, UC68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F32  Tendered projects (RFP)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The foundation can tender a defined project and award the best offer.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Define the tendered project (scope, deliverables, budget)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Invited charities submit offers; side-by-side comparison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Award to one evaluated offer; others closed with notice; contract and project created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offer above the budget, then it is refused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RFP is awarded, then only an evaluated offer above the pass score can win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an award, then all other offers are closed and notified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UC37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F33  Multi-project grants, merges and funding conditions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Complex grants are handled without workarounds.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Split one application into several projects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Merge applications of the same charity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Funding conditions, co-funding and indicators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Internal initiatives run by the foundation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an application is split, then the projects' budgets total the approved amount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co-funding conditions are unconfirmed, then final approval is blocked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3. Given merged applications, then one contract is created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F17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Could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UC65, UC66, UC73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Yes</w:t>
            </w:r>
          </w:p>
        </w:tc>
      </w:tr>
    </w:tbl>
    <w:p>
      <w:pPr>
        <w:spacing w:after="120" w:before="0" w:line="240" w:lineRule="auto"/>
        <w:ind w:left="0" w:firstLine="0"/>
      </w:pPr>
    </w:p>
    <w:p>
      <w:pPr>
        <w:pStyle w:val="Heading3"/>
      </w:pPr>
      <w:r>
        <w:t>F34  Multi-organization platform</w:t>
      </w:r>
    </w:p>
    <w:tbl>
      <w:tblPr>
        <w:tblW w:type="dxa" w:w="10255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772"/>
        <w:gridCol w:w="8483"/>
      </w:tblGrid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Value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Several grantor foundations can use the same platform separately.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Scope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Platform admin registers and suspends grantor organizations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• Strict data isolation between organizations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1. Given two organizations, then users of one never see the other's data</w:t>
            </w:r>
          </w:p>
          <w:p>
            <w:pPr>
              <w:spacing w:after="40" w:before="0" w:line="240" w:lineRule="auto"/>
              <w:ind w:left="240" w:hanging="240"/>
            </w:pPr>
            <w:r>
              <w:rPr>
                <w:b w:val="0"/>
                <w:i w:val="0"/>
                <w:sz w:val="19"/>
                <w:szCs w:val="19"/>
              </w:rPr>
              <w:t>2. Given an organization is suspended, then its users cannot sign in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Depends on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F02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Priority / size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Won't (this year)  ·  M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BRD use cases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UC17</w:t>
            </w:r>
          </w:p>
        </w:tc>
      </w:tr>
      <w:tr>
        <w:trPr>
          <w:cantSplit/>
        </w:trPr>
        <w:tc>
          <w:tcPr>
            <w:tcW w:type="dxa" w:w="1772"/>
            <w:shd w:val="clear" w:color="auto" w:fill="4C8479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/>
                <w:i w:val="0"/>
                <w:color w:val="FFFFFF"/>
                <w:sz w:val="19"/>
                <w:szCs w:val="19"/>
              </w:rPr>
              <w:t>Ready</w:t>
            </w:r>
          </w:p>
        </w:tc>
        <w:tc>
          <w:tcPr>
            <w:tcW w:type="dxa" w:w="8483"/>
            <w:vAlign w:val="center"/>
          </w:tcPr>
          <w:p>
            <w:pPr>
              <w:spacing w:after="40" w:before="0" w:line="240" w:lineRule="auto"/>
              <w:ind w:left="0" w:firstLine="0"/>
            </w:pPr>
            <w:r>
              <w:rPr>
                <w:b w:val="0"/>
                <w:i w:val="0"/>
                <w:sz w:val="19"/>
                <w:szCs w:val="19"/>
              </w:rPr>
              <w:t>Needs decision: Is Manih for one foundation or several?</w:t>
            </w:r>
          </w:p>
        </w:tc>
      </w:tr>
    </w:tbl>
    <w:p>
      <w:pPr>
        <w:spacing w:after="120" w:before="0" w:line="240" w:lineRule="auto"/>
        <w:ind w:left="0" w:firstLine="0"/>
      </w:pPr>
    </w:p>
    <w:sectPr>
      <w:headerReference r:id="rId11" w:type="default"/>
      <w:headerReference r:id="rId12" w:type="first"/>
      <w:headerReference r:id="rId13" w:type="even"/>
      <w:footerReference r:id="rId14" w:type="default"/>
      <w:footerReference r:id="rId15" w:type="first"/>
      <w:footerReference r:id="rId16" w:type="even"/>
      <w:pgSz w:h="16838" w:w="11906" w:orient="portrait"/>
      <w:pgMar w:bottom="720" w:top="720" w:left="720" w:right="720" w:header="720" w:footer="72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  <w:font w:name="Objectivity Ligh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Bdr>
        <w:top w:val="single" w:sz="4" w:space="4" w:color="BFBFBF"/>
      </w:pBdr>
      <w:tabs>
        <w:tab w:pos="10224" w:val="right"/>
      </w:tabs>
      <w:spacing w:after="0" w:before="0" w:line="240" w:lineRule="auto"/>
      <w:ind w:left="0" w:firstLine="0"/>
    </w:pPr>
    <w:r>
      <w:rPr>
        <w:b w:val="0"/>
        <w:i w:val="0"/>
        <w:color w:val="595959"/>
        <w:sz w:val="17"/>
        <w:szCs w:val="17"/>
      </w:rPr>
      <w:t>Manih Grant Management System — Release Backlog</w:t>
    </w:r>
    <w:r>
      <w:tab/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Bdr>
        <w:top w:val="single" w:sz="4" w:space="4" w:color="BFBFBF"/>
      </w:pBdr>
      <w:tabs>
        <w:tab w:pos="10224" w:val="right"/>
      </w:tabs>
      <w:spacing w:after="0" w:before="0" w:line="240" w:lineRule="auto"/>
      <w:ind w:left="0" w:firstLine="0"/>
    </w:pPr>
    <w:r>
      <w:rPr>
        <w:b w:val="0"/>
        <w:i w:val="0"/>
        <w:color w:val="595959"/>
        <w:sz w:val="17"/>
        <w:szCs w:val="17"/>
      </w:rPr>
      <w:t>Manih Grant Management System — Release Backlog</w:t>
    </w:r>
    <w:r>
      <w:tab/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/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Bdr>
        <w:bottom w:val="single" w:sz="8" w:space="4" w:color="4C8479"/>
      </w:pBdr>
      <w:tabs>
        <w:tab w:pos="10224" w:val="right"/>
      </w:tabs>
      <w:spacing w:after="0" w:before="0" w:line="240" w:lineRule="auto"/>
      <w:ind w:left="0" w:firstLine="0"/>
    </w:pPr>
    <w:r>
      <w:rPr>
        <w:b/>
        <w:i w:val="0"/>
        <w:color w:val="4C8479"/>
        <w:sz w:val="24"/>
        <w:szCs w:val="24"/>
      </w:rPr>
      <w:t>Manih  |  مانح</w:t>
    </w:r>
    <w:r>
      <w:tab/>
    </w:r>
    <w:r>
      <w:rPr>
        <w:b w:val="0"/>
        <w:i w:val="0"/>
        <w:color w:val="595959"/>
        <w:sz w:val="18"/>
        <w:szCs w:val="18"/>
      </w:rPr>
      <w:t>Release Backlog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pBdr>
        <w:bottom w:val="single" w:sz="8" w:space="4" w:color="4C8479"/>
      </w:pBdr>
      <w:tabs>
        <w:tab w:pos="10224" w:val="right"/>
      </w:tabs>
      <w:spacing w:after="0" w:before="0" w:line="240" w:lineRule="auto"/>
      <w:ind w:left="0" w:firstLine="0"/>
    </w:pPr>
    <w:r>
      <w:rPr>
        <w:b/>
        <w:i w:val="0"/>
        <w:color w:val="4C8479"/>
        <w:sz w:val="24"/>
        <w:szCs w:val="24"/>
      </w:rPr>
      <w:t>Manih  |  مانح</w:t>
    </w:r>
    <w:r>
      <w:tab/>
    </w:r>
    <w:r>
      <w:rPr>
        <w:b w:val="0"/>
        <w:i w:val="0"/>
        <w:color w:val="595959"/>
        <w:sz w:val="18"/>
        <w:szCs w:val="18"/>
      </w:rPr>
      <w:t>Release Backlog</w:t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50" w:hanging="360"/>
      </w:pPr>
      <w:rPr/>
    </w:lvl>
    <w:lvl w:ilvl="1">
      <w:start w:val="1"/>
      <w:numFmt w:val="decimal"/>
      <w:lvlText w:val="%1.%2"/>
      <w:lvlJc w:val="left"/>
      <w:pPr>
        <w:ind w:left="1570" w:hanging="720"/>
      </w:pPr>
      <w:rPr/>
    </w:lvl>
    <w:lvl w:ilvl="2">
      <w:start w:val="1"/>
      <w:numFmt w:val="decimal"/>
      <w:lvlText w:val="%1.%2.%3"/>
      <w:lvlJc w:val="left"/>
      <w:pPr>
        <w:ind w:left="1428" w:hanging="719.9999999999999"/>
      </w:pPr>
      <w:rPr/>
    </w:lvl>
    <w:lvl w:ilvl="3">
      <w:start w:val="1"/>
      <w:numFmt w:val="decimal"/>
      <w:lvlText w:val="%1.%2.%3.%4"/>
      <w:lvlJc w:val="left"/>
      <w:pPr>
        <w:ind w:left="1788" w:hanging="1080"/>
      </w:pPr>
      <w:rPr/>
    </w:lvl>
    <w:lvl w:ilvl="4">
      <w:start w:val="1"/>
      <w:numFmt w:val="decimal"/>
      <w:lvlText w:val="%1.%2.%3.%4.%5"/>
      <w:lvlJc w:val="left"/>
      <w:pPr>
        <w:ind w:left="2148" w:hanging="1440"/>
      </w:pPr>
      <w:rPr/>
    </w:lvl>
    <w:lvl w:ilvl="5">
      <w:start w:val="1"/>
      <w:numFmt w:val="decimal"/>
      <w:lvlText w:val="%1.%2.%3.%4.%5.%6"/>
      <w:lvlJc w:val="left"/>
      <w:pPr>
        <w:ind w:left="2148" w:hanging="1440"/>
      </w:pPr>
      <w:rPr/>
    </w:lvl>
    <w:lvl w:ilvl="6">
      <w:start w:val="1"/>
      <w:numFmt w:val="decimal"/>
      <w:lvlText w:val="%1.%2.%3.%4.%5.%6.%7"/>
      <w:lvlJc w:val="left"/>
      <w:pPr>
        <w:ind w:left="2508" w:hanging="1800"/>
      </w:pPr>
      <w:rPr/>
    </w:lvl>
    <w:lvl w:ilvl="7">
      <w:start w:val="1"/>
      <w:numFmt w:val="decimal"/>
      <w:lvlText w:val="%1.%2.%3.%4.%5.%6.%7.%8"/>
      <w:lvlJc w:val="left"/>
      <w:pPr>
        <w:ind w:left="2868" w:hanging="2160"/>
      </w:pPr>
      <w:rPr/>
    </w:lvl>
    <w:lvl w:ilvl="8">
      <w:start w:val="1"/>
      <w:numFmt w:val="decimal"/>
      <w:lvlText w:val="%1.%2.%3.%4.%5.%6.%7.%8.%9"/>
      <w:lvlJc w:val="left"/>
      <w:pPr>
        <w:ind w:left="2868" w:hanging="2160"/>
      </w:pPr>
      <w:rPr/>
    </w:lvl>
  </w:abstractNum>
  <w:abstractNum w:abstractNumId="4"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8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60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32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04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76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8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20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928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85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873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593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313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033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753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473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193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5913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decimal"/>
      <w:lvlText w:val="BRQ%1"/>
      <w:lvlJc w:val="center"/>
      <w:pPr>
        <w:ind w:left="785" w:hanging="360"/>
      </w:pPr>
      <w:rPr/>
    </w:lvl>
    <w:lvl w:ilvl="1">
      <w:start w:val="1"/>
      <w:numFmt w:val="lowerLetter"/>
      <w:lvlText w:val="%2."/>
      <w:lvlJc w:val="left"/>
      <w:pPr>
        <w:ind w:left="1505" w:hanging="360"/>
      </w:pPr>
      <w:rPr/>
    </w:lvl>
    <w:lvl w:ilvl="2">
      <w:start w:val="1"/>
      <w:numFmt w:val="lowerRoman"/>
      <w:lvlText w:val="%3."/>
      <w:lvlJc w:val="right"/>
      <w:pPr>
        <w:ind w:left="2225" w:hanging="180"/>
      </w:pPr>
      <w:rPr/>
    </w:lvl>
    <w:lvl w:ilvl="3">
      <w:start w:val="1"/>
      <w:numFmt w:val="decimal"/>
      <w:lvlText w:val="%4."/>
      <w:lvlJc w:val="left"/>
      <w:pPr>
        <w:ind w:left="2945" w:hanging="360"/>
      </w:pPr>
      <w:rPr/>
    </w:lvl>
    <w:lvl w:ilvl="4">
      <w:start w:val="1"/>
      <w:numFmt w:val="lowerLetter"/>
      <w:lvlText w:val="%5."/>
      <w:lvlJc w:val="left"/>
      <w:pPr>
        <w:ind w:left="3665" w:hanging="360"/>
      </w:pPr>
      <w:rPr/>
    </w:lvl>
    <w:lvl w:ilvl="5">
      <w:start w:val="1"/>
      <w:numFmt w:val="lowerRoman"/>
      <w:lvlText w:val="%6."/>
      <w:lvlJc w:val="right"/>
      <w:pPr>
        <w:ind w:left="4385" w:hanging="180"/>
      </w:pPr>
      <w:rPr/>
    </w:lvl>
    <w:lvl w:ilvl="6">
      <w:start w:val="1"/>
      <w:numFmt w:val="decimal"/>
      <w:lvlText w:val="%7."/>
      <w:lvlJc w:val="left"/>
      <w:pPr>
        <w:ind w:left="5105" w:hanging="360"/>
      </w:pPr>
      <w:rPr/>
    </w:lvl>
    <w:lvl w:ilvl="7">
      <w:start w:val="1"/>
      <w:numFmt w:val="lowerLetter"/>
      <w:lvlText w:val="%8."/>
      <w:lvlJc w:val="left"/>
      <w:pPr>
        <w:ind w:left="5825" w:hanging="360"/>
      </w:pPr>
      <w:rPr/>
    </w:lvl>
    <w:lvl w:ilvl="8">
      <w:start w:val="1"/>
      <w:numFmt w:val="lowerRoman"/>
      <w:lvlText w:val="%9."/>
      <w:lvlJc w:val="right"/>
      <w:pPr>
        <w:ind w:left="6545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630" w:hanging="360"/>
      </w:pPr>
      <w:rPr>
        <w:b w:val="0"/>
        <w:bCs w:val="0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decimal"/>
      <w:lvlText w:val="ERR%1"/>
      <w:lvlJc w:val="center"/>
      <w:pPr>
        <w:ind w:left="785" w:hanging="360"/>
      </w:pPr>
      <w:rPr/>
    </w:lvl>
    <w:lvl w:ilvl="1">
      <w:start w:val="1"/>
      <w:numFmt w:val="lowerLetter"/>
      <w:lvlText w:val="%2."/>
      <w:lvlJc w:val="left"/>
      <w:pPr>
        <w:ind w:left="1505" w:hanging="360"/>
      </w:pPr>
      <w:rPr/>
    </w:lvl>
    <w:lvl w:ilvl="2">
      <w:start w:val="1"/>
      <w:numFmt w:val="lowerRoman"/>
      <w:lvlText w:val="%3."/>
      <w:lvlJc w:val="right"/>
      <w:pPr>
        <w:ind w:left="2225" w:hanging="180"/>
      </w:pPr>
      <w:rPr/>
    </w:lvl>
    <w:lvl w:ilvl="3">
      <w:start w:val="1"/>
      <w:numFmt w:val="decimal"/>
      <w:lvlText w:val="%4."/>
      <w:lvlJc w:val="left"/>
      <w:pPr>
        <w:ind w:left="2945" w:hanging="360"/>
      </w:pPr>
      <w:rPr/>
    </w:lvl>
    <w:lvl w:ilvl="4">
      <w:start w:val="1"/>
      <w:numFmt w:val="lowerLetter"/>
      <w:lvlText w:val="%5."/>
      <w:lvlJc w:val="left"/>
      <w:pPr>
        <w:ind w:left="3665" w:hanging="360"/>
      </w:pPr>
      <w:rPr/>
    </w:lvl>
    <w:lvl w:ilvl="5">
      <w:start w:val="1"/>
      <w:numFmt w:val="lowerRoman"/>
      <w:lvlText w:val="%6."/>
      <w:lvlJc w:val="right"/>
      <w:pPr>
        <w:ind w:left="4385" w:hanging="180"/>
      </w:pPr>
      <w:rPr/>
    </w:lvl>
    <w:lvl w:ilvl="6">
      <w:start w:val="1"/>
      <w:numFmt w:val="decimal"/>
      <w:lvlText w:val="%7."/>
      <w:lvlJc w:val="left"/>
      <w:pPr>
        <w:ind w:left="5105" w:hanging="360"/>
      </w:pPr>
      <w:rPr/>
    </w:lvl>
    <w:lvl w:ilvl="7">
      <w:start w:val="1"/>
      <w:numFmt w:val="lowerLetter"/>
      <w:lvlText w:val="%8."/>
      <w:lvlJc w:val="left"/>
      <w:pPr>
        <w:ind w:left="5825" w:hanging="360"/>
      </w:pPr>
      <w:rPr/>
    </w:lvl>
    <w:lvl w:ilvl="8">
      <w:start w:val="1"/>
      <w:numFmt w:val="lowerRoman"/>
      <w:lvlText w:val="%9."/>
      <w:lvlJc w:val="right"/>
      <w:pPr>
        <w:ind w:left="6545" w:hanging="180"/>
      </w:pPr>
      <w:rPr/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decimal"/>
      <w:lvlText w:val="BRQ%1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decimal"/>
      <w:lvlText w:val="ERR%1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1"/>
      <w:numFmt w:val="decimal"/>
      <w:lvlText w:val="BRQ%1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9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61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05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77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21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decimal"/>
      <w:lvlText w:val="%1."/>
      <w:lvlJc w:val="left"/>
      <w:pPr>
        <w:ind w:left="540" w:hanging="360"/>
      </w:pPr>
      <w:rPr>
        <w:color w:val="469e83"/>
      </w:rPr>
    </w:lvl>
    <w:lvl w:ilvl="1">
      <w:start w:val="1"/>
      <w:numFmt w:val="decimal"/>
      <w:lvlText w:val="%1.%2"/>
      <w:lvlJc w:val="left"/>
      <w:pPr>
        <w:ind w:left="1080" w:hanging="360"/>
      </w:pPr>
      <w:rPr/>
    </w:lvl>
    <w:lvl w:ilvl="2">
      <w:start w:val="1"/>
      <w:numFmt w:val="decimal"/>
      <w:lvlText w:val="%1.%2.%3"/>
      <w:lvlJc w:val="left"/>
      <w:pPr>
        <w:ind w:left="2137" w:hanging="720"/>
      </w:pPr>
      <w:rPr/>
    </w:lvl>
    <w:lvl w:ilvl="3">
      <w:start w:val="1"/>
      <w:numFmt w:val="decimal"/>
      <w:lvlText w:val="%1.%2.%3.%4"/>
      <w:lvlJc w:val="left"/>
      <w:pPr>
        <w:ind w:left="2520" w:hanging="1080"/>
      </w:pPr>
      <w:rPr/>
    </w:lvl>
    <w:lvl w:ilvl="4">
      <w:start w:val="1"/>
      <w:numFmt w:val="decimal"/>
      <w:lvlText w:val="%1.%2.%3.%4.%5"/>
      <w:lvlJc w:val="left"/>
      <w:pPr>
        <w:ind w:left="2880" w:hanging="1080"/>
      </w:pPr>
      <w:rPr/>
    </w:lvl>
    <w:lvl w:ilvl="5">
      <w:start w:val="1"/>
      <w:numFmt w:val="decimal"/>
      <w:lvlText w:val="%1.%2.%3.%4.%5.%6"/>
      <w:lvlJc w:val="left"/>
      <w:pPr>
        <w:ind w:left="3600" w:hanging="1440"/>
      </w:pPr>
      <w:rPr/>
    </w:lvl>
    <w:lvl w:ilvl="6">
      <w:start w:val="1"/>
      <w:numFmt w:val="decimal"/>
      <w:lvlText w:val="%1.%2.%3.%4.%5.%6.%7"/>
      <w:lvlJc w:val="left"/>
      <w:pPr>
        <w:ind w:left="3960" w:hanging="1440"/>
      </w:pPr>
      <w:rPr/>
    </w:lvl>
    <w:lvl w:ilvl="7">
      <w:start w:val="1"/>
      <w:numFmt w:val="decimal"/>
      <w:lvlText w:val="%1.%2.%3.%4.%5.%6.%7.%8"/>
      <w:lvlJc w:val="left"/>
      <w:pPr>
        <w:ind w:left="4680" w:hanging="1800"/>
      </w:pPr>
      <w:rPr/>
    </w:lvl>
    <w:lvl w:ilvl="8">
      <w:start w:val="1"/>
      <w:numFmt w:val="decimal"/>
      <w:lvlText w:val="%1.%2.%3.%4.%5.%6.%7.%8.%9"/>
      <w:lvlJc w:val="left"/>
      <w:pPr>
        <w:ind w:left="5400" w:hanging="2160"/>
      </w:pPr>
      <w:rPr/>
    </w:lvl>
  </w:abstractNum>
  <w:abstractNum w:abstractNumId="20">
    <w:lvl w:ilvl="0">
      <w:start w:val="1"/>
      <w:numFmt w:val="bullet"/>
      <w:lvlText w:val="▪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●"/>
      <w:lvlJc w:val="left"/>
      <w:pPr>
        <w:ind w:left="99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71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43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15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7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9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31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03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75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99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71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43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15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7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9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31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03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75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cs="Courier New" w:eastAsia="Courier New" w:hAnsi="Courier New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5">
    <w:lvl w:ilvl="0">
      <w:start w:val="1"/>
      <w:numFmt w:val="bullet"/>
      <w:lvlText w:val="●"/>
      <w:lvlJc w:val="left"/>
      <w:pPr>
        <w:ind w:left="16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070" w:hanging="360"/>
      </w:pPr>
      <w:rPr>
        <w:rFonts w:ascii="Courier New" w:cs="Courier New" w:eastAsia="Courier New" w:hAnsi="Courier New"/>
      </w:rPr>
    </w:lvl>
    <w:lvl w:ilvl="2">
      <w:start w:val="1"/>
      <w:numFmt w:val="decimal"/>
      <w:lvlText w:val="%3."/>
      <w:lvlJc w:val="left"/>
      <w:pPr>
        <w:ind w:left="3060" w:hanging="360"/>
      </w:pPr>
      <w:rPr/>
    </w:lvl>
    <w:lvl w:ilvl="3">
      <w:start w:val="1"/>
      <w:numFmt w:val="decimal"/>
      <w:lvlText w:val="%4."/>
      <w:lvlJc w:val="left"/>
      <w:pPr>
        <w:ind w:left="3780" w:hanging="360"/>
      </w:pPr>
      <w:rPr/>
    </w:lvl>
    <w:lvl w:ilvl="4">
      <w:start w:val="1"/>
      <w:numFmt w:val="decimal"/>
      <w:lvlText w:val="%5."/>
      <w:lvlJc w:val="left"/>
      <w:pPr>
        <w:ind w:left="4500" w:hanging="360"/>
      </w:pPr>
      <w:rPr/>
    </w:lvl>
    <w:lvl w:ilvl="5">
      <w:start w:val="1"/>
      <w:numFmt w:val="decimal"/>
      <w:lvlText w:val="%6."/>
      <w:lvlJc w:val="left"/>
      <w:pPr>
        <w:ind w:left="5220" w:hanging="360"/>
      </w:pPr>
      <w:rPr/>
    </w:lvl>
    <w:lvl w:ilvl="6">
      <w:start w:val="1"/>
      <w:numFmt w:val="decimal"/>
      <w:lvlText w:val="%7."/>
      <w:lvlJc w:val="left"/>
      <w:pPr>
        <w:ind w:left="5940" w:hanging="360"/>
      </w:pPr>
      <w:rPr/>
    </w:lvl>
    <w:lvl w:ilvl="7">
      <w:start w:val="1"/>
      <w:numFmt w:val="decimal"/>
      <w:lvlText w:val="%8."/>
      <w:lvlJc w:val="left"/>
      <w:pPr>
        <w:ind w:left="6660" w:hanging="360"/>
      </w:pPr>
      <w:rPr/>
    </w:lvl>
    <w:lvl w:ilvl="8">
      <w:start w:val="1"/>
      <w:numFmt w:val="decimal"/>
      <w:lvlText w:val="%9."/>
      <w:lvlJc w:val="left"/>
      <w:pPr>
        <w:ind w:left="7380" w:hanging="360"/>
      </w:pPr>
      <w:rPr/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6"/>
      <w:numFmt w:val="bullet"/>
      <w:lvlText w:val="•"/>
      <w:lvlJc w:val="left"/>
      <w:pPr>
        <w:ind w:left="144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7">
    <w:lvl w:ilvl="0">
      <w:start w:val="1"/>
      <w:numFmt w:val="decimal"/>
      <w:lvlText w:val="%1."/>
      <w:lvlJc w:val="left"/>
      <w:pPr>
        <w:ind w:left="1170" w:hanging="360"/>
      </w:pPr>
      <w:rPr/>
    </w:lvl>
    <w:lvl w:ilvl="1">
      <w:start w:val="6"/>
      <w:numFmt w:val="bullet"/>
      <w:lvlText w:val="•"/>
      <w:lvlJc w:val="left"/>
      <w:pPr>
        <w:ind w:left="189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61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33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05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77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9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21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930" w:hanging="360"/>
      </w:pPr>
      <w:rPr>
        <w:rFonts w:ascii="Noto Sans Symbols" w:cs="Noto Sans Symbols" w:eastAsia="Noto Sans Symbols" w:hAnsi="Noto Sans Symbols"/>
      </w:rPr>
    </w:lvl>
  </w:abstractNum>
  <w:abstractNum w:abstractNumId="28">
    <w:lvl w:ilvl="0">
      <w:start w:val="1"/>
      <w:numFmt w:val="decimal"/>
      <w:lvlText w:val="%1."/>
      <w:lvlJc w:val="left"/>
      <w:pPr>
        <w:ind w:left="900" w:hanging="360"/>
      </w:pPr>
      <w:rPr/>
    </w:lvl>
    <w:lvl w:ilvl="1">
      <w:start w:val="1"/>
      <w:numFmt w:val="lowerLetter"/>
      <w:lvlText w:val="%2."/>
      <w:lvlJc w:val="left"/>
      <w:pPr>
        <w:ind w:left="2250" w:hanging="360"/>
      </w:pPr>
      <w:rPr/>
    </w:lvl>
    <w:lvl w:ilvl="2">
      <w:start w:val="1"/>
      <w:numFmt w:val="lowerRoman"/>
      <w:lvlText w:val="%3."/>
      <w:lvlJc w:val="right"/>
      <w:pPr>
        <w:ind w:left="2970" w:hanging="180"/>
      </w:pPr>
      <w:rPr/>
    </w:lvl>
    <w:lvl w:ilvl="3">
      <w:start w:val="1"/>
      <w:numFmt w:val="decimal"/>
      <w:lvlText w:val="%4."/>
      <w:lvlJc w:val="left"/>
      <w:pPr>
        <w:ind w:left="3690" w:hanging="360"/>
      </w:pPr>
      <w:rPr/>
    </w:lvl>
    <w:lvl w:ilvl="4">
      <w:start w:val="1"/>
      <w:numFmt w:val="lowerLetter"/>
      <w:lvlText w:val="%5."/>
      <w:lvlJc w:val="left"/>
      <w:pPr>
        <w:ind w:left="4410" w:hanging="360"/>
      </w:pPr>
      <w:rPr/>
    </w:lvl>
    <w:lvl w:ilvl="5">
      <w:start w:val="1"/>
      <w:numFmt w:val="lowerRoman"/>
      <w:lvlText w:val="%6."/>
      <w:lvlJc w:val="right"/>
      <w:pPr>
        <w:ind w:left="5130" w:hanging="180"/>
      </w:pPr>
      <w:rPr/>
    </w:lvl>
    <w:lvl w:ilvl="6">
      <w:start w:val="1"/>
      <w:numFmt w:val="decimal"/>
      <w:lvlText w:val="%7."/>
      <w:lvlJc w:val="left"/>
      <w:pPr>
        <w:ind w:left="5850" w:hanging="360"/>
      </w:pPr>
      <w:rPr/>
    </w:lvl>
    <w:lvl w:ilvl="7">
      <w:start w:val="1"/>
      <w:numFmt w:val="lowerLetter"/>
      <w:lvlText w:val="%8."/>
      <w:lvlJc w:val="left"/>
      <w:pPr>
        <w:ind w:left="6570" w:hanging="360"/>
      </w:pPr>
      <w:rPr/>
    </w:lvl>
    <w:lvl w:ilvl="8">
      <w:start w:val="1"/>
      <w:numFmt w:val="lowerRoman"/>
      <w:lvlText w:val="%9."/>
      <w:lvlJc w:val="right"/>
      <w:pPr>
        <w:ind w:left="7290" w:hanging="180"/>
      </w:pPr>
      <w:rPr/>
    </w:lvl>
  </w:abstractNum>
  <w:abstractNum w:abstractNumId="29">
    <w:lvl w:ilvl="0">
      <w:start w:val="1"/>
      <w:numFmt w:val="decimal"/>
      <w:lvlText w:val="BRQ%1"/>
      <w:lvlJc w:val="center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450" w:hanging="360"/>
      </w:pPr>
      <w:rPr/>
    </w:lvl>
    <w:lvl w:ilvl="1">
      <w:start w:val="1"/>
      <w:numFmt w:val="decimal"/>
      <w:lvlText w:val="%1.%2"/>
      <w:lvlJc w:val="left"/>
      <w:pPr>
        <w:ind w:left="1570" w:hanging="720"/>
      </w:pPr>
      <w:rPr/>
    </w:lvl>
    <w:lvl w:ilvl="2">
      <w:start w:val="1"/>
      <w:numFmt w:val="decimal"/>
      <w:lvlText w:val="%1.%2.%3"/>
      <w:lvlJc w:val="left"/>
      <w:pPr>
        <w:ind w:left="1428" w:hanging="719.9999999999999"/>
      </w:pPr>
      <w:rPr/>
    </w:lvl>
    <w:lvl w:ilvl="3">
      <w:start w:val="1"/>
      <w:numFmt w:val="decimal"/>
      <w:lvlText w:val="%1.%2.%3.%4"/>
      <w:lvlJc w:val="left"/>
      <w:pPr>
        <w:ind w:left="1788" w:hanging="1080"/>
      </w:pPr>
      <w:rPr/>
    </w:lvl>
    <w:lvl w:ilvl="4">
      <w:start w:val="1"/>
      <w:numFmt w:val="decimal"/>
      <w:lvlText w:val="%1.%2.%3.%4.%5"/>
      <w:lvlJc w:val="left"/>
      <w:pPr>
        <w:ind w:left="2148" w:hanging="1440"/>
      </w:pPr>
      <w:rPr/>
    </w:lvl>
    <w:lvl w:ilvl="5">
      <w:start w:val="1"/>
      <w:numFmt w:val="decimal"/>
      <w:lvlText w:val="%1.%2.%3.%4.%5.%6"/>
      <w:lvlJc w:val="left"/>
      <w:pPr>
        <w:ind w:left="2148" w:hanging="1440"/>
      </w:pPr>
      <w:rPr/>
    </w:lvl>
    <w:lvl w:ilvl="6">
      <w:start w:val="1"/>
      <w:numFmt w:val="decimal"/>
      <w:lvlText w:val="%1.%2.%3.%4.%5.%6.%7"/>
      <w:lvlJc w:val="left"/>
      <w:pPr>
        <w:ind w:left="2508" w:hanging="1800"/>
      </w:pPr>
      <w:rPr/>
    </w:lvl>
    <w:lvl w:ilvl="7">
      <w:start w:val="1"/>
      <w:numFmt w:val="decimal"/>
      <w:lvlText w:val="%1.%2.%3.%4.%5.%6.%7.%8"/>
      <w:lvlJc w:val="left"/>
      <w:pPr>
        <w:ind w:left="2868" w:hanging="2160"/>
      </w:pPr>
      <w:rPr/>
    </w:lvl>
    <w:lvl w:ilvl="8">
      <w:start w:val="1"/>
      <w:numFmt w:val="decimal"/>
      <w:lvlText w:val="%1.%2.%3.%4.%5.%6.%7.%8.%9"/>
      <w:lvlJc w:val="left"/>
      <w:pPr>
        <w:ind w:left="2868" w:hanging="2160"/>
      </w:pPr>
      <w:rPr/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2">
    <w:lvl w:ilvl="0">
      <w:start w:val="1"/>
      <w:numFmt w:val="decimal"/>
      <w:lvlText w:val="ERR%1"/>
      <w:lvlJc w:val="center"/>
      <w:pPr>
        <w:ind w:left="810" w:hanging="360"/>
      </w:pPr>
      <w:rPr/>
    </w:lvl>
    <w:lvl w:ilvl="1">
      <w:start w:val="1"/>
      <w:numFmt w:val="lowerLetter"/>
      <w:lvlText w:val="%2."/>
      <w:lvlJc w:val="left"/>
      <w:pPr>
        <w:ind w:left="1530" w:hanging="360"/>
      </w:pPr>
      <w:rPr/>
    </w:lvl>
    <w:lvl w:ilvl="2">
      <w:start w:val="1"/>
      <w:numFmt w:val="lowerRoman"/>
      <w:lvlText w:val="%3."/>
      <w:lvlJc w:val="right"/>
      <w:pPr>
        <w:ind w:left="2250" w:hanging="180"/>
      </w:pPr>
      <w:rPr/>
    </w:lvl>
    <w:lvl w:ilvl="3">
      <w:start w:val="1"/>
      <w:numFmt w:val="decimal"/>
      <w:lvlText w:val="%4."/>
      <w:lvlJc w:val="left"/>
      <w:pPr>
        <w:ind w:left="2970" w:hanging="360"/>
      </w:pPr>
      <w:rPr/>
    </w:lvl>
    <w:lvl w:ilvl="4">
      <w:start w:val="1"/>
      <w:numFmt w:val="lowerLetter"/>
      <w:lvlText w:val="%5."/>
      <w:lvlJc w:val="left"/>
      <w:pPr>
        <w:ind w:left="3690" w:hanging="360"/>
      </w:pPr>
      <w:rPr/>
    </w:lvl>
    <w:lvl w:ilvl="5">
      <w:start w:val="1"/>
      <w:numFmt w:val="lowerRoman"/>
      <w:lvlText w:val="%6."/>
      <w:lvlJc w:val="right"/>
      <w:pPr>
        <w:ind w:left="4410" w:hanging="180"/>
      </w:pPr>
      <w:rPr/>
    </w:lvl>
    <w:lvl w:ilvl="6">
      <w:start w:val="1"/>
      <w:numFmt w:val="decimal"/>
      <w:lvlText w:val="%7."/>
      <w:lvlJc w:val="left"/>
      <w:pPr>
        <w:ind w:left="5130" w:hanging="360"/>
      </w:pPr>
      <w:rPr/>
    </w:lvl>
    <w:lvl w:ilvl="7">
      <w:start w:val="1"/>
      <w:numFmt w:val="lowerLetter"/>
      <w:lvlText w:val="%8."/>
      <w:lvlJc w:val="left"/>
      <w:pPr>
        <w:ind w:left="5850" w:hanging="360"/>
      </w:pPr>
      <w:rPr/>
    </w:lvl>
    <w:lvl w:ilvl="8">
      <w:start w:val="1"/>
      <w:numFmt w:val="lowerRoman"/>
      <w:lvlText w:val="%9."/>
      <w:lvlJc w:val="right"/>
      <w:pPr>
        <w:ind w:left="6570" w:hanging="180"/>
      </w:pPr>
      <w:rPr/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81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53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25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297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69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41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13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585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updateFields w:val="true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bjectivity Light" w:cs="Objectivity Light" w:eastAsia="Objectivity Light" w:hAnsi="Objectivity Light"/>
        <w:color w:val="404040"/>
        <w:sz w:val="24"/>
        <w:szCs w:val="24"/>
        <w:lang w:val="en"/>
      </w:rPr>
    </w:rPrDefault>
    <w:pPrDefault>
      <w:pPr>
        <w:spacing w:after="160" w:line="259" w:lineRule="auto"/>
        <w:ind w:left="72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ind w:left="0"/>
    </w:pPr>
  </w:style>
  <w:style w:type="paragraph" w:styleId="Heading1">
    <w:name w:val="heading 1"/>
    <w:basedOn w:val="Normal"/>
    <w:next w:val="Normal"/>
    <w:pPr>
      <w:keepNext w:val="1"/>
      <w:spacing w:after="160" w:before="360" w:line="240" w:lineRule="auto"/>
      <w:ind w:left="0" w:firstLine="0"/>
    </w:pPr>
    <w:rPr>
      <w:b w:val="1"/>
      <w:bCs w:val="1"/>
      <w:color w:val="469e83"/>
      <w:sz w:val="44"/>
      <w:szCs w:val="44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Calibri" w:eastAsia="Calibri" w:hAnsi="Calibri"/>
      <w:b/>
      <w:bCs w:val="1"/>
      <w:i w:val="0"/>
      <w:iCs w:val="0"/>
      <w:smallCaps w:val="0"/>
      <w:strike w:val="0"/>
      <w:color w:val="469E83"/>
      <w:sz w:val="30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="240" w:lineRule="auto"/>
      <w:ind w:left="0" w:firstLine="0"/>
    </w:pPr>
    <w:rPr>
      <w:b w:val="1"/>
      <w:bCs w:val="1"/>
      <w:color w:val="487e74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  <w:ind w:left="864" w:hanging="864"/>
    </w:pPr>
    <w:rPr>
      <w:rFonts w:ascii="Calibri" w:cs="Calibri" w:eastAsia="Calibri" w:hAnsi="Calibri"/>
      <w:i w:val="1"/>
      <w:iCs w:val="1"/>
      <w:color w:val="2e75b5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e4d78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b w:val="1"/>
      <w:bCs w:val="1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unhideWhenUsed w:val="1"/>
    <w:qFormat w:val="1"/>
    <w:rsid w:val="00CB6DA5"/>
    <w:pPr>
      <w:keepNext w:val="1"/>
      <w:keepLines w:val="1"/>
      <w:numPr>
        <w:ilvl w:val="6"/>
        <w:numId w:val="1"/>
      </w:numPr>
      <w:spacing w:after="0" w:before="40"/>
      <w:outlineLvl w:val="6"/>
    </w:pPr>
    <w:rPr>
      <w:rFonts w:asciiTheme="majorHAnsi" w:cstheme="majorBidi" w:eastAsiaTheme="majorEastAsia" w:hAnsiTheme="majorHAnsi"/>
      <w:i w:val="1"/>
      <w:iCs w:val="1"/>
      <w:color w:val="1f4d78" w:themeColor="accent1" w:themeShade="00007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CB6DA5"/>
    <w:pPr>
      <w:keepNext w:val="1"/>
      <w:keepLines w:val="1"/>
      <w:numPr>
        <w:ilvl w:val="7"/>
        <w:numId w:val="1"/>
      </w:numPr>
      <w:spacing w:after="0" w:before="40"/>
      <w:outlineLvl w:val="7"/>
    </w:pPr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CB6DA5"/>
    <w:pPr>
      <w:keepNext w:val="1"/>
      <w:keepLines w:val="1"/>
      <w:numPr>
        <w:ilvl w:val="8"/>
        <w:numId w:val="1"/>
      </w:numPr>
      <w:spacing w:after="0" w:before="40"/>
      <w:outlineLvl w:val="8"/>
    </w:pPr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7B6FD7"/>
    <w:rPr>
      <w:rFonts w:asciiTheme="majorBidi" w:cstheme="majorBidi" w:eastAsiaTheme="majorEastAsia" w:hAnsiTheme="majorBidi"/>
      <w:b w:val="1"/>
      <w:color w:val="469e83"/>
      <w:kern w:val="32"/>
      <w:sz w:val="44"/>
      <w:szCs w:val="44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rsid w:val="00813999"/>
    <w:rPr>
      <w:rFonts w:asciiTheme="majorBidi" w:cstheme="majorBidi" w:eastAsiaTheme="majorEastAsia" w:hAnsiTheme="majorBidi"/>
      <w:b w:val="1"/>
      <w:bCs w:val="1"/>
      <w:color w:val="469e83"/>
      <w:kern w:val="32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194A21"/>
    <w:rPr>
      <w:rFonts w:eastAsia="Cambria" w:asciiTheme="majorBidi" w:cstheme="majorBidi" w:hAnsiTheme="majorBidi"/>
      <w:b w:val="1"/>
      <w:color w:val="487e74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rsid w:val="00CB6DA5"/>
    <w:rPr>
      <w:rFonts w:asciiTheme="majorHAnsi" w:cstheme="majorBidi" w:eastAsiaTheme="majorEastAsia" w:hAnsiTheme="majorHAnsi"/>
      <w:i w:val="1"/>
      <w:iCs w:val="1"/>
      <w:color w:val="2e74b5" w:themeColor="accent1" w:themeShade="0000BF"/>
      <w:sz w:val="24"/>
      <w:szCs w:val="40"/>
    </w:rPr>
  </w:style>
  <w:style w:type="character" w:styleId="Heading5Char" w:customStyle="1">
    <w:name w:val="Heading 5 Char"/>
    <w:basedOn w:val="DefaultParagraphFont"/>
    <w:link w:val="Heading5"/>
    <w:uiPriority w:val="9"/>
    <w:rsid w:val="00CB6DA5"/>
    <w:rPr>
      <w:rFonts w:asciiTheme="majorHAnsi" w:cstheme="majorBidi" w:eastAsiaTheme="majorEastAsia" w:hAnsiTheme="majorHAnsi"/>
      <w:color w:val="2e74b5" w:themeColor="accent1" w:themeShade="0000BF"/>
      <w:sz w:val="24"/>
      <w:szCs w:val="40"/>
    </w:rPr>
  </w:style>
  <w:style w:type="character" w:styleId="Heading6Char" w:customStyle="1">
    <w:name w:val="Heading 6 Char"/>
    <w:basedOn w:val="DefaultParagraphFont"/>
    <w:link w:val="Heading6"/>
    <w:uiPriority w:val="9"/>
    <w:rsid w:val="00CB6DA5"/>
    <w:rPr>
      <w:rFonts w:asciiTheme="majorHAnsi" w:cstheme="majorBidi" w:eastAsiaTheme="majorEastAsia" w:hAnsiTheme="majorHAnsi"/>
      <w:color w:val="1f4d78" w:themeColor="accent1" w:themeShade="00007F"/>
      <w:sz w:val="24"/>
      <w:szCs w:val="40"/>
    </w:rPr>
  </w:style>
  <w:style w:type="character" w:styleId="Heading7Char" w:customStyle="1">
    <w:name w:val="Heading 7 Char"/>
    <w:basedOn w:val="DefaultParagraphFont"/>
    <w:link w:val="Heading7"/>
    <w:uiPriority w:val="9"/>
    <w:rsid w:val="00CB6DA5"/>
    <w:rPr>
      <w:rFonts w:asciiTheme="majorHAnsi" w:cstheme="majorBidi" w:eastAsiaTheme="majorEastAsia" w:hAnsiTheme="majorHAnsi"/>
      <w:i w:val="1"/>
      <w:iCs w:val="1"/>
      <w:color w:val="1f4d78" w:themeColor="accent1" w:themeShade="00007F"/>
      <w:sz w:val="24"/>
      <w:szCs w:val="40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CB6DA5"/>
    <w:rPr>
      <w:rFonts w:asciiTheme="majorHAnsi" w:cstheme="majorBidi" w:eastAsiaTheme="majorEastAsia" w:hAnsiTheme="majorHAnsi"/>
      <w:color w:val="272727" w:themeColor="text1" w:themeTint="0000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CB6DA5"/>
    <w:rPr>
      <w:rFonts w:asciiTheme="majorHAnsi" w:cstheme="majorBidi" w:eastAsiaTheme="majorEastAsia" w:hAnsiTheme="majorHAnsi"/>
      <w:i w:val="1"/>
      <w:iCs w:val="1"/>
      <w:color w:val="272727" w:themeColor="text1" w:themeTint="0000D8"/>
      <w:sz w:val="21"/>
      <w:szCs w:val="21"/>
    </w:rPr>
  </w:style>
  <w:style w:type="table" w:styleId="TableGrid">
    <w:name w:val="Table Grid"/>
    <w:basedOn w:val="TableNormal"/>
    <w:uiPriority w:val="39"/>
    <w:rsid w:val="00CB6DA5"/>
    <w:pPr>
      <w:spacing w:after="0" w:line="240" w:lineRule="auto"/>
    </w:pPr>
    <w:rPr>
      <w:lang w:val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Header">
    <w:name w:val="header"/>
    <w:basedOn w:val="Normal"/>
    <w:link w:val="HeaderChar"/>
    <w:uiPriority w:val="99"/>
    <w:unhideWhenUsed w:val="1"/>
    <w:rsid w:val="00CB6DA5"/>
    <w:pPr>
      <w:tabs>
        <w:tab w:val="center" w:pos="4153"/>
        <w:tab w:val="right" w:pos="830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B6DA5"/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character" w:styleId="TitleChar" w:customStyle="1">
    <w:name w:val="Title Char"/>
    <w:basedOn w:val="DefaultParagraphFont"/>
    <w:link w:val="Title"/>
    <w:uiPriority w:val="10"/>
    <w:rsid w:val="00CB6DA5"/>
    <w:rPr>
      <w:rFonts w:ascii="Objectivity Light" w:hAnsi="Objectivity Light" w:cstheme="majorBidi" w:eastAsiaTheme="majorEastAsia"/>
      <w:b w:val="1"/>
      <w:bCs w:val="1"/>
      <w:color w:val="404040" w:themeColor="text1" w:themeTint="0000BF"/>
      <w:spacing w:val="-10"/>
      <w:kern w:val="28"/>
      <w:sz w:val="56"/>
      <w:szCs w:val="72"/>
    </w:rPr>
  </w:style>
  <w:style w:type="paragraph" w:styleId="NDB" w:customStyle="1">
    <w:name w:val="NDB"/>
    <w:basedOn w:val="Footer"/>
    <w:link w:val="NDBChar"/>
    <w:qFormat w:val="1"/>
    <w:rsid w:val="00CB6DA5"/>
    <w:pPr>
      <w:tabs>
        <w:tab w:val="clear" w:pos="4680"/>
        <w:tab w:val="clear" w:pos="9360"/>
        <w:tab w:val="center" w:pos="4153"/>
        <w:tab w:val="right" w:pos="8306"/>
      </w:tabs>
    </w:pPr>
  </w:style>
  <w:style w:type="character" w:styleId="NDBChar" w:customStyle="1">
    <w:name w:val="NDB Char"/>
    <w:basedOn w:val="DefaultParagraphFont"/>
    <w:link w:val="NDB"/>
    <w:rsid w:val="00CB6DA5"/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CB6DA5"/>
    <w:pPr>
      <w:keepLines w:val="1"/>
      <w:spacing w:line="259" w:lineRule="auto"/>
      <w:outlineLvl w:val="9"/>
    </w:pPr>
    <w:rPr>
      <w:rFonts w:asciiTheme="majorHAnsi" w:hAnsiTheme="majorHAnsi"/>
      <w:b w:val="0"/>
      <w:bCs w:val="1"/>
      <w:color w:val="2e74b5" w:themeColor="accent1" w:themeShade="0000BF"/>
      <w:kern w:val="0"/>
      <w:szCs w:val="32"/>
    </w:rPr>
  </w:style>
  <w:style w:type="paragraph" w:styleId="TOC2">
    <w:name w:val="toc 2"/>
    <w:basedOn w:val="Normal"/>
    <w:next w:val="Normal"/>
    <w:autoRedefine w:val="1"/>
    <w:uiPriority w:val="39"/>
    <w:unhideWhenUsed w:val="1"/>
    <w:rsid w:val="00CB6DA5"/>
    <w:pPr>
      <w:tabs>
        <w:tab w:val="left" w:pos="720"/>
        <w:tab w:val="right" w:leader="dot" w:pos="10456"/>
      </w:tabs>
      <w:spacing w:after="100"/>
      <w:ind w:left="220"/>
    </w:pPr>
    <w:rPr>
      <w:rFonts w:asciiTheme="minorHAnsi" w:eastAsiaTheme="minorEastAsia" w:hAnsiTheme="minorHAnsi"/>
      <w:noProof w:val="1"/>
      <w:color w:val="3b3838" w:themeColor="background2" w:themeShade="000040"/>
      <w:sz w:val="22"/>
      <w:szCs w:val="22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2E1367"/>
    <w:pPr>
      <w:tabs>
        <w:tab w:val="left" w:pos="440"/>
        <w:tab w:val="left" w:pos="1320"/>
        <w:tab w:val="right" w:leader="dot" w:pos="10456"/>
      </w:tabs>
      <w:spacing w:after="100"/>
    </w:pPr>
    <w:rPr>
      <w:rFonts w:asciiTheme="majorBidi" w:cstheme="majorBidi" w:eastAsiaTheme="minorEastAsia" w:hAnsiTheme="majorBidi"/>
      <w:b w:val="1"/>
      <w:bCs w:val="1"/>
      <w:noProof w:val="1"/>
      <w:color w:val="auto"/>
      <w:szCs w:val="24"/>
    </w:rPr>
  </w:style>
  <w:style w:type="paragraph" w:styleId="ListParagraph">
    <w:name w:val="List Paragraph"/>
    <w:aliases w:val="Use Case List Paragraph Char,YC Bulet,lp1,Bullet List,FooterText,numbered,Paragraphe de liste1,Bulet,3,POCG Table Text,Bullet Number,List Paragraph1,lp11,List Paragraph11,Bullet 1,Use Case List Paragraph,aList Paragraph,EsriNeA2,Liste 1"/>
    <w:basedOn w:val="Normal"/>
    <w:link w:val="ListParagraphChar"/>
    <w:uiPriority w:val="34"/>
    <w:qFormat w:val="1"/>
    <w:rsid w:val="00CB6DA5"/>
    <w:pPr>
      <w:contextualSpacing w:val="1"/>
    </w:pPr>
  </w:style>
  <w:style w:type="character" w:styleId="Hyperlink">
    <w:name w:val="Hyperlink"/>
    <w:basedOn w:val="DefaultParagraphFont"/>
    <w:uiPriority w:val="99"/>
    <w:unhideWhenUsed w:val="1"/>
    <w:rsid w:val="00CB6DA5"/>
    <w:rPr>
      <w:color w:val="0563c1" w:themeColor="hyperlink"/>
      <w:u w:val="single"/>
    </w:rPr>
  </w:style>
  <w:style w:type="paragraph" w:styleId="Style1" w:customStyle="1">
    <w:name w:val="Style1"/>
    <w:basedOn w:val="Heading1"/>
    <w:next w:val="Normal"/>
    <w:link w:val="Style1Char"/>
    <w:autoRedefine w:val="1"/>
    <w:qFormat w:val="1"/>
    <w:rsid w:val="008A065D"/>
    <w:pPr>
      <w:numPr>
        <w:numId w:val="4"/>
      </w:numPr>
    </w:pPr>
    <w:rPr>
      <w:rFonts w:eastAsia="Cambria"/>
      <w:szCs w:val="56"/>
    </w:rPr>
  </w:style>
  <w:style w:type="paragraph" w:styleId="BodyText">
    <w:name w:val="Body Text"/>
    <w:basedOn w:val="Normal"/>
    <w:link w:val="BodyTextChar"/>
    <w:rsid w:val="00CB6DA5"/>
    <w:pPr>
      <w:spacing w:after="0" w:line="240" w:lineRule="auto"/>
      <w:ind w:left="0"/>
    </w:pPr>
    <w:rPr>
      <w:rFonts w:ascii="Times New Roman" w:eastAsia="Times New Roman" w:hAnsi="Times New Roman"/>
      <w:color w:val="auto"/>
      <w:szCs w:val="20"/>
    </w:rPr>
  </w:style>
  <w:style w:type="character" w:styleId="BodyTextChar" w:customStyle="1">
    <w:name w:val="Body Text Char"/>
    <w:basedOn w:val="DefaultParagraphFont"/>
    <w:link w:val="BodyText"/>
    <w:rsid w:val="00CB6DA5"/>
    <w:rPr>
      <w:rFonts w:ascii="Times New Roman" w:cs="Times New Roman" w:eastAsia="Times New Roman" w:hAnsi="Times New Roman"/>
      <w:sz w:val="24"/>
      <w:szCs w:val="20"/>
    </w:rPr>
  </w:style>
  <w:style w:type="character" w:styleId="Style1Char" w:customStyle="1">
    <w:name w:val="Style1 Char"/>
    <w:basedOn w:val="Heading1Char"/>
    <w:link w:val="Style1"/>
    <w:rsid w:val="008A065D"/>
    <w:rPr>
      <w:rFonts w:eastAsia="Cambria" w:asciiTheme="majorBidi" w:cstheme="majorBidi" w:hAnsiTheme="majorBidi"/>
      <w:b w:val="1"/>
      <w:color w:val="469e83"/>
      <w:kern w:val="32"/>
      <w:sz w:val="44"/>
      <w:szCs w:val="56"/>
      <w:lang w:val="en-GB"/>
    </w:rPr>
  </w:style>
  <w:style w:type="paragraph" w:styleId="Footer">
    <w:name w:val="footer"/>
    <w:basedOn w:val="Normal"/>
    <w:link w:val="FooterChar"/>
    <w:uiPriority w:val="99"/>
    <w:unhideWhenUsed w:val="1"/>
    <w:rsid w:val="00CB6DA5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B6DA5"/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644694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 w:val="1"/>
    <w:unhideWhenUsed w:val="1"/>
    <w:rsid w:val="00EB41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/>
    </w:pPr>
    <w:rPr>
      <w:rFonts w:ascii="Courier New" w:cs="Courier New" w:eastAsia="Times New Roman" w:hAnsi="Courier New"/>
      <w:color w:val="auto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 w:val="1"/>
    <w:rsid w:val="00EB4164"/>
    <w:rPr>
      <w:rFonts w:ascii="Courier New" w:cs="Courier New" w:eastAsia="Times New Roman" w:hAnsi="Courier New"/>
      <w:sz w:val="20"/>
      <w:szCs w:val="20"/>
    </w:rPr>
  </w:style>
  <w:style w:type="character" w:styleId="y2iqfc" w:customStyle="1">
    <w:name w:val="y2iqfc"/>
    <w:basedOn w:val="DefaultParagraphFont"/>
    <w:rsid w:val="00EB4164"/>
  </w:style>
  <w:style w:type="character" w:styleId="FollowedHyperlink">
    <w:name w:val="FollowedHyperlink"/>
    <w:basedOn w:val="DefaultParagraphFont"/>
    <w:uiPriority w:val="99"/>
    <w:semiHidden w:val="1"/>
    <w:unhideWhenUsed w:val="1"/>
    <w:rsid w:val="00491EA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 w:val="1"/>
    <w:rsid w:val="00187268"/>
    <w:pPr>
      <w:spacing w:after="0" w:line="240" w:lineRule="auto"/>
      <w:ind w:left="0"/>
    </w:pPr>
    <w:rPr>
      <w:rFonts w:ascii="Times New Roman" w:hAnsi="Times New Roman" w:eastAsiaTheme="minorHAnsi"/>
      <w:color w:val="auto"/>
      <w:szCs w:val="24"/>
    </w:rPr>
  </w:style>
  <w:style w:type="paragraph" w:styleId="ListBullet">
    <w:name w:val="List Bullet"/>
    <w:basedOn w:val="Normal"/>
    <w:uiPriority w:val="99"/>
    <w:unhideWhenUsed w:val="1"/>
    <w:rsid w:val="00533E3B"/>
    <w:pPr>
      <w:numPr>
        <w:numId w:val="2"/>
      </w:numPr>
      <w:spacing w:after="0" w:line="240" w:lineRule="auto"/>
      <w:contextualSpacing w:val="1"/>
    </w:pPr>
    <w:rPr>
      <w:rFonts w:asciiTheme="minorHAnsi" w:cstheme="minorBidi" w:eastAsiaTheme="minorHAnsi" w:hAnsiTheme="minorHAnsi"/>
      <w:color w:val="auto"/>
      <w:szCs w:val="24"/>
    </w:rPr>
  </w:style>
  <w:style w:type="paragraph" w:styleId="TableParagraph" w:customStyle="1">
    <w:name w:val="Table Paragraph"/>
    <w:basedOn w:val="Normal"/>
    <w:uiPriority w:val="1"/>
    <w:qFormat w:val="1"/>
    <w:rsid w:val="00C93920"/>
    <w:pPr>
      <w:spacing w:after="0" w:before="1" w:line="240" w:lineRule="auto"/>
      <w:ind w:left="110"/>
    </w:pPr>
    <w:rPr>
      <w:rFonts w:ascii="Times New Roman" w:eastAsia="Times New Roman" w:hAnsi="Times New Roman"/>
      <w:color w:val="auto"/>
      <w:szCs w:val="24"/>
      <w:lang w:eastAsia="en-GB"/>
    </w:rPr>
  </w:style>
  <w:style w:type="paragraph" w:styleId="NoSpacing">
    <w:name w:val="No Spacing"/>
    <w:uiPriority w:val="1"/>
    <w:qFormat w:val="1"/>
    <w:rsid w:val="00036714"/>
    <w:pPr>
      <w:spacing w:after="0" w:line="240" w:lineRule="auto"/>
      <w:ind w:left="720"/>
    </w:pPr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table" w:styleId="GridTable2-Accent6">
    <w:name w:val="Grid Table 2 Accent 6"/>
    <w:basedOn w:val="TableNormal"/>
    <w:uiPriority w:val="47"/>
    <w:rsid w:val="00814789"/>
    <w:pPr>
      <w:spacing w:after="0" w:line="240" w:lineRule="auto"/>
    </w:pPr>
    <w:tblPr>
      <w:tblStyleRowBandSize w:val="1"/>
      <w:tblStyleColBandSize w:val="1"/>
      <w:tblBorders>
        <w:top w:color="a8d08d" w:space="0" w:sz="2" w:themeColor="accent6" w:themeTint="000099" w:val="single"/>
        <w:bottom w:color="a8d08d" w:space="0" w:sz="2" w:themeColor="accent6" w:themeTint="000099" w:val="single"/>
        <w:insideH w:color="a8d08d" w:space="0" w:sz="2" w:themeColor="accent6" w:themeTint="000099" w:val="single"/>
        <w:insideV w:color="a8d08d" w:space="0" w:sz="2" w:themeColor="accent6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a8d08d" w:space="0" w:sz="12" w:themeColor="accent6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a8d08d" w:space="0" w:sz="2" w:themeColor="accent6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2efd9" w:themeFill="accent6" w:themeFillTint="000033" w:val="clear"/>
      </w:tcPr>
    </w:tblStylePr>
    <w:tblStylePr w:type="band1Horz">
      <w:tblPr/>
      <w:tcPr>
        <w:shd w:color="auto" w:fill="e2efd9" w:themeFill="accent6" w:themeFillTint="000033" w:val="clear"/>
      </w:tcPr>
    </w:tblStylePr>
  </w:style>
  <w:style w:type="table" w:styleId="GridTable3">
    <w:name w:val="Grid Table 3"/>
    <w:basedOn w:val="TableNormal"/>
    <w:uiPriority w:val="48"/>
    <w:rsid w:val="00814789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 w:val="1"/>
        <w:iCs w:val="1"/>
      </w:rPr>
      <w:tblPr/>
      <w:tcPr>
        <w:tcBorders>
          <w:top w:space="0" w:sz="0" w:val="nil"/>
          <w:left w:space="0" w:sz="0" w:val="nil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i w:val="1"/>
        <w:iCs w:val="1"/>
      </w:rPr>
      <w:tblPr/>
      <w:tcPr>
        <w:tcBorders>
          <w:top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  <w:tblStylePr w:type="neCell">
      <w:tblPr/>
      <w:tcPr>
        <w:tcBorders>
          <w:bottom w:color="666666" w:space="0" w:sz="4" w:themeColor="text1" w:themeTint="000099" w:val="single"/>
        </w:tcBorders>
      </w:tcPr>
    </w:tblStylePr>
    <w:tblStylePr w:type="nwCell">
      <w:tblPr/>
      <w:tcPr>
        <w:tcBorders>
          <w:bottom w:color="666666" w:space="0" w:sz="4" w:themeColor="text1" w:themeTint="000099" w:val="single"/>
        </w:tcBorders>
      </w:tcPr>
    </w:tblStylePr>
    <w:tblStylePr w:type="seCell">
      <w:tblPr/>
      <w:tcPr>
        <w:tcBorders>
          <w:top w:color="666666" w:space="0" w:sz="4" w:themeColor="text1" w:themeTint="000099" w:val="single"/>
        </w:tcBorders>
      </w:tcPr>
    </w:tblStylePr>
    <w:tblStylePr w:type="swCell">
      <w:tblPr/>
      <w:tcPr>
        <w:tcBorders>
          <w:top w:color="666666" w:space="0" w:sz="4" w:themeColor="text1" w:themeTint="000099" w:val="single"/>
        </w:tcBorders>
      </w:tcPr>
    </w:tblStylePr>
  </w:style>
  <w:style w:type="table" w:styleId="GridTable4-Accent6">
    <w:name w:val="Grid Table 4 Accent 6"/>
    <w:basedOn w:val="TableNormal"/>
    <w:uiPriority w:val="49"/>
    <w:rsid w:val="00814789"/>
    <w:pPr>
      <w:spacing w:after="0" w:line="240" w:lineRule="auto"/>
    </w:pPr>
    <w:tblPr>
      <w:tblStyleRowBandSize w:val="1"/>
      <w:tblStyleColBandSize w:val="1"/>
      <w:tblBorders>
        <w:top w:color="a8d08d" w:space="0" w:sz="4" w:themeColor="accent6" w:themeTint="000099" w:val="single"/>
        <w:left w:color="a8d08d" w:space="0" w:sz="4" w:themeColor="accent6" w:themeTint="000099" w:val="single"/>
        <w:bottom w:color="a8d08d" w:space="0" w:sz="4" w:themeColor="accent6" w:themeTint="000099" w:val="single"/>
        <w:right w:color="a8d08d" w:space="0" w:sz="4" w:themeColor="accent6" w:themeTint="000099" w:val="single"/>
        <w:insideH w:color="a8d08d" w:space="0" w:sz="4" w:themeColor="accent6" w:themeTint="000099" w:val="single"/>
        <w:insideV w:color="a8d08d" w:space="0" w:sz="4" w:themeColor="accent6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70ad47" w:space="0" w:sz="4" w:themeColor="accent6" w:val="single"/>
          <w:left w:color="70ad47" w:space="0" w:sz="4" w:themeColor="accent6" w:val="single"/>
          <w:bottom w:color="70ad47" w:space="0" w:sz="4" w:themeColor="accent6" w:val="single"/>
          <w:right w:color="70ad47" w:space="0" w:sz="4" w:themeColor="accent6" w:val="single"/>
          <w:insideH w:space="0" w:sz="0" w:val="nil"/>
          <w:insideV w:space="0" w:sz="0" w:val="nil"/>
        </w:tcBorders>
        <w:shd w:color="auto" w:fill="70ad47" w:themeFill="accent6" w:val="clear"/>
      </w:tcPr>
    </w:tblStylePr>
    <w:tblStylePr w:type="lastRow">
      <w:rPr>
        <w:b w:val="1"/>
        <w:bCs w:val="1"/>
      </w:rPr>
      <w:tblPr/>
      <w:tcPr>
        <w:tcBorders>
          <w:top w:color="70ad47" w:space="0" w:sz="4" w:themeColor="accent6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2efd9" w:themeFill="accent6" w:themeFillTint="000033" w:val="clear"/>
      </w:tcPr>
    </w:tblStylePr>
    <w:tblStylePr w:type="band1Horz">
      <w:tblPr/>
      <w:tcPr>
        <w:shd w:color="auto" w:fill="e2efd9" w:themeFill="accent6" w:themeFillTint="000033" w:val="clear"/>
      </w:tcPr>
    </w:tblStylePr>
  </w:style>
  <w:style w:type="table" w:styleId="ListTable4-Accent6">
    <w:name w:val="List Table 4 Accent 6"/>
    <w:basedOn w:val="TableNormal"/>
    <w:uiPriority w:val="49"/>
    <w:rsid w:val="00814789"/>
    <w:pPr>
      <w:spacing w:after="0" w:line="240" w:lineRule="auto"/>
    </w:pPr>
    <w:tblPr>
      <w:tblStyleRowBandSize w:val="1"/>
      <w:tblStyleColBandSize w:val="1"/>
      <w:tblBorders>
        <w:top w:color="a8d08d" w:space="0" w:sz="4" w:themeColor="accent6" w:themeTint="000099" w:val="single"/>
        <w:left w:color="a8d08d" w:space="0" w:sz="4" w:themeColor="accent6" w:themeTint="000099" w:val="single"/>
        <w:bottom w:color="a8d08d" w:space="0" w:sz="4" w:themeColor="accent6" w:themeTint="000099" w:val="single"/>
        <w:right w:color="a8d08d" w:space="0" w:sz="4" w:themeColor="accent6" w:themeTint="000099" w:val="single"/>
        <w:insideH w:color="a8d08d" w:space="0" w:sz="4" w:themeColor="accent6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70ad47" w:space="0" w:sz="4" w:themeColor="accent6" w:val="single"/>
          <w:left w:color="70ad47" w:space="0" w:sz="4" w:themeColor="accent6" w:val="single"/>
          <w:bottom w:color="70ad47" w:space="0" w:sz="4" w:themeColor="accent6" w:val="single"/>
          <w:right w:color="70ad47" w:space="0" w:sz="4" w:themeColor="accent6" w:val="single"/>
          <w:insideH w:space="0" w:sz="0" w:val="nil"/>
        </w:tcBorders>
        <w:shd w:color="auto" w:fill="70ad47" w:themeFill="accent6" w:val="clear"/>
      </w:tcPr>
    </w:tblStylePr>
    <w:tblStylePr w:type="lastRow">
      <w:rPr>
        <w:b w:val="1"/>
        <w:bCs w:val="1"/>
      </w:rPr>
      <w:tblPr/>
      <w:tcPr>
        <w:tcBorders>
          <w:top w:color="a8d08d" w:space="0" w:sz="4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2efd9" w:themeFill="accent6" w:themeFillTint="000033" w:val="clear"/>
      </w:tcPr>
    </w:tblStylePr>
    <w:tblStylePr w:type="band1Horz">
      <w:tblPr/>
      <w:tcPr>
        <w:shd w:color="auto" w:fill="e2efd9" w:themeFill="accent6" w:themeFillTint="000033" w:val="clear"/>
      </w:tcPr>
    </w:tblStylePr>
  </w:style>
  <w:style w:type="table" w:styleId="ListTable2-Accent6">
    <w:name w:val="List Table 2 Accent 6"/>
    <w:basedOn w:val="TableNormal"/>
    <w:uiPriority w:val="47"/>
    <w:rsid w:val="00F75578"/>
    <w:pPr>
      <w:spacing w:after="0" w:line="240" w:lineRule="auto"/>
    </w:pPr>
    <w:tblPr>
      <w:tblStyleRowBandSize w:val="1"/>
      <w:tblStyleColBandSize w:val="1"/>
      <w:tblBorders>
        <w:top w:color="a8d08d" w:space="0" w:sz="4" w:themeColor="accent6" w:themeTint="000099" w:val="single"/>
        <w:bottom w:color="a8d08d" w:space="0" w:sz="4" w:themeColor="accent6" w:themeTint="000099" w:val="single"/>
        <w:insideH w:color="a8d08d" w:space="0" w:sz="4" w:themeColor="accent6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2efd9" w:themeFill="accent6" w:themeFillTint="000033" w:val="clear"/>
      </w:tcPr>
    </w:tblStylePr>
    <w:tblStylePr w:type="band1Horz">
      <w:tblPr/>
      <w:tcPr>
        <w:shd w:color="auto" w:fill="e2efd9" w:themeFill="accent6" w:themeFillTint="000033" w:val="clear"/>
      </w:tcPr>
    </w:tblStylePr>
  </w:style>
  <w:style w:type="table" w:styleId="TableSubtle1">
    <w:name w:val="Table Subtle 1"/>
    <w:basedOn w:val="TableNormal"/>
    <w:uiPriority w:val="99"/>
    <w:rsid w:val="00FF5E2E"/>
    <w:pPr>
      <w:ind w:left="720"/>
    </w:pPr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Web3">
    <w:name w:val="Table Web 3"/>
    <w:basedOn w:val="TableNormal"/>
    <w:uiPriority w:val="99"/>
    <w:rsid w:val="00FF5E2E"/>
    <w:pPr>
      <w:ind w:left="720"/>
    </w:pPr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leGridLight">
    <w:name w:val="Grid Table Light"/>
    <w:basedOn w:val="TableNormal"/>
    <w:uiPriority w:val="40"/>
    <w:rsid w:val="00FF5E2E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PlainTable1">
    <w:name w:val="Plain Table 1"/>
    <w:basedOn w:val="TableNormal"/>
    <w:uiPriority w:val="41"/>
    <w:rsid w:val="00FF5E2E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GridTable1Light-Accent6">
    <w:name w:val="Grid Table 1 Light Accent 6"/>
    <w:basedOn w:val="TableNormal"/>
    <w:uiPriority w:val="46"/>
    <w:rsid w:val="00FF5E2E"/>
    <w:pPr>
      <w:spacing w:after="0" w:line="240" w:lineRule="auto"/>
    </w:pPr>
    <w:tblPr>
      <w:tblStyleRowBandSize w:val="1"/>
      <w:tblStyleColBandSize w:val="1"/>
      <w:tblBorders>
        <w:top w:color="c5e0b3" w:space="0" w:sz="4" w:themeColor="accent6" w:themeTint="000066" w:val="single"/>
        <w:left w:color="c5e0b3" w:space="0" w:sz="4" w:themeColor="accent6" w:themeTint="000066" w:val="single"/>
        <w:bottom w:color="c5e0b3" w:space="0" w:sz="4" w:themeColor="accent6" w:themeTint="000066" w:val="single"/>
        <w:right w:color="c5e0b3" w:space="0" w:sz="4" w:themeColor="accent6" w:themeTint="000066" w:val="single"/>
        <w:insideH w:color="c5e0b3" w:space="0" w:sz="4" w:themeColor="accent6" w:themeTint="000066" w:val="single"/>
        <w:insideV w:color="c5e0b3" w:space="0" w:sz="4" w:themeColor="accent6" w:themeTint="000066" w:val="single"/>
      </w:tblBorders>
    </w:tblPr>
    <w:tblStylePr w:type="firstRow">
      <w:rPr>
        <w:b w:val="1"/>
        <w:bCs w:val="1"/>
      </w:rPr>
      <w:tblPr/>
      <w:tcPr>
        <w:tcBorders>
          <w:bottom w:color="a8d08d" w:space="0" w:sz="12" w:themeColor="accent6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a8d08d" w:space="0" w:sz="2" w:themeColor="accent6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1Light-Accent4">
    <w:name w:val="Grid Table 1 Light Accent 4"/>
    <w:basedOn w:val="TableNormal"/>
    <w:uiPriority w:val="46"/>
    <w:rsid w:val="00FF5E2E"/>
    <w:pPr>
      <w:spacing w:after="0" w:line="240" w:lineRule="auto"/>
    </w:pPr>
    <w:tblPr>
      <w:tblStyleRowBandSize w:val="1"/>
      <w:tblStyleColBandSize w:val="1"/>
      <w:tblBorders>
        <w:top w:color="ffe599" w:space="0" w:sz="4" w:themeColor="accent4" w:themeTint="000066" w:val="single"/>
        <w:left w:color="ffe599" w:space="0" w:sz="4" w:themeColor="accent4" w:themeTint="000066" w:val="single"/>
        <w:bottom w:color="ffe599" w:space="0" w:sz="4" w:themeColor="accent4" w:themeTint="000066" w:val="single"/>
        <w:right w:color="ffe599" w:space="0" w:sz="4" w:themeColor="accent4" w:themeTint="000066" w:val="single"/>
        <w:insideH w:color="ffe599" w:space="0" w:sz="4" w:themeColor="accent4" w:themeTint="000066" w:val="single"/>
        <w:insideV w:color="ffe599" w:space="0" w:sz="4" w:themeColor="accent4" w:themeTint="000066" w:val="single"/>
      </w:tblBorders>
    </w:tblPr>
    <w:tblStylePr w:type="firstRow">
      <w:rPr>
        <w:b w:val="1"/>
        <w:bCs w:val="1"/>
      </w:rPr>
      <w:tblPr/>
      <w:tcPr>
        <w:tcBorders>
          <w:bottom w:color="ffd966" w:space="0" w:sz="12" w:themeColor="accent4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ffd966" w:space="0" w:sz="2" w:themeColor="accent4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GridTable2-Accent2">
    <w:name w:val="Grid Table 2 Accent 2"/>
    <w:basedOn w:val="TableNormal"/>
    <w:uiPriority w:val="47"/>
    <w:rsid w:val="00FF5E2E"/>
    <w:pPr>
      <w:spacing w:after="0" w:line="240" w:lineRule="auto"/>
    </w:pPr>
    <w:tblPr>
      <w:tblStyleRowBandSize w:val="1"/>
      <w:tblStyleColBandSize w:val="1"/>
      <w:tblBorders>
        <w:top w:color="f4b083" w:space="0" w:sz="2" w:themeColor="accent2" w:themeTint="000099" w:val="single"/>
        <w:bottom w:color="f4b083" w:space="0" w:sz="2" w:themeColor="accent2" w:themeTint="000099" w:val="single"/>
        <w:insideH w:color="f4b083" w:space="0" w:sz="2" w:themeColor="accent2" w:themeTint="000099" w:val="single"/>
        <w:insideV w:color="f4b083" w:space="0" w:sz="2" w:themeColor="accent2" w:themeTint="000099" w:val="single"/>
      </w:tblBorders>
    </w:tblPr>
    <w:tblStylePr w:type="firstRow">
      <w:rPr>
        <w:b w:val="1"/>
        <w:bCs w:val="1"/>
      </w:rPr>
      <w:tblPr/>
      <w:tcPr>
        <w:tcBorders>
          <w:top w:space="0" w:sz="0" w:val="nil"/>
          <w:bottom w:color="f4b083" w:space="0" w:sz="12" w:themeColor="accent2" w:themeTint="000099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</w:rPr>
      <w:tblPr/>
      <w:tcPr>
        <w:tcBorders>
          <w:top w:color="f4b083" w:space="0" w:sz="2" w:themeColor="accent2" w:themeTint="000099" w:val="double"/>
          <w:bottom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e4d5" w:themeFill="accent2" w:themeFillTint="000033" w:val="clear"/>
      </w:tcPr>
    </w:tblStylePr>
    <w:tblStylePr w:type="band1Horz">
      <w:tblPr/>
      <w:tcPr>
        <w:shd w:color="auto" w:fill="fbe4d5" w:themeFill="accent2" w:themeFillTint="000033" w:val="clear"/>
      </w:tcPr>
    </w:tblStyle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463C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 w:val="1"/>
    <w:rsid w:val="00463CA7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463CA7"/>
    <w:rPr>
      <w:rFonts w:ascii="Objectivity Light" w:cs="Times New Roman" w:eastAsia="Cambria" w:hAnsi="Objectivity Light"/>
      <w:color w:val="404040" w:themeColor="text1" w:themeTint="0000BF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463CA7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463CA7"/>
    <w:rPr>
      <w:rFonts w:ascii="Objectivity Light" w:cs="Times New Roman" w:eastAsia="Cambria" w:hAnsi="Objectivity Light"/>
      <w:b w:val="1"/>
      <w:bCs w:val="1"/>
      <w:color w:val="404040" w:themeColor="text1" w:themeTint="0000BF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BD284E"/>
    <w:pPr>
      <w:spacing w:after="0" w:line="240" w:lineRule="auto"/>
    </w:pPr>
    <w:rPr>
      <w:rFonts w:ascii="Times New Roman" w:hAnsi="Times New Roman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BD284E"/>
    <w:rPr>
      <w:rFonts w:ascii="Times New Roman" w:cs="Times New Roman" w:eastAsia="Cambria" w:hAnsi="Times New Roman"/>
      <w:color w:val="404040" w:themeColor="text1" w:themeTint="0000BF"/>
      <w:sz w:val="18"/>
      <w:szCs w:val="18"/>
    </w:rPr>
  </w:style>
  <w:style w:type="table" w:styleId="TableGrid1" w:customStyle="1">
    <w:name w:val="Table Grid1"/>
    <w:basedOn w:val="TableNormal"/>
    <w:next w:val="TableGrid"/>
    <w:uiPriority w:val="39"/>
    <w:rsid w:val="00E602FA"/>
    <w:pPr>
      <w:spacing w:after="0" w:line="240" w:lineRule="auto"/>
    </w:pPr>
    <w:rPr>
      <w:rFonts w:eastAsia="Cambria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AC00EE"/>
    <w:rPr>
      <w:color w:val="605e5c"/>
      <w:shd w:color="auto" w:fill="e1dfdd" w:val="clear"/>
    </w:rPr>
  </w:style>
  <w:style w:type="paragraph" w:styleId="Revision">
    <w:name w:val="Revision"/>
    <w:hidden w:val="1"/>
    <w:uiPriority w:val="99"/>
    <w:semiHidden w:val="1"/>
    <w:rsid w:val="002D0A73"/>
    <w:pPr>
      <w:spacing w:after="0" w:line="240" w:lineRule="auto"/>
    </w:pPr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322D3E"/>
    <w:rPr>
      <w:color w:val="605e5c"/>
      <w:shd w:color="auto" w:fill="e1dfdd" w:val="clear"/>
    </w:rPr>
  </w:style>
  <w:style w:type="table" w:styleId="TableGrid2" w:customStyle="1">
    <w:name w:val="Table Grid2"/>
    <w:basedOn w:val="TableNormal"/>
    <w:next w:val="TableGrid"/>
    <w:uiPriority w:val="39"/>
    <w:rsid w:val="00BD020D"/>
    <w:pPr>
      <w:spacing w:after="0" w:line="240" w:lineRule="auto"/>
    </w:pPr>
    <w:rPr>
      <w:lang w:val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IntenseReference">
    <w:name w:val="Intense Reference"/>
    <w:basedOn w:val="DefaultParagraphFont"/>
    <w:uiPriority w:val="32"/>
    <w:qFormat w:val="1"/>
    <w:rsid w:val="00EB1843"/>
    <w:rPr>
      <w:b w:val="1"/>
      <w:bCs w:val="1"/>
      <w:smallCaps w:val="1"/>
      <w:color w:val="5b9bd5" w:themeColor="accent1"/>
      <w:spacing w:val="5"/>
    </w:rPr>
  </w:style>
  <w:style w:type="character" w:styleId="Strong">
    <w:name w:val="Strong"/>
    <w:basedOn w:val="DefaultParagraphFont"/>
    <w:uiPriority w:val="22"/>
    <w:qFormat w:val="1"/>
    <w:rsid w:val="00EB1843"/>
    <w:rPr>
      <w:b w:val="1"/>
      <w:bCs w:val="1"/>
    </w:rPr>
  </w:style>
  <w:style w:type="table" w:styleId="TableGrid3" w:customStyle="1">
    <w:name w:val="Table Grid3"/>
    <w:basedOn w:val="TableNormal"/>
    <w:next w:val="TableGrid"/>
    <w:uiPriority w:val="39"/>
    <w:rsid w:val="005978B9"/>
    <w:pPr>
      <w:spacing w:after="0" w:line="240" w:lineRule="auto"/>
    </w:pPr>
    <w:rPr>
      <w:lang w:val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Grid11" w:customStyle="1">
    <w:name w:val="Table Grid11"/>
    <w:basedOn w:val="TableNormal"/>
    <w:next w:val="TableGrid"/>
    <w:uiPriority w:val="39"/>
    <w:rsid w:val="004F78E6"/>
    <w:pPr>
      <w:spacing w:after="0" w:line="240" w:lineRule="auto"/>
    </w:pPr>
    <w:rPr>
      <w:lang w:val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Grid-Accent1">
    <w:name w:val="Light Grid Accent 1"/>
    <w:basedOn w:val="TableNormal"/>
    <w:uiPriority w:val="62"/>
    <w:semiHidden w:val="1"/>
    <w:unhideWhenUsed w:val="1"/>
    <w:rsid w:val="00527227"/>
    <w:pPr>
      <w:spacing w:after="0" w:line="240" w:lineRule="auto"/>
    </w:pPr>
    <w:rPr>
      <w:rFonts w:eastAsiaTheme="minorEastAsia"/>
    </w:rPr>
    <w:tblPr>
      <w:tblStyleRowBandSize w:val="1"/>
      <w:tblStyleColBandSize w:val="1"/>
      <w:tblInd w:w="0.0" w:type="nil"/>
      <w:tblBorders>
        <w:top w:color="5b9bd5" w:space="0" w:sz="8" w:themeColor="accent1" w:val="single"/>
        <w:left w:color="5b9bd5" w:space="0" w:sz="8" w:themeColor="accent1" w:val="single"/>
        <w:bottom w:color="5b9bd5" w:space="0" w:sz="8" w:themeColor="accent1" w:val="single"/>
        <w:right w:color="5b9bd5" w:space="0" w:sz="8" w:themeColor="accent1" w:val="single"/>
        <w:insideH w:color="5b9bd5" w:space="0" w:sz="8" w:themeColor="accent1" w:val="single"/>
        <w:insideV w:color="5b9bd5" w:space="0" w:sz="8" w:themeColor="accent1" w:val="single"/>
      </w:tblBorders>
    </w:tblPr>
    <w:tblStylePr w:type="firstRow">
      <w:pPr>
        <w:spacing w:after="100" w:afterAutospacing="1" w:afterLines="0" w:before="100" w:beforeAutospacing="1" w:beforeLines="0" w:line="240" w:lineRule="auto"/>
      </w:pPr>
      <w:rPr>
        <w:rFonts w:asciiTheme="majorHAnsi" w:cstheme="majorBidi" w:eastAsiaTheme="majorEastAsia" w:hAnsiTheme="majorHAnsi" w:hint="default"/>
        <w:b w:val="1"/>
        <w:bCs w:val="1"/>
      </w:rPr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18" w:themeColor="accent1" w:val="single"/>
          <w:right w:color="5b9bd5" w:space="0" w:sz="8" w:themeColor="accent1" w:val="single"/>
          <w:insideH w:space="0" w:sz="0" w:val="nil"/>
          <w:insideV w:color="5b9bd5" w:space="0" w:sz="8" w:themeColor="accent1" w:val="single"/>
        </w:tcBorders>
      </w:tcPr>
    </w:tblStylePr>
    <w:tblStylePr w:type="lastRow">
      <w:pPr>
        <w:spacing w:after="100" w:afterAutospacing="1" w:afterLines="0" w:before="100" w:beforeAutospacing="1" w:beforeLines="0" w:line="240" w:lineRule="auto"/>
      </w:pPr>
      <w:rPr>
        <w:rFonts w:asciiTheme="majorHAnsi" w:cstheme="majorBidi" w:eastAsiaTheme="majorEastAsia" w:hAnsiTheme="majorHAnsi" w:hint="default"/>
        <w:b w:val="1"/>
        <w:bCs w:val="1"/>
      </w:rPr>
      <w:tblPr/>
      <w:tcPr>
        <w:tcBorders>
          <w:top w:color="5b9bd5" w:space="0" w:sz="6" w:themeColor="accent1" w:val="doub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  <w:insideH w:space="0" w:sz="0" w:val="nil"/>
          <w:insideV w:color="5b9bd5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 w:hint="default"/>
        <w:b w:val="1"/>
        <w:bCs w:val="1"/>
      </w:rPr>
    </w:tblStylePr>
    <w:tblStylePr w:type="lastCol">
      <w:rPr>
        <w:rFonts w:asciiTheme="majorHAnsi" w:cstheme="majorBidi" w:eastAsiaTheme="majorEastAsia" w:hAnsiTheme="majorHAnsi" w:hint="default"/>
        <w:b w:val="1"/>
        <w:bCs w:val="1"/>
      </w:rPr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</w:tcBorders>
      </w:tcPr>
    </w:tblStylePr>
    <w:tblStylePr w:type="band1Vert"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</w:tcBorders>
        <w:shd w:color="auto" w:fill="d6e6f4" w:themeFill="accent1" w:themeFillTint="00003F" w:val="clear"/>
      </w:tcPr>
    </w:tblStylePr>
    <w:tblStylePr w:type="band1Horz"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  <w:insideV w:color="5b9bd5" w:space="0" w:sz="8" w:themeColor="accent1" w:val="single"/>
        </w:tcBorders>
        <w:shd w:color="auto" w:fill="d6e6f4" w:themeFill="accent1" w:themeFillTint="00003F" w:val="clear"/>
      </w:tcPr>
    </w:tblStylePr>
    <w:tblStylePr w:type="band2Horz">
      <w:tblPr/>
      <w:tcPr>
        <w:tcBorders>
          <w:top w:color="5b9bd5" w:space="0" w:sz="8" w:themeColor="accent1" w:val="single"/>
          <w:left w:color="5b9bd5" w:space="0" w:sz="8" w:themeColor="accent1" w:val="single"/>
          <w:bottom w:color="5b9bd5" w:space="0" w:sz="8" w:themeColor="accent1" w:val="single"/>
          <w:right w:color="5b9bd5" w:space="0" w:sz="8" w:themeColor="accent1" w:val="single"/>
          <w:insideV w:color="5b9bd5" w:space="0" w:sz="8" w:themeColor="accent1" w:val="single"/>
        </w:tcBorders>
      </w:tcPr>
    </w:tblStylePr>
  </w:style>
  <w:style w:type="table" w:styleId="CompanyStyle4" w:customStyle="1">
    <w:name w:val="Company Style 4"/>
    <w:basedOn w:val="TableNormal"/>
    <w:uiPriority w:val="99"/>
    <w:rsid w:val="00527227"/>
    <w:pPr>
      <w:spacing w:after="0" w:line="240" w:lineRule="auto"/>
      <w:jc w:val="center"/>
    </w:pPr>
    <w:rPr>
      <w:sz w:val="18"/>
    </w:rPr>
    <w:tblPr>
      <w:tblInd w:w="0.0" w:type="nil"/>
      <w:tblBorders>
        <w:top w:color="d0cece" w:space="0" w:sz="2" w:themeColor="background2" w:themeShade="0000E6" w:val="single"/>
        <w:left w:color="d0cece" w:space="0" w:sz="2" w:themeColor="background2" w:themeShade="0000E6" w:val="single"/>
        <w:bottom w:color="d0cece" w:space="0" w:sz="2" w:themeColor="background2" w:themeShade="0000E6" w:val="single"/>
        <w:right w:color="d0cece" w:space="0" w:sz="2" w:themeColor="background2" w:themeShade="0000E6" w:val="single"/>
        <w:insideH w:color="d0cece" w:space="0" w:sz="2" w:themeColor="background2" w:themeShade="0000E6" w:val="single"/>
        <w:insideV w:color="d0cece" w:space="0" w:sz="2" w:themeColor="background2" w:themeShade="0000E6" w:val="single"/>
      </w:tblBorders>
    </w:tblPr>
    <w:tcPr>
      <w:vAlign w:val="center"/>
    </w:tcPr>
    <w:tblStylePr w:type="firstRow">
      <w:pPr>
        <w:wordWrap w:val="1"/>
        <w:spacing w:after="100" w:afterAutospacing="1" w:afterLines="0" w:before="100" w:beforeAutospacing="1" w:beforeLines="0" w:line="120" w:lineRule="auto"/>
        <w:ind w:left="0" w:leftChars="0"/>
        <w:contextualSpacing w:val="1"/>
        <w:jc w:val="center"/>
        <w:outlineLvl w:val="9"/>
      </w:pPr>
      <w:rPr>
        <w:rFonts w:cs="Calibri Light" w:asciiTheme="majorHAnsi" w:hAnsiTheme="majorHAnsi" w:hint="default"/>
        <w:b w:val="1"/>
        <w:color w:val="523f92"/>
        <w:sz w:val="18"/>
        <w:szCs w:val="18"/>
      </w:rPr>
      <w:tblPr/>
      <w:tcPr>
        <w:shd w:color="auto" w:fill="e0e1e5" w:val="clear"/>
        <w:vAlign w:val="center"/>
      </w:tcPr>
    </w:tblStylePr>
  </w:style>
  <w:style w:type="character" w:styleId="ListParagraphChar" w:customStyle="1">
    <w:name w:val="List Paragraph Char"/>
    <w:aliases w:val="Use Case List Paragraph Char Char,YC Bulet Char,lp1 Char,Bullet List Char,FooterText Char,numbered Char,Paragraphe de liste1 Char,Bulet Char,3 Char,POCG Table Text Char,Bullet Number Char,List Paragraph1 Char,lp11 Char,Bullet 1 Char"/>
    <w:basedOn w:val="DefaultParagraphFont"/>
    <w:link w:val="ListParagraph"/>
    <w:uiPriority w:val="34"/>
    <w:locked w:val="1"/>
    <w:rsid w:val="00214317"/>
    <w:rPr>
      <w:rFonts w:ascii="Objectivity Light" w:cs="Times New Roman" w:eastAsia="Cambria" w:hAnsi="Objectivity Light"/>
      <w:color w:val="404040" w:themeColor="text1" w:themeTint="0000BF"/>
      <w:sz w:val="24"/>
      <w:szCs w:val="40"/>
    </w:rPr>
  </w:style>
  <w:style w:type="paragraph" w:styleId="StyleNormaltablestyleLinespacing15lines" w:customStyle="1">
    <w:name w:val="Style Normal table style + Line spacing:  1.5 lines"/>
    <w:basedOn w:val="Normal"/>
    <w:rsid w:val="00214317"/>
    <w:pPr>
      <w:overflowPunct w:val="0"/>
      <w:autoSpaceDE w:val="0"/>
      <w:spacing w:after="0" w:line="240" w:lineRule="auto"/>
      <w:ind w:left="0"/>
      <w:textAlignment w:val="baseline"/>
    </w:pPr>
    <w:rPr>
      <w:rFonts w:ascii="Arial" w:eastAsia="Times New Roman" w:hAnsi="Arial"/>
      <w:color w:val="auto"/>
      <w:sz w:val="20"/>
      <w:szCs w:val="20"/>
      <w:lang w:eastAsia="ar-SA"/>
    </w:rPr>
  </w:style>
  <w:style w:type="character" w:styleId="HTMLCode">
    <w:name w:val="HTML Code"/>
    <w:basedOn w:val="DefaultParagraphFont"/>
    <w:uiPriority w:val="99"/>
    <w:semiHidden w:val="1"/>
    <w:unhideWhenUsed w:val="1"/>
    <w:rsid w:val="00FA6DFB"/>
    <w:rPr>
      <w:rFonts w:ascii="Courier New" w:cs="Courier New" w:eastAsia="Times New Roman" w:hAnsi="Courier New"/>
      <w:sz w:val="20"/>
      <w:szCs w:val="20"/>
    </w:rPr>
  </w:style>
  <w:style w:type="character" w:styleId="UnresolvedMention3" w:customStyle="1">
    <w:name w:val="Unresolved Mention3"/>
    <w:basedOn w:val="DefaultParagraphFont"/>
    <w:uiPriority w:val="99"/>
    <w:semiHidden w:val="1"/>
    <w:unhideWhenUsed w:val="1"/>
    <w:rsid w:val="00B7432B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72.0" w:type="dxa"/>
        <w:left w:w="72.0" w:type="dxa"/>
        <w:bottom w:w="72.0" w:type="dxa"/>
        <w:right w:w="72.0" w:type="dxa"/>
      </w:tblCellMar>
    </w:tblPr>
    <w:tblStylePr w:type="band1Horz">
      <w:tcPr>
        <w:tcBorders>
          <w:top w:color="5b9bd5" w:space="0" w:sz="8" w:val="single"/>
          <w:left w:color="5b9bd5" w:space="0" w:sz="8" w:val="single"/>
          <w:bottom w:color="5b9bd5" w:space="0" w:sz="8" w:val="single"/>
          <w:right w:color="5b9bd5" w:space="0" w:sz="8" w:val="single"/>
          <w:insideV w:color="5b9bd5" w:space="0" w:sz="8" w:val="single"/>
        </w:tcBorders>
        <w:shd w:fill="d6e6f4" w:val="clear"/>
      </w:tcPr>
    </w:tblStylePr>
    <w:tblStylePr w:type="band1Vert">
      <w:tcPr>
        <w:tcBorders>
          <w:top w:color="5b9bd5" w:space="0" w:sz="8" w:val="single"/>
          <w:left w:color="5b9bd5" w:space="0" w:sz="8" w:val="single"/>
          <w:bottom w:color="5b9bd5" w:space="0" w:sz="8" w:val="single"/>
          <w:right w:color="5b9bd5" w:space="0" w:sz="8" w:val="single"/>
        </w:tcBorders>
        <w:shd w:fill="d6e6f4" w:val="clear"/>
      </w:tcPr>
    </w:tblStylePr>
    <w:tblStylePr w:type="band2Horz">
      <w:tcPr>
        <w:tcBorders>
          <w:top w:color="5b9bd5" w:space="0" w:sz="8" w:val="single"/>
          <w:left w:color="5b9bd5" w:space="0" w:sz="8" w:val="single"/>
          <w:bottom w:color="5b9bd5" w:space="0" w:sz="8" w:val="single"/>
          <w:right w:color="5b9bd5" w:space="0" w:sz="8" w:val="single"/>
          <w:insideV w:color="5b9bd5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5b9bd5" w:space="0" w:sz="8" w:val="single"/>
          <w:left w:color="5b9bd5" w:space="0" w:sz="8" w:val="single"/>
          <w:bottom w:color="5b9bd5" w:space="0" w:sz="18" w:val="single"/>
          <w:right w:color="5b9bd5" w:space="0" w:sz="8" w:val="single"/>
          <w:insideH w:color="000000" w:space="0" w:sz="0" w:val="nil"/>
          <w:insideV w:color="5b9bd5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5b9bd5" w:space="0" w:sz="8" w:val="single"/>
          <w:left w:color="5b9bd5" w:space="0" w:sz="8" w:val="single"/>
          <w:bottom w:color="5b9bd5" w:space="0" w:sz="8" w:val="single"/>
          <w:right w:color="5b9bd5" w:space="0" w:sz="8" w:val="single"/>
        </w:tcBorders>
      </w:tcPr>
    </w:tblStylePr>
    <w:tblStylePr w:type="lastRow">
      <w:pPr>
        <w:spacing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5b9bd5" w:space="0" w:sz="6" w:val="single"/>
          <w:left w:color="5b9bd5" w:space="0" w:sz="8" w:val="single"/>
          <w:bottom w:color="5b9bd5" w:space="0" w:sz="8" w:val="single"/>
          <w:right w:color="5b9bd5" w:space="0" w:sz="8" w:val="single"/>
          <w:insideH w:color="000000" w:space="0" w:sz="0" w:val="nil"/>
          <w:insideV w:color="5b9bd5" w:space="0" w:sz="8" w:val="single"/>
        </w:tcBorders>
      </w:tcPr>
    </w:tblStylePr>
  </w:style>
  <w:style w:type="table" w:styleId="Table2">
    <w:basedOn w:val="TableNormal"/>
    <w:pPr>
      <w:spacing w:after="0" w:line="240" w:lineRule="auto"/>
      <w:jc w:val="center"/>
    </w:pPr>
    <w:rPr>
      <w:sz w:val="18"/>
      <w:szCs w:val="18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  <w:tblStylePr w:type="firstRow">
      <w:pPr>
        <w:spacing w:line="120" w:lineRule="auto"/>
        <w:ind w:left="0"/>
        <w:jc w:val="center"/>
      </w:pPr>
      <w:rPr>
        <w:rFonts w:ascii="Calibri" w:cs="Calibri" w:eastAsia="Calibri" w:hAnsi="Calibri"/>
        <w:b w:val="1"/>
        <w:bCs w:val="1"/>
        <w:color w:val="523f92"/>
        <w:sz w:val="18"/>
        <w:szCs w:val="18"/>
      </w:rPr>
      <w:tcPr>
        <w:shd w:fill="e0e1e5" w:val="clear"/>
        <w:vAlign w:val="center"/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3" Type="http://schemas.openxmlformats.org/officeDocument/2006/relationships/header" Target="header1.xml"/><Relationship Id="rId12" Type="http://schemas.openxmlformats.org/officeDocument/2006/relationships/header" Target="header3.xml"/><Relationship Id="rId3" Type="http://schemas.openxmlformats.org/officeDocument/2006/relationships/theme" Target="theme/theme1.xm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16" Type="http://schemas.openxmlformats.org/officeDocument/2006/relationships/footer" Target="footer1.xml"/><Relationship Id="rId5" Type="http://schemas.openxmlformats.org/officeDocument/2006/relationships/settings" Target="settings.xml"/><Relationship Id="rId6" Type="http://schemas.openxmlformats.org/officeDocument/2006/relationships/fontTable" Target="fontTable.xml"/><Relationship Id="rId7" Type="http://schemas.openxmlformats.org/officeDocument/2006/relationships/numbering" Target="numbering.xml"/><Relationship Id="rId8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2025-10-20T11:49:00Z</dcterms:created>
  <dc:creator>Omar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1695082c41f200b244eceb85eb3a5730206819038472032e5aa645b04f60d2a2</vt:lpwstr>
  </property>
  <property fmtid="{D5CDD505-2E9C-101B-9397-08002B2CF9AE}" pid="3" name="docIndexRef">
    <vt:lpwstr>86f61a2b-3c5b-410d-8eda-8fcfcca73d6b</vt:lpwstr>
  </property>
  <property fmtid="{D5CDD505-2E9C-101B-9397-08002B2CF9AE}" pid="4" name="bjSaver">
    <vt:lpwstr>jom6mFr4R46yMOI8MG0zmSZOzDj/Nqg2</vt:lpwstr>
  </property>
  <property fmtid="{D5CDD505-2E9C-101B-9397-08002B2CF9AE}" pid="5" name="bjDocumentLabelXML">
    <vt:lpwstr>&lt;?xml version="1.0" encoding="us-ascii"?&gt;&lt;sisl xmlns:xsd="http://www.w3.org/2001/XMLSchema" xmlns:xsi="http://www.w3.org/2001/XMLSchema-instance" sislVersion="0" policy="70fe81c6-8401-4cfc-9ef6-4071ef5e3673" origin="userSelected" xmlns="http://www.boldonj</vt:lpwstr>
  </property>
  <property fmtid="{D5CDD505-2E9C-101B-9397-08002B2CF9AE}" pid="6" name="bjDocumentLabelXML-0">
    <vt:lpwstr>ames.com/2008/01/sie/internal/label"&gt;&lt;element uid="0552750f-5859-4f24-a10a-0f241d9075eb" value="" /&gt;&lt;/sisl&gt;</vt:lpwstr>
  </property>
  <property fmtid="{D5CDD505-2E9C-101B-9397-08002B2CF9AE}" pid="7" name="bjDocumentSecurityLabel">
    <vt:lpwstr>Public - عام</vt:lpwstr>
  </property>
  <property fmtid="{D5CDD505-2E9C-101B-9397-08002B2CF9AE}" pid="8" name="bjClsUserRVM">
    <vt:lpwstr>[{"VisualMarkingType":2,"ShapeName":"","ApplyMarking":true}]</vt:lpwstr>
  </property>
  <property fmtid="{D5CDD505-2E9C-101B-9397-08002B2CF9AE}" pid="9" name="bjFooterBothDocProperty">
    <vt:lpwstr>عام</vt:lpwstr>
  </property>
  <property fmtid="{D5CDD505-2E9C-101B-9397-08002B2CF9AE}" pid="10" name="bjFooterFirstPageDocProperty">
    <vt:lpwstr>عام</vt:lpwstr>
  </property>
  <property fmtid="{D5CDD505-2E9C-101B-9397-08002B2CF9AE}" pid="11" name="bjFooterEvenPageDocProperty">
    <vt:lpwstr>عام</vt:lpwstr>
  </property>
</Properties>
</file>