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60" w:before="0" w:line="240" w:lineRule="auto"/>
        <w:ind w:left="0" w:firstLine="0"/>
      </w:pPr>
      <w:r>
        <w:rPr>
          <w:b/>
          <w:i w:val="0"/>
          <w:color w:val="4C8479"/>
          <w:sz w:val="48"/>
          <w:szCs w:val="48"/>
        </w:rPr>
        <w:t>Manih  |  مانح</w:t>
      </w:r>
    </w:p>
    <w:p>
      <w:pPr>
        <w:pBdr>
          <w:bottom w:val="single" w:sz="8" w:space="4" w:color="4C8479"/>
        </w:pBdr>
        <w:spacing w:after="200" w:before="0" w:line="240" w:lineRule="auto"/>
        <w:ind w:left="0" w:firstLine="0"/>
      </w:pPr>
      <w:r>
        <w:rPr>
          <w:b w:val="0"/>
          <w:i w:val="0"/>
          <w:color w:val="487E74"/>
          <w:sz w:val="28"/>
          <w:szCs w:val="28"/>
        </w:rPr>
        <w:t>Release Backlog — features in priority order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600"/>
        <w:gridCol w:w="7655"/>
      </w:tblGrid>
      <w:tr>
        <w:trPr>
          <w:cantSplit/>
        </w:trPr>
        <w:tc>
          <w:tcPr>
            <w:tcW w:type="dxa" w:w="26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Source</w:t>
            </w:r>
          </w:p>
        </w:tc>
        <w:tc>
          <w:tcPr>
            <w:tcW w:type="dxa" w:w="76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Manih Business Requirements Document (96 use cases)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Features</w:t>
            </w:r>
          </w:p>
        </w:tc>
        <w:tc>
          <w:tcPr>
            <w:tcW w:type="dxa" w:w="76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34 features in 8 releases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Date</w:t>
            </w:r>
          </w:p>
        </w:tc>
        <w:tc>
          <w:tcPr>
            <w:tcW w:type="dxa" w:w="76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21/10/2026</w:t>
            </w:r>
          </w:p>
        </w:tc>
      </w:tr>
      <w:tr>
        <w:trPr>
          <w:cantSplit/>
        </w:trPr>
        <w:tc>
          <w:tcPr>
            <w:tcW w:type="dxa" w:w="26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Status</w:t>
            </w:r>
          </w:p>
        </w:tc>
        <w:tc>
          <w:tcPr>
            <w:tcW w:type="dxa" w:w="76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Draft for review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2"/>
      </w:pPr>
      <w:r>
        <w:t>1.  How this backlog works</w:t>
      </w:r>
    </w:p>
    <w:p>
      <w:pPr>
        <w:spacing w:after="80" w:before="0" w:line="240" w:lineRule="auto"/>
        <w:ind w:left="360" w:hanging="280"/>
      </w:pPr>
      <w:r>
        <w:rPr>
          <w:b w:val="0"/>
          <w:i w:val="0"/>
        </w:rPr>
        <w:t>•  Each feature is a vertical slice: when it is done it can be released and used on its own.</w:t>
      </w:r>
    </w:p>
    <w:p>
      <w:pPr>
        <w:spacing w:after="80" w:before="0" w:line="240" w:lineRule="auto"/>
        <w:ind w:left="360" w:hanging="280"/>
      </w:pPr>
      <w:r>
        <w:rPr>
          <w:b w:val="0"/>
          <w:i w:val="0"/>
        </w:rPr>
        <w:t>•  A feature only depends on features in earlier releases (or earlier in the same release). Nothing waits for a later feature; anything that would is listed under “Later” and moved to the feature that delivers it.</w:t>
      </w:r>
    </w:p>
    <w:p>
      <w:pPr>
        <w:spacing w:after="80" w:before="0" w:line="240" w:lineRule="auto"/>
        <w:ind w:left="360" w:hanging="280"/>
      </w:pPr>
      <w:r>
        <w:rPr>
          <w:b w:val="0"/>
          <w:i w:val="0"/>
        </w:rPr>
        <w:t>•  Releases are in priority order. R1–R6 make the minimum end-to-end grant cycle (Must); R7–R8 add insight, efficiency and advanced models (Should / Could).</w:t>
      </w:r>
    </w:p>
    <w:p>
      <w:pPr>
        <w:spacing w:after="80" w:before="0" w:line="240" w:lineRule="auto"/>
        <w:ind w:left="360" w:hanging="280"/>
      </w:pPr>
      <w:r>
        <w:rPr>
          <w:b w:val="0"/>
          <w:i w:val="0"/>
        </w:rPr>
        <w:t>•  Size: S ≈ up to one sprint for one team; M ≈ one to two sprints. Larger items were split.</w:t>
      </w:r>
    </w:p>
    <w:p>
      <w:pPr>
        <w:spacing w:after="80" w:before="0" w:line="240" w:lineRule="auto"/>
        <w:ind w:left="360" w:hanging="280"/>
      </w:pPr>
      <w:r>
        <w:rPr>
          <w:b w:val="0"/>
          <w:i w:val="0"/>
        </w:rPr>
        <w:t>•  Detail stays in the BRD: each feature lists the use cases (UC) it delivers, for full rules, fields and messages.</w:t>
      </w:r>
    </w:p>
    <w:p>
      <w:pPr>
        <w:pStyle w:val="Heading2"/>
      </w:pPr>
      <w:r>
        <w:t>2.  The 5R check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00"/>
        <w:gridCol w:w="8555"/>
      </w:tblGrid>
      <w:tr>
        <w:trPr>
          <w:cantSplit/>
          <w:tblHeader/>
        </w:trPr>
        <w:tc>
          <w:tcPr>
            <w:tcW w:type="dxa" w:w="17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Principle</w:t>
            </w:r>
          </w:p>
        </w:tc>
        <w:tc>
          <w:tcPr>
            <w:tcW w:type="dxa" w:w="8555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How the backlog meets it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Readable</w:t>
            </w:r>
          </w:p>
        </w:tc>
        <w:tc>
          <w:tcPr>
            <w:tcW w:type="dxa" w:w="85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One short card per feature: value, scope, what is not included, acceptance criteria. Plain business language.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Realistic</w:t>
            </w:r>
          </w:p>
        </w:tc>
        <w:tc>
          <w:tcPr>
            <w:tcW w:type="dxa" w:w="85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Built on what the prototype already shows working; production gaps (security, enforced roles) are inside the first features, not added later.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Relevant</w:t>
            </w:r>
          </w:p>
        </w:tc>
        <w:tc>
          <w:tcPr>
            <w:tcW w:type="dxa" w:w="85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Every feature states the value it gives a user or the business; the releases replace the manual process step by step.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Right-sized</w:t>
            </w:r>
          </w:p>
        </w:tc>
        <w:tc>
          <w:tcPr>
            <w:tcW w:type="dxa" w:w="85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Every feature is S or M; nothing larger than two sprints.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Ready</w:t>
            </w:r>
          </w:p>
        </w:tc>
        <w:tc>
          <w:tcPr>
            <w:tcW w:type="dxa" w:w="85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Each feature has testable acceptance criteria and only released dependencies. Features with an open business decision are flagged below — the decision must be taken before the sprint.</w:t>
            </w:r>
          </w:p>
        </w:tc>
      </w:tr>
    </w:tbl>
    <w:p>
      <w:pPr>
        <w:pStyle w:val="Heading2"/>
      </w:pPr>
      <w:r>
        <w:t>3.  Release roadmap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00"/>
        <w:gridCol w:w="2200"/>
        <w:gridCol w:w="4655"/>
        <w:gridCol w:w="2700"/>
      </w:tblGrid>
      <w:tr>
        <w:trPr>
          <w:cantSplit/>
          <w:tblHeader/>
        </w:trPr>
        <w:tc>
          <w:tcPr>
            <w:tcW w:type="dxa" w:w="7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22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Release</w:t>
            </w:r>
          </w:p>
        </w:tc>
        <w:tc>
          <w:tcPr>
            <w:tcW w:type="dxa" w:w="4655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Goal</w:t>
            </w:r>
          </w:p>
        </w:tc>
        <w:tc>
          <w:tcPr>
            <w:tcW w:type="dxa" w:w="27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Features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R1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Foundation</w:t>
            </w:r>
          </w:p>
        </w:tc>
        <w:tc>
          <w:tcPr>
            <w:tcW w:type="dxa" w:w="46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Staff can sign in with their own accounts and see only what their role allows.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F01, F02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R2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Partner registry</w:t>
            </w:r>
          </w:p>
        </w:tc>
        <w:tc>
          <w:tcPr>
            <w:tcW w:type="dxa" w:w="46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Charities register online and the foundation keeps one verified register of partners.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F03, F04, F05, F06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R3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Plan &amp; opportunities</w:t>
            </w:r>
          </w:p>
        </w:tc>
        <w:tc>
          <w:tcPr>
            <w:tcW w:type="dxa" w:w="46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The annual plan is digital and grant opportunities are published to eligible charities.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F07, F08, F09, F10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R4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Applications &amp; decisions</w:t>
            </w:r>
          </w:p>
        </w:tc>
        <w:tc>
          <w:tcPr>
            <w:tcW w:type="dxa" w:w="46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Charities apply online and staff review and decide applications with a full history.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F11, F12, F13, F14, F15, F16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R5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Contracts &amp; projects</w:t>
            </w:r>
          </w:p>
        </w:tc>
        <w:tc>
          <w:tcPr>
            <w:tcW w:type="dxa" w:w="46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Approved grants become contracts and projects that are followed up with evidence.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F17, F18, F19, F20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R6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Payments</w:t>
            </w:r>
          </w:p>
        </w:tc>
        <w:tc>
          <w:tcPr>
            <w:tcW w:type="dxa" w:w="46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Grant payments are released against approved milestones through a controlled approval chain.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F21, F22, F23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R7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Insight &amp; efficiency</w:t>
            </w:r>
          </w:p>
        </w:tc>
        <w:tc>
          <w:tcPr>
            <w:tcW w:type="dxa" w:w="46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Management gets live reporting, and staff get tools that save time.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F24, F25, F26, F27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R8</w:t>
            </w:r>
          </w:p>
        </w:tc>
        <w:tc>
          <w:tcPr>
            <w:tcW w:type="dxa" w:w="22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Advanced grant types &amp; AI</w:t>
            </w:r>
          </w:p>
        </w:tc>
        <w:tc>
          <w:tcPr>
            <w:tcW w:type="dxa" w:w="46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Additional grant models and AI assistance on top of the working core.</w:t>
            </w:r>
          </w:p>
        </w:tc>
        <w:tc>
          <w:tcPr>
            <w:tcW w:type="dxa" w:w="2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F28, F29, F30, F31, F32, F33, F34</w:t>
            </w:r>
          </w:p>
        </w:tc>
      </w:tr>
    </w:tbl>
    <w:p>
      <w:pPr>
        <w:pStyle w:val="Heading2"/>
      </w:pPr>
      <w:r>
        <w:t>4.  Feature list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650"/>
        <w:gridCol w:w="900"/>
        <w:gridCol w:w="600"/>
        <w:gridCol w:w="1500"/>
        <w:gridCol w:w="2605"/>
      </w:tblGrid>
      <w:tr>
        <w:trPr>
          <w:cantSplit/>
          <w:tblHeader/>
        </w:trPr>
        <w:tc>
          <w:tcPr>
            <w:tcW w:type="dxa" w:w="7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33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type="dxa" w:w="65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Rel.</w:t>
            </w:r>
          </w:p>
        </w:tc>
        <w:tc>
          <w:tcPr>
            <w:tcW w:type="dxa" w:w="9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type="dxa" w:w="6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Size</w:t>
            </w:r>
          </w:p>
        </w:tc>
        <w:tc>
          <w:tcPr>
            <w:tcW w:type="dxa" w:w="15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2605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F01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Staff accounts and secure sign-in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R1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—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UC01, UC08, UC09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F02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Role-based workspace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R1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F01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UC02, UC11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F03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Charity self-registration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R2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F02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UC39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F04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Registration review and partner register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R2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F03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UC49, UC50, UC56, UC57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F05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Charity portal access and team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R2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F04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UC40, UC41, UC55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F06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Charity profile and verification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R2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F05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UC46, UC51, UC52, UC53, UC54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F07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Annual plan and budget structure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R3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F02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UC19, UC20, UC21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F08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Publish a grant opportunity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R3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F07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UC13, UC28, UC29, UC30, UC31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F09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Opportunities on the public page and portal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R3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F08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UC03, UC42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F10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Eligibility, partner groups and invitations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R3</w:t>
            </w:r>
          </w:p>
        </w:tc>
        <w:tc>
          <w:tcPr>
            <w:tcW w:type="dxa" w:w="900"/>
            <w:shd w:val="clear" w:color="auto" w:fill="FFF2CC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Should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F09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UC32, UC36, UC43, UC58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F11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Submit a grant application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R4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F09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UC44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F12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My Tasks inbox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R4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F02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UC90, UC91, UC92, UC93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F13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Application review by stages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R4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F11, F12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UC59, UC60, UC62, UC88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F14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Evaluation criteria and pass score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R4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F13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UC33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F15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Charity follow-up and requested edits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R4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F13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UC45, UC63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F16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Committee decisions by minute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R4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F14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UC64, UC95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F17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Contract and project from an approved application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R5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F16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UC67, UC69, UC70, UC71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F18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Project plan and start of execution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R5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F17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UC72, UC74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F19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Charity progress reports and milestone approval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R5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F18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UC47, UC75, UC76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F20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Plan revisions and project closure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R5</w:t>
            </w:r>
          </w:p>
        </w:tc>
        <w:tc>
          <w:tcPr>
            <w:tcW w:type="dxa" w:w="900"/>
            <w:shd w:val="clear" w:color="auto" w:fill="FFF2CC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Should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F19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UC77, UC78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F21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Payment approval chain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R6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F19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UC80, UC81, UC89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F22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Disbursement order, transfer and receipt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R6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F21, F06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UC82, UC83, UC84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F23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Payments register and commitments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R6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F22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UC79, UC85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F24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Budget monitoring and adjustments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R7</w:t>
            </w:r>
          </w:p>
        </w:tc>
        <w:tc>
          <w:tcPr>
            <w:tcW w:type="dxa" w:w="900"/>
            <w:shd w:val="clear" w:color="auto" w:fill="E2EFDA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F23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UC22, UC23, UC24, UC25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F25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Endowments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R7</w:t>
            </w:r>
          </w:p>
        </w:tc>
        <w:tc>
          <w:tcPr>
            <w:tcW w:type="dxa" w:w="900"/>
            <w:shd w:val="clear" w:color="auto" w:fill="FFF2CC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Should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F24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UC16, UC26, UC27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F26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Executive dashboard and reports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R7</w:t>
            </w:r>
          </w:p>
        </w:tc>
        <w:tc>
          <w:tcPr>
            <w:tcW w:type="dxa" w:w="900"/>
            <w:shd w:val="clear" w:color="auto" w:fill="FFF2CC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Should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F23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UC12, UC86, UC87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F27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Productivity tools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R7</w:t>
            </w:r>
          </w:p>
        </w:tc>
        <w:tc>
          <w:tcPr>
            <w:tcW w:type="dxa" w:w="900"/>
            <w:shd w:val="clear" w:color="auto" w:fill="EDEDED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Could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F13, F21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UC04, UC06, UC07, UC94, UC96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F28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Configuration library and governance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R8</w:t>
            </w:r>
          </w:p>
        </w:tc>
        <w:tc>
          <w:tcPr>
            <w:tcW w:type="dxa" w:w="900"/>
            <w:shd w:val="clear" w:color="auto" w:fill="EDEDED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Could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F13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UC14, UC15, UC18, UC34, UC38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F29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Custom roles and permissions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R8</w:t>
            </w:r>
          </w:p>
        </w:tc>
        <w:tc>
          <w:tcPr>
            <w:tcW w:type="dxa" w:w="900"/>
            <w:shd w:val="clear" w:color="auto" w:fill="FFF2CC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Should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F02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UC10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F30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AI assistance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R8</w:t>
            </w:r>
          </w:p>
        </w:tc>
        <w:tc>
          <w:tcPr>
            <w:tcW w:type="dxa" w:w="900"/>
            <w:shd w:val="clear" w:color="auto" w:fill="EDEDED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Could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F13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UC05, UC48, UC61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F31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In-kind (product) grants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R8</w:t>
            </w:r>
          </w:p>
        </w:tc>
        <w:tc>
          <w:tcPr>
            <w:tcW w:type="dxa" w:w="900"/>
            <w:shd w:val="clear" w:color="auto" w:fill="EDEDED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Could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F14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UC35, UC68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F32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Tendered projects (RFP)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R8</w:t>
            </w:r>
          </w:p>
        </w:tc>
        <w:tc>
          <w:tcPr>
            <w:tcW w:type="dxa" w:w="900"/>
            <w:shd w:val="clear" w:color="auto" w:fill="EDEDED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Could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F17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UC37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F33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Multi-project grants, merges and funding conditions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R8</w:t>
            </w:r>
          </w:p>
        </w:tc>
        <w:tc>
          <w:tcPr>
            <w:tcW w:type="dxa" w:w="900"/>
            <w:shd w:val="clear" w:color="auto" w:fill="EDEDED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Could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F17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UC65, UC66, UC73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F34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Multi-organization platform</w:t>
            </w:r>
          </w:p>
        </w:tc>
        <w:tc>
          <w:tcPr>
            <w:tcW w:type="dxa" w:w="65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R8</w:t>
            </w:r>
          </w:p>
        </w:tc>
        <w:tc>
          <w:tcPr>
            <w:tcW w:type="dxa" w:w="900"/>
            <w:shd w:val="clear" w:color="auto" w:fill="EDEDED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Won't (this year)</w:t>
            </w:r>
          </w:p>
        </w:tc>
        <w:tc>
          <w:tcPr>
            <w:tcW w:type="dxa" w:w="6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F02</w:t>
            </w:r>
          </w:p>
        </w:tc>
        <w:tc>
          <w:tcPr>
            <w:tcW w:type="dxa" w:w="260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UC17</w:t>
            </w:r>
          </w:p>
        </w:tc>
      </w:tr>
    </w:tbl>
    <w:p>
      <w:pPr>
        <w:pStyle w:val="Heading2"/>
      </w:pPr>
      <w:r>
        <w:t>5.  Decisions needed before the sprint</w:t>
      </w:r>
    </w:p>
    <w:p>
      <w:pPr>
        <w:spacing w:after="160" w:before="0" w:line="240" w:lineRule="auto"/>
        <w:ind w:left="0" w:firstLine="0"/>
      </w:pPr>
      <w:r>
        <w:rPr>
          <w:b w:val="0"/>
          <w:i w:val="0"/>
        </w:rPr>
        <w:t>These features are ready except for one business decision. Taking it before sprint planning makes them fully Ready.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00"/>
        <w:gridCol w:w="3300"/>
        <w:gridCol w:w="6255"/>
      </w:tblGrid>
      <w:tr>
        <w:trPr>
          <w:cantSplit/>
          <w:tblHeader/>
        </w:trPr>
        <w:tc>
          <w:tcPr>
            <w:tcW w:type="dxa" w:w="7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3300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type="dxa" w:w="6255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Decision needed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F02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Role-based workspace</w:t>
            </w:r>
          </w:p>
        </w:tc>
        <w:tc>
          <w:tcPr>
            <w:tcW w:type="dxa" w:w="62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Q149 — should system roles be editable? (does not block: fixed roles ship first)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F03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Charity self-registration</w:t>
            </w:r>
          </w:p>
        </w:tc>
        <w:tc>
          <w:tcPr>
            <w:tcW w:type="dxa" w:w="62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Which identity verification is required for delegates (OTP only, or national ID)?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F05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Charity portal access and team</w:t>
            </w:r>
          </w:p>
        </w:tc>
        <w:tc>
          <w:tcPr>
            <w:tcW w:type="dxa" w:w="62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Can one person belong to more than one charity? (open comment in BRD)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F13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Application review by stages</w:t>
            </w:r>
          </w:p>
        </w:tc>
        <w:tc>
          <w:tcPr>
            <w:tcW w:type="dxa" w:w="62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Are the three stages fixed, or configurable per opportunity?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F21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Payment approval chain</w:t>
            </w:r>
          </w:p>
        </w:tc>
        <w:tc>
          <w:tcPr>
            <w:tcW w:type="dxa" w:w="62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Are there amount thresholds that change the approval chain?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F23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Payments register and commitments</w:t>
            </w:r>
          </w:p>
        </w:tc>
        <w:tc>
          <w:tcPr>
            <w:tcW w:type="dxa" w:w="62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Single definition of “paid” (after transfer or after receipt?)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F25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Endowments</w:t>
            </w:r>
          </w:p>
        </w:tc>
        <w:tc>
          <w:tcPr>
            <w:tcW w:type="dxa" w:w="62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How are endowment shares decided (equal, by size, manual)?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F26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Executive dashboard and reports</w:t>
            </w:r>
          </w:p>
        </w:tc>
        <w:tc>
          <w:tcPr>
            <w:tcW w:type="dxa" w:w="62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Which reports does management request today?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F29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Custom roles and permissions</w:t>
            </w:r>
          </w:p>
        </w:tc>
        <w:tc>
          <w:tcPr>
            <w:tcW w:type="dxa" w:w="62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Q149 — may system roles be edited, or only custom roles?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F30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AI assistance</w:t>
            </w:r>
          </w:p>
        </w:tc>
        <w:tc>
          <w:tcPr>
            <w:tcW w:type="dxa" w:w="62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Which AI provider, and what data may be sent to it?</w:t>
            </w:r>
          </w:p>
        </w:tc>
      </w:tr>
      <w:tr>
        <w:trPr>
          <w:cantSplit/>
        </w:trPr>
        <w:tc>
          <w:tcPr>
            <w:tcW w:type="dxa" w:w="7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F34</w:t>
            </w:r>
          </w:p>
        </w:tc>
        <w:tc>
          <w:tcPr>
            <w:tcW w:type="dxa" w:w="3300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Multi-organization platform</w:t>
            </w:r>
          </w:p>
        </w:tc>
        <w:tc>
          <w:tcPr>
            <w:tcW w:type="dxa" w:w="6255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Is Manih for one foundation or several?</w:t>
            </w:r>
          </w:p>
        </w:tc>
      </w:tr>
    </w:tbl>
    <w:p>
      <w:pPr>
        <w:pStyle w:val="Heading1"/>
        <w:pageBreakBefore/>
      </w:pPr>
      <w:r>
        <w:t>R1 — Foundation</w:t>
      </w:r>
    </w:p>
    <w:p>
      <w:pPr>
        <w:spacing w:after="160" w:before="0" w:line="240" w:lineRule="auto"/>
        <w:ind w:left="0" w:firstLine="0"/>
      </w:pPr>
      <w:r>
        <w:rPr>
          <w:b w:val="0"/>
          <w:i w:val="0"/>
        </w:rPr>
        <w:t>Staff can sign in with their own accounts and see only what their role allows.</w:t>
      </w:r>
    </w:p>
    <w:p>
      <w:pPr>
        <w:pStyle w:val="Heading3"/>
      </w:pPr>
      <w:r>
        <w:t>F01  Staff accounts and secure sign-in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Every action in the system is done by a known person.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Individual staff accounts (name, email, role, department)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Sign in / sign out, forgotten password, session timeout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Add, edit and deactivate staff (no deletion of history)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Audit trail of sign-ins and account changes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Not in this feature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Charity (partner) accounts → F03; custom roles → F29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an active staff account, when the user signs in with correct credentials, then their home page opens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wrong credentials, when the user signs in, then access is refused with a generic message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 deactivated account, when the user tries to sign in, then access is refused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4. Given any sign-in or account change, then it is recorded with user and time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None — can start first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UC01, UC08, UC09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F02  Role-based workspace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Each person sees only the menus, pages and actions of their role.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Fixed system roles: Admin, Grants Manager, Reviewer, Committee Secretary, Project Manager, Finance, CEO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Menu and home page per role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Access enforced by the system on every page and action, not only by hiding menus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Departments list for organizing staff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Not in this feature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Editable / custom roles → F29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Reviewer, when they open the system, then only their sections appear in the menu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user opens a page outside their role by link, then the system blocks it with an access-denied message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the Admin changes a user's role, then the new access applies at the next action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F01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UC02, UC11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Needs decision: Q149 — should system roles be editable? (does not block: fixed roles ship first)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1"/>
        <w:pageBreakBefore/>
      </w:pPr>
      <w:r>
        <w:t>R2 — Partner registry</w:t>
      </w:r>
    </w:p>
    <w:p>
      <w:pPr>
        <w:spacing w:after="160" w:before="0" w:line="240" w:lineRule="auto"/>
        <w:ind w:left="0" w:firstLine="0"/>
      </w:pPr>
      <w:r>
        <w:rPr>
          <w:b w:val="0"/>
          <w:i w:val="0"/>
        </w:rPr>
        <w:t>Charities register online and the foundation keeps one verified register of partners.</w:t>
      </w:r>
    </w:p>
    <w:p>
      <w:pPr>
        <w:pStyle w:val="Heading3"/>
      </w:pPr>
      <w:r>
        <w:t>F03  Charity self-registration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Charities register online instead of sending papers.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Registration with licence number, organization data and delegate details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Delegate mobile / email verification by one-time code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Required documents upload (licence, delegate authorization)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Registration status visible to the applicant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Not in this feature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Joining an already registered charity → F05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new licence number, when the delegate completes the form and verifies the code, then a registration request is created with status Pending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licence number already registered, then the system stops a duplicate registration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 missing required document, then the request cannot be submitted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F02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UC39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Needs decision: Which identity verification is required for delegates (OTP only, or national ID)?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F04  Registration review and partner register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One trusted register of approved charities.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Queue of registration requests with documents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Approve / return / reject with reason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On approval: charity record and delegate account created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Partner directory with search, filters and Excel export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Add a charity manually and invite its delegate to activate the account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Not in this feature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Bank verification and licence updates → F06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pending request, when the Grants Manager approves it, then the charity appears in the register and the delegate can sign in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request is returned or rejected, then a reason is mandatory and the applicant sees it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the directory, when the user filters by status, then only matching charities are listed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F03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UC49, UC50, UC56, UC57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F05  Charity portal access and team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Charities manage their own users without calling the foundation.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Charity users sign in to the portal; choose the charity if they belong to more than one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Primary delegate adds / deactivates team members (project manager, finance, member)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Transfer of the primary delegation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Join request to an existing charity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primary delegate, when they add a team member, then that person can sign in to the charity portal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non-delegate member, then they cannot add or remove team members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the delegation is transferred, then the old delegate loses delegate rights immediately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F04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UC40, UC41, UC55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Needs decision: Can one person belong to more than one charity? (open comment in BRD)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F06  Charity profile and verification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Funding goes only to verified charities and verified bank accounts.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Charity 360 profile: data, documents, decision history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Confirm or block a charity (with reason)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Bank account (IBAN certificate) verification by staff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Licence / official data update requested by the charity and reviewed by staff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charity uploads a new IBAN certificate, then the account stays Unverified until staff verify it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blocked charity, then it cannot submit new applications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any confirm / block / verify decision, then it appears in the charity's history with user and time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F05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UC46, UC51, UC52, UC53, UC54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1"/>
        <w:pageBreakBefore/>
      </w:pPr>
      <w:r>
        <w:t>R3 — Plan &amp; opportunities</w:t>
      </w:r>
    </w:p>
    <w:p>
      <w:pPr>
        <w:spacing w:after="160" w:before="0" w:line="240" w:lineRule="auto"/>
        <w:ind w:left="0" w:firstLine="0"/>
      </w:pPr>
      <w:r>
        <w:rPr>
          <w:b w:val="0"/>
          <w:i w:val="0"/>
        </w:rPr>
        <w:t>The annual plan is digital and grant opportunities are published to eligible charities.</w:t>
      </w:r>
    </w:p>
    <w:p>
      <w:pPr>
        <w:pStyle w:val="Heading3"/>
      </w:pPr>
      <w:r>
        <w:t>F07  Annual plan and budget structure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The annual budget is defined in the system instead of spreadsheets.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Create the annual plan with total budget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Plan tree: tracks → items → initiatives with budget per level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Edits recorded with an evidence document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Warning when child budgets exceed the parent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Not in this feature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Budget adjustments and plan lock → F24; endowments → F25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new plan, when levels are added, then the tree shows each level's budget and the plan total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children budgets exceed the parent, then the system warns before saving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changes are saved, then an evidence document is required and the change is in the plan history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F02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UC19, UC20, UC21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F08  Publish a grant opportunity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The foundation announces calls for grants in one place.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Create opportunity: name, description, budget, plan item, open / close dates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Application form from a simple form builder (fields, required flags)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Draft → Published → Closed status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Opportunity list with status and application count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Not in this feature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Eligibility targeting and invitations → F10; workflow templates → F28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draft opportunity, then it is not visible to charities until published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published opportunity, when the close date passes, then it stops accepting applications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the opportunity budget exceeds the plan item's available budget, then the system refuses to save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F07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UC13, UC28, UC29, UC30, UC31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F09  Opportunities on the public page and portal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Charities find open grants without contacting the foundation.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Public landing page listing published, open opportunities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Portal list of opportunities the charity can apply to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Opportunity details page with dates, budget and conditions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Not in this feature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Filtering by eligibility → F10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published opportunity within its dates, then it appears on the public page and in the portal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visitor who is not signed in clicks Apply, then they are asked to sign in or register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F08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S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UC03, UC42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F10  Eligibility, partner groups and invitations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Only the right charities can apply to each opportunity.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Eligibility rules per opportunity (applicant type, region, groups)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Partner groups for targeting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Private invitations to selected charities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Limit of applications per charity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charity that does not meet the rules, then the opportunity is not offered to it and it cannot apply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an invited charity, when it opens the invitation, then it can apply even if the opportunity is private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the per-charity limit is reached, then a new application is refused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F09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Should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UC32, UC36, UC43, UC58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1"/>
        <w:pageBreakBefore/>
      </w:pPr>
      <w:r>
        <w:t>R4 — Applications &amp; decisions</w:t>
      </w:r>
    </w:p>
    <w:p>
      <w:pPr>
        <w:spacing w:after="160" w:before="0" w:line="240" w:lineRule="auto"/>
        <w:ind w:left="0" w:firstLine="0"/>
      </w:pPr>
      <w:r>
        <w:rPr>
          <w:b w:val="0"/>
          <w:i w:val="0"/>
        </w:rPr>
        <w:t>Charities apply online and staff review and decide applications with a full history.</w:t>
      </w:r>
    </w:p>
    <w:p>
      <w:pPr>
        <w:pStyle w:val="Heading3"/>
      </w:pPr>
      <w:r>
        <w:t>F11  Submit a grant application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Applications arrive complete and in one place.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Fill the opportunity's form in the portal, save as draft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Required attachments per opportunity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Requested amount, duration and bill of quantities (items)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Submit with confirmation; application number generated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Not in this feature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AI pre-fill → F30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missing required field or attachment, then the application cannot be submitted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submitted application, then the charity sees it with status Submitted and cannot edit it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the opportunity is closed, then submission is refused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F09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UC44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F12  My Tasks inbox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Every staff member sees their pending work in one list.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Inbox with tasks assigned to me, due dates and overdue flags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Manual tasks: create, assign, change status, comment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Meetings with date and attendees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List and calendar views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Not in this feature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Bulk decisions and focus mode → F27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task is assigned to a user, then it appears in their inbox with its due date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task passes its due date, then it is flagged overdue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 manual task, then only its creator or assignee can change it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F02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UC90, UC91, UC92, UC93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F13  Application review by stages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Applications move through Reception → Study → Approval with clear owners and SLAs.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Review queue per stage with filters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Application dossier: data, attachments, history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Stage decision: approve to next stage, return for edits, reject (reason required)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Stage tasks created automatically in My Tasks with SLA days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Not in this feature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Scoring and pass score → F14; committee minutes → F16; AI evaluation → F30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an application at a stage, then a task is created for that stage's owners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reviewer approves, then the application moves to the next stage and the history records who and when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 rejection, then a reason is mandatory and the charity is notified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F11, F12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UC59, UC60, UC62, UC88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Needs decision: Are the three stages fixed, or configurable per opportunity?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F14  Evaluation criteria and pass score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Applications are scored consistently and weak ones cannot be approved by mistake.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Evaluation criteria with weights per opportunity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Reviewers score each criterion with notes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Pass score: approval blocked below it, wherever the decision is taken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criteria weights that do not total 100%, then they cannot be saved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the total score is below the pass score, then approval is blocked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 scored application, then the dossier shows each reviewer's score and notes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F13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S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UC33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F15  Charity follow-up and requested edits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Charities see where their application is and respond quickly.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Application status and expected reply date in the portal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Returned for edits: charity edits the data / attachments and resubmits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Staff-proposed changes to amounts or quantities accepted or refused by the charity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an application is returned for edits, then the charity can change its data and resubmit to the same stage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staff propose a new amount, then it applies only after the charity accepts it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 final decision, then the charity sees the decision and reason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F13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UC45, UC63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F16  Committee decisions by minute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Committee decisions are recorded once and applied to all the applications they cover.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Committee secretary selects applications at the Approval stage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Minute with date, members, decision per application and the signed minute file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Decisions applied to all selected applications in one step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minute is saved with decisions, then each application moves according to its decision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minute without the signed file, then it cannot be finalized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an application decided by minute, then its history links to the minute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F14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UC64, UC95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1"/>
        <w:pageBreakBefore/>
      </w:pPr>
      <w:r>
        <w:t>R5 — Contracts &amp; projects</w:t>
      </w:r>
    </w:p>
    <w:p>
      <w:pPr>
        <w:spacing w:after="160" w:before="0" w:line="240" w:lineRule="auto"/>
        <w:ind w:left="0" w:firstLine="0"/>
      </w:pPr>
      <w:r>
        <w:rPr>
          <w:b w:val="0"/>
          <w:i w:val="0"/>
        </w:rPr>
        <w:t>Approved grants become contracts and projects that are followed up with evidence.</w:t>
      </w:r>
    </w:p>
    <w:p>
      <w:pPr>
        <w:pStyle w:val="Heading3"/>
      </w:pPr>
      <w:r>
        <w:t>F17  Contract and project from an approved application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Approved grants become signed contracts and trackable projects without retyping.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Contract generated from the application (parties, amount, items, payment schedule)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Payment schedule as % of amount per milestone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Contract signing status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Project created with budget and project manager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Not in this feature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Splitting one application into several projects → F33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an approved application, when the Grants Manager transfers it, then one contract and one project are created with the approved amount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the payment schedule does not total 100%, then the transfer is refused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 contract is not signed, then project execution cannot start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F16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UC67, UC69, UC70, UC71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F18  Project plan and start of execution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Each project has an agreed plan before work starts.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Project plan: milestones, activities, due dates, linked payments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Start execution (requires signed contract and complete plan)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Project portfolio list with status and overdue (stalled) flag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Not in this feature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Plan changes after start → F20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signed contract and a complete plan, when the project manager starts execution, then the project status becomes In progress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an activity passes its due date without approval, then the project is flagged stalled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F17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UC72, UC74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F19  Charity progress reports and milestone approval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Progress is proven with evidence before money is released.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Charity submits task progress, evidence files and milestone reports in the portal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Project manager verifies evidence: accept or return with note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Milestone approved → its payment becomes due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Not in this feature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Indicators → F33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charity submits a milestone report with evidence, then the project manager gets a task to verify it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evidence is returned, then the charity sees the note and can resubmit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 milestone is approved, then its linked payment becomes Due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F18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UC47, UC75, UC76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F20  Plan revisions and project closure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Changes and closure are controlled and documented.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Request a plan revision with reason; approved by a different person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Close the project after all milestones are approved, with a final evaluation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revision request, then the requester cannot approve it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unapproved milestones, then the project cannot be closed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 project is closed, then no new tasks or payments can be added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F19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Should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UC77, UC78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1"/>
        <w:pageBreakBefore/>
      </w:pPr>
      <w:r>
        <w:t>R6 — Payments</w:t>
      </w:r>
    </w:p>
    <w:p>
      <w:pPr>
        <w:spacing w:after="160" w:before="0" w:line="240" w:lineRule="auto"/>
        <w:ind w:left="0" w:firstLine="0"/>
      </w:pPr>
      <w:r>
        <w:rPr>
          <w:b w:val="0"/>
          <w:i w:val="0"/>
        </w:rPr>
        <w:t>Grant payments are released against approved milestones through a controlled approval chain.</w:t>
      </w:r>
    </w:p>
    <w:p>
      <w:pPr>
        <w:pStyle w:val="Heading3"/>
      </w:pPr>
      <w:r>
        <w:t>F21  Payment approval chain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No payment is released without the required approvals.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Due payments list per project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Submit a due payment for approval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Three-level approval: project manager → Grants Manager → CEO; reject with reason returns it to Due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Approval tasks created in My Tasks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due payment is submitted, then the project's manager gets an approval task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step 1 is approved, then the Grants Manager gets the next task; after step 2 the CEO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any rejection, then a reason is mandatory and the payment returns to Due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4. Given a person approved one step, then they cannot approve another step of the same payment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F19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UC80, UC81, UC89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Needs decision: Are there amount thresholds that change the approval chain?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F22  Disbursement order, transfer and receipt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Finance pays the right account and every payment is closed with proof.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Disbursement order issued after final approval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Payee confirmed (charity's verified bank account; third party only with re-approval)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Finance records the bank transfer and uploads the transfer notice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Charity uploads the receipt voucher; payment closed as Paid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payment is fully approved, then a disbursement order is issued with a unique number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the bank account is not verified, then the transfer cannot be recorded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the payee is changed after approval, then the approval chain restarts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4. Given the receipt voucher is uploaded, then the payment status becomes Paid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F21, F06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UC82, UC83, UC84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F23  Payments register and commitments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Finance and management see every payment and what is still owed.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Payments register with status, partner, project and amounts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Commitments per charity (scheduled vs paid)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Excel export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the register, then each payment shows its current status and who it waits for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charity, then its committed, due and paid totals add up to its contracts' amounts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F22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S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UC79, UC85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Needs decision: Single definition of “paid” (after transfer or after receipt?)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1"/>
        <w:pageBreakBefore/>
      </w:pPr>
      <w:r>
        <w:t>R7 — Insight &amp; efficiency</w:t>
      </w:r>
    </w:p>
    <w:p>
      <w:pPr>
        <w:spacing w:after="160" w:before="0" w:line="240" w:lineRule="auto"/>
        <w:ind w:left="0" w:firstLine="0"/>
      </w:pPr>
      <w:r>
        <w:rPr>
          <w:b w:val="0"/>
          <w:i w:val="0"/>
        </w:rPr>
        <w:t>Management gets live reporting, and staff get tools that save time.</w:t>
      </w:r>
    </w:p>
    <w:p>
      <w:pPr>
        <w:pStyle w:val="Heading3"/>
      </w:pPr>
      <w:r>
        <w:t>F24  Budget monitoring and adjustments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The foundation always knows used, committed, paid and available budget.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Live budget figures per plan level: committed, due, paid, available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Budget increase / decrease / transfer with evidence document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Financial operations register and plan history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Lock and reopen the plan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contract is signed, then the plan item's committed amount increases by the contract amount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decrease larger than the available amount, then it is refused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any adjustment, then an evidence document is required and the operation is in the register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F23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Must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UC22, UC23, UC24, UC25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F25  Endowments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Each endowment's share of the plan and its use are visible.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Register endowments (funding sources)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Record endowment funding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Endowment share per plan level and endowment report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endowments participate in a plan item, then the item's budget is split by their shares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an endowment is used in a plan, then it cannot be deleted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F24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Should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UC16, UC26, UC27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Needs decision: How are endowment shares decided (equal, by size, manual)?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F26  Executive dashboard and reports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Management gets the numbers without asking the team.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Dashboard: budget, applications by stage, projects, payments, delays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Standard reports (applications, projects, payments, partners) with filters and Excel export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Staff workload and performance view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the dashboard, then figures match the registers they come from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report with filters, when exported, then the Excel file contains the same rows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F23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Should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UC12, UC86, UC87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Needs decision: Which reports does management request today?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F27  Productivity tools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Staff spend less time navigating and deciding.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Global search across partners, applications, projects and payments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Saved views and list exports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Decide directly from a task, and bulk decisions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Focus mode for processing tasks one by one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search term, then results show only records the user may access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decision from a task or focus mode, then the same rules apply as on the application page (e.g. pass score)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F13, F21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Could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UC04, UC06, UC07, UC94, UC96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1"/>
        <w:pageBreakBefore/>
      </w:pPr>
      <w:r>
        <w:t>R8 — Advanced grant types &amp; AI</w:t>
      </w:r>
    </w:p>
    <w:p>
      <w:pPr>
        <w:spacing w:after="160" w:before="0" w:line="240" w:lineRule="auto"/>
        <w:ind w:left="0" w:firstLine="0"/>
      </w:pPr>
      <w:r>
        <w:rPr>
          <w:b w:val="0"/>
          <w:i w:val="0"/>
        </w:rPr>
        <w:t>Additional grant models and AI assistance on top of the working core.</w:t>
      </w:r>
    </w:p>
    <w:p>
      <w:pPr>
        <w:pStyle w:val="Heading3"/>
      </w:pPr>
      <w:r>
        <w:t>F28  Configuration library and governance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Admins reuse setups and every sensitive change is traceable.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Workflow templates reusable across opportunities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Communication templates and reference lists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Applicant types open / closed for registration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Sensitive configuration changes require an evidence document and keep history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template is applied to an opportunity, then its stages and criteria are copied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sensitive setting is changed, then an evidence document is required and the old value is kept in history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F13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Could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UC14, UC15, UC18, UC34, UC38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F29  Custom roles and permissions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The foundation adapts access to its own structure.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Permission matrix (view / write / delete) by role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Create custom roles, optionally copying a system role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Enable / disable permissions for a whole role, with change history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permission is disabled for a role, then every user with that role loses it at their next action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custom role is assigned to staff, then it cannot be deleted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any permission change, then it is recorded with user, time and before / after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F02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Should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UC10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Needs decision: Q149 — may system roles be edited, or only custom roles?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F30  AI assistance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AI saves time on forms and evaluation while people keep every decision.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AI pre-fill of application forms from uploaded documents (charity confirms)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AI document check on attachments (advisory)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AI evaluation summary for reviewers and external AI evaluation report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AI assistant for questions on grant data (read-only, proposes links)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AI proposes values, then nothing is saved until the user confirms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an AI check flags a document, then the user can still proceed (advisory only)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the AI assistant answers, then it uses only data the user may access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F13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Could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UC05, UC48, UC61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Needs decision: Which AI provider, and what data may be sent to it?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F31  In-kind (product) grants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The foundation can grant products from its stock, not only money.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Product catalog with stock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Product opportunities and product requests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Approval deducts stock; delivery recorded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 request above available stock, then it is refused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 product grant is approved, then stock is deducted once and delivery is tracked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F14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Could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UC35, UC68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F32  Tendered projects (RFP)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The foundation can tender a defined project and award the best offer.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Define the tendered project (scope, deliverables, budget)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Invited charities submit offers; side-by-side comparison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Award to one evaluated offer; others closed with notice; contract and project created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an offer above the budget, then it is refused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an RFP is awarded, then only an evaluated offer above the pass score can win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an award, then all other offers are closed and notified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F17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Could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UC37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F33  Multi-project grants, merges and funding conditions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Complex grants are handled without workarounds.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Split one application into several projects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Merge applications of the same charity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Funding conditions, co-funding and indicators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Internal initiatives run by the foundation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an application is split, then the projects' budgets total the approved amount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co-funding conditions are unconfirmed, then final approval is blocked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3. Given merged applications, then one contract is created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F17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Could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UC65, UC66, UC73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Yes</w:t>
            </w:r>
          </w:p>
        </w:tc>
      </w:tr>
    </w:tbl>
    <w:p>
      <w:pPr>
        <w:spacing w:after="120" w:before="0" w:line="240" w:lineRule="auto"/>
        <w:ind w:left="0" w:firstLine="0"/>
      </w:pPr>
    </w:p>
    <w:p>
      <w:pPr>
        <w:pStyle w:val="Heading3"/>
      </w:pPr>
      <w:r>
        <w:t>F34  Multi-organization platform</w:t>
      </w:r>
    </w:p>
    <w:tbl>
      <w:tblPr>
        <w:tblW w:type="dxa" w:w="10255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72"/>
        <w:gridCol w:w="8483"/>
      </w:tblGrid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Value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Several grantor foundations can use the same platform separately.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Scope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Platform admin registers and suspends grantor organizations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• Strict data isolation between organizations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Acceptance criteria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1. Given two organizations, then users of one never see the other's data</w:t>
            </w:r>
          </w:p>
          <w:p>
            <w:pPr>
              <w:spacing w:after="40" w:before="0" w:line="240" w:lineRule="auto"/>
              <w:ind w:left="240" w:hanging="240"/>
            </w:pPr>
            <w:r>
              <w:rPr>
                <w:b w:val="0"/>
                <w:i w:val="0"/>
                <w:sz w:val="19"/>
                <w:szCs w:val="19"/>
              </w:rPr>
              <w:t>2. Given an organization is suspended, then its users cannot sign in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F02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Priority / size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Won't (this year)  ·  M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BRD use cases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UC17</w:t>
            </w:r>
          </w:p>
        </w:tc>
      </w:tr>
      <w:tr>
        <w:trPr>
          <w:cantSplit/>
        </w:trPr>
        <w:tc>
          <w:tcPr>
            <w:tcW w:type="dxa" w:w="1772"/>
            <w:shd w:val="clear" w:color="auto" w:fill="4C8479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/>
                <w:i w:val="0"/>
                <w:color w:val="FFFFFF"/>
                <w:sz w:val="19"/>
                <w:szCs w:val="19"/>
              </w:rPr>
              <w:t>Ready</w:t>
            </w:r>
          </w:p>
        </w:tc>
        <w:tc>
          <w:tcPr>
            <w:tcW w:type="dxa" w:w="8483"/>
            <w:vAlign w:val="center"/>
          </w:tcPr>
          <w:p>
            <w:pPr>
              <w:spacing w:after="40" w:before="0" w:line="240" w:lineRule="auto"/>
              <w:ind w:left="0" w:firstLine="0"/>
            </w:pPr>
            <w:r>
              <w:rPr>
                <w:b w:val="0"/>
                <w:i w:val="0"/>
                <w:sz w:val="19"/>
                <w:szCs w:val="19"/>
              </w:rPr>
              <w:t>Needs decision: Is Manih for one foundation or several?</w:t>
            </w:r>
          </w:p>
        </w:tc>
      </w:tr>
    </w:tbl>
    <w:p>
      <w:pPr>
        <w:spacing w:after="120" w:before="0" w:line="240" w:lineRule="auto"/>
        <w:ind w:left="0" w:firstLine="0"/>
      </w:pP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6838" w:w="11906" w:orient="portrait"/>
      <w:pgMar w:bottom="720" w:top="720" w:left="720" w:right="720" w:header="720" w:footer="720" w:gut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  <w:font w:name="Objectivity Ligh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pBdr>
        <w:top w:val="single" w:sz="4" w:space="4" w:color="BFBFBF"/>
      </w:pBdr>
      <w:tabs>
        <w:tab w:pos="10224" w:val="right"/>
      </w:tabs>
      <w:spacing w:after="0" w:before="0" w:line="240" w:lineRule="auto"/>
      <w:ind w:left="0" w:firstLine="0"/>
    </w:pPr>
    <w:r>
      <w:rPr>
        <w:b w:val="0"/>
        <w:i w:val="0"/>
        <w:color w:val="595959"/>
        <w:sz w:val="17"/>
        <w:szCs w:val="17"/>
      </w:rPr>
      <w:t>Manih Grant Management System — Release Backlog</w:t>
    </w:r>
    <w:r>
      <w:tab/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pBdr>
        <w:top w:val="single" w:sz="4" w:space="4" w:color="BFBFBF"/>
      </w:pBdr>
      <w:tabs>
        <w:tab w:pos="10224" w:val="right"/>
      </w:tabs>
      <w:spacing w:after="0" w:before="0" w:line="240" w:lineRule="auto"/>
      <w:ind w:left="0" w:firstLine="0"/>
    </w:pPr>
    <w:r>
      <w:rPr>
        <w:b w:val="0"/>
        <w:i w:val="0"/>
        <w:color w:val="595959"/>
        <w:sz w:val="17"/>
        <w:szCs w:val="17"/>
      </w:rPr>
      <w:t>Manih Grant Management System — Release Backlog</w:t>
    </w:r>
    <w:r>
      <w:tab/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pBdr>
        <w:bottom w:val="single" w:sz="8" w:space="4" w:color="4C8479"/>
      </w:pBdr>
      <w:tabs>
        <w:tab w:pos="10224" w:val="right"/>
      </w:tabs>
      <w:spacing w:after="0" w:before="0" w:line="240" w:lineRule="auto"/>
      <w:ind w:left="0" w:firstLine="0"/>
    </w:pPr>
    <w:r>
      <w:rPr>
        <w:b/>
        <w:i w:val="0"/>
        <w:color w:val="4C8479"/>
        <w:sz w:val="24"/>
        <w:szCs w:val="24"/>
      </w:rPr>
      <w:t>Manih  |  مانح</w:t>
    </w:r>
    <w:r>
      <w:tab/>
    </w:r>
    <w:r>
      <w:rPr>
        <w:b w:val="0"/>
        <w:i w:val="0"/>
        <w:color w:val="595959"/>
        <w:sz w:val="18"/>
        <w:szCs w:val="18"/>
      </w:rPr>
      <w:t>Release Backlog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pBdr>
        <w:bottom w:val="single" w:sz="8" w:space="4" w:color="4C8479"/>
      </w:pBdr>
      <w:tabs>
        <w:tab w:pos="10224" w:val="right"/>
      </w:tabs>
      <w:spacing w:after="0" w:before="0" w:line="240" w:lineRule="auto"/>
      <w:ind w:left="0" w:firstLine="0"/>
    </w:pPr>
    <w:r>
      <w:rPr>
        <w:b/>
        <w:i w:val="0"/>
        <w:color w:val="4C8479"/>
        <w:sz w:val="24"/>
        <w:szCs w:val="24"/>
      </w:rPr>
      <w:t>Manih  |  مانح</w:t>
    </w:r>
    <w:r>
      <w:tab/>
    </w:r>
    <w:r>
      <w:rPr>
        <w:b w:val="0"/>
        <w:i w:val="0"/>
        <w:color w:val="595959"/>
        <w:sz w:val="18"/>
        <w:szCs w:val="18"/>
      </w:rPr>
      <w:t>Release Backlog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50" w:hanging="360"/>
      </w:pPr>
      <w:rPr/>
    </w:lvl>
    <w:lvl w:ilvl="1">
      <w:start w:val="1"/>
      <w:numFmt w:val="decimal"/>
      <w:lvlText w:val="%1.%2"/>
      <w:lvlJc w:val="left"/>
      <w:pPr>
        <w:ind w:left="1570" w:hanging="720"/>
      </w:pPr>
      <w:rPr/>
    </w:lvl>
    <w:lvl w:ilvl="2">
      <w:start w:val="1"/>
      <w:numFmt w:val="decimal"/>
      <w:lvlText w:val="%1.%2.%3"/>
      <w:lvlJc w:val="left"/>
      <w:pPr>
        <w:ind w:left="1428" w:hanging="719.9999999999999"/>
      </w:pPr>
      <w:rPr/>
    </w:lvl>
    <w:lvl w:ilvl="3">
      <w:start w:val="1"/>
      <w:numFmt w:val="decimal"/>
      <w:lvlText w:val="%1.%2.%3.%4"/>
      <w:lvlJc w:val="left"/>
      <w:pPr>
        <w:ind w:left="1788" w:hanging="1080"/>
      </w:pPr>
      <w:rPr/>
    </w:lvl>
    <w:lvl w:ilvl="4">
      <w:start w:val="1"/>
      <w:numFmt w:val="decimal"/>
      <w:lvlText w:val="%1.%2.%3.%4.%5"/>
      <w:lvlJc w:val="left"/>
      <w:pPr>
        <w:ind w:left="2148" w:hanging="1440"/>
      </w:pPr>
      <w:rPr/>
    </w:lvl>
    <w:lvl w:ilvl="5">
      <w:start w:val="1"/>
      <w:numFmt w:val="decimal"/>
      <w:lvlText w:val="%1.%2.%3.%4.%5.%6"/>
      <w:lvlJc w:val="left"/>
      <w:pPr>
        <w:ind w:left="2148" w:hanging="1440"/>
      </w:pPr>
      <w:rPr/>
    </w:lvl>
    <w:lvl w:ilvl="6">
      <w:start w:val="1"/>
      <w:numFmt w:val="decimal"/>
      <w:lvlText w:val="%1.%2.%3.%4.%5.%6.%7"/>
      <w:lvlJc w:val="left"/>
      <w:pPr>
        <w:ind w:left="2508" w:hanging="1800"/>
      </w:pPr>
      <w:rPr/>
    </w:lvl>
    <w:lvl w:ilvl="7">
      <w:start w:val="1"/>
      <w:numFmt w:val="decimal"/>
      <w:lvlText w:val="%1.%2.%3.%4.%5.%6.%7.%8"/>
      <w:lvlJc w:val="left"/>
      <w:pPr>
        <w:ind w:left="2868" w:hanging="2160"/>
      </w:pPr>
      <w:rPr/>
    </w:lvl>
    <w:lvl w:ilvl="8">
      <w:start w:val="1"/>
      <w:numFmt w:val="decimal"/>
      <w:lvlText w:val="%1.%2.%3.%4.%5.%6.%7.%8.%9"/>
      <w:lvlJc w:val="left"/>
      <w:pPr>
        <w:ind w:left="2868" w:hanging="2160"/>
      </w:pPr>
      <w:rPr/>
    </w:lvl>
  </w:abstractNum>
  <w:abstractNum w:abstractNumId="4"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8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6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4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0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28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85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73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59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31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03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75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47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19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913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BRQ%1"/>
      <w:lvlJc w:val="center"/>
      <w:pPr>
        <w:ind w:left="785" w:hanging="360"/>
      </w:pPr>
      <w:rPr/>
    </w:lvl>
    <w:lvl w:ilvl="1">
      <w:start w:val="1"/>
      <w:numFmt w:val="lowerLetter"/>
      <w:lvlText w:val="%2."/>
      <w:lvlJc w:val="left"/>
      <w:pPr>
        <w:ind w:left="1505" w:hanging="360"/>
      </w:pPr>
      <w:rPr/>
    </w:lvl>
    <w:lvl w:ilvl="2">
      <w:start w:val="1"/>
      <w:numFmt w:val="lowerRoman"/>
      <w:lvlText w:val="%3."/>
      <w:lvlJc w:val="right"/>
      <w:pPr>
        <w:ind w:left="2225" w:hanging="180"/>
      </w:pPr>
      <w:rPr/>
    </w:lvl>
    <w:lvl w:ilvl="3">
      <w:start w:val="1"/>
      <w:numFmt w:val="decimal"/>
      <w:lvlText w:val="%4."/>
      <w:lvlJc w:val="left"/>
      <w:pPr>
        <w:ind w:left="2945" w:hanging="360"/>
      </w:pPr>
      <w:rPr/>
    </w:lvl>
    <w:lvl w:ilvl="4">
      <w:start w:val="1"/>
      <w:numFmt w:val="lowerLetter"/>
      <w:lvlText w:val="%5."/>
      <w:lvlJc w:val="left"/>
      <w:pPr>
        <w:ind w:left="3665" w:hanging="360"/>
      </w:pPr>
      <w:rPr/>
    </w:lvl>
    <w:lvl w:ilvl="5">
      <w:start w:val="1"/>
      <w:numFmt w:val="lowerRoman"/>
      <w:lvlText w:val="%6."/>
      <w:lvlJc w:val="right"/>
      <w:pPr>
        <w:ind w:left="4385" w:hanging="180"/>
      </w:pPr>
      <w:rPr/>
    </w:lvl>
    <w:lvl w:ilvl="6">
      <w:start w:val="1"/>
      <w:numFmt w:val="decimal"/>
      <w:lvlText w:val="%7."/>
      <w:lvlJc w:val="left"/>
      <w:pPr>
        <w:ind w:left="5105" w:hanging="360"/>
      </w:pPr>
      <w:rPr/>
    </w:lvl>
    <w:lvl w:ilvl="7">
      <w:start w:val="1"/>
      <w:numFmt w:val="lowerLetter"/>
      <w:lvlText w:val="%8."/>
      <w:lvlJc w:val="left"/>
      <w:pPr>
        <w:ind w:left="5825" w:hanging="360"/>
      </w:pPr>
      <w:rPr/>
    </w:lvl>
    <w:lvl w:ilvl="8">
      <w:start w:val="1"/>
      <w:numFmt w:val="lowerRoman"/>
      <w:lvlText w:val="%9."/>
      <w:lvlJc w:val="right"/>
      <w:pPr>
        <w:ind w:left="6545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2"/>
        <w:szCs w:val="22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63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decimal"/>
      <w:lvlText w:val="ERR%1"/>
      <w:lvlJc w:val="center"/>
      <w:pPr>
        <w:ind w:left="785" w:hanging="360"/>
      </w:pPr>
      <w:rPr/>
    </w:lvl>
    <w:lvl w:ilvl="1">
      <w:start w:val="1"/>
      <w:numFmt w:val="lowerLetter"/>
      <w:lvlText w:val="%2."/>
      <w:lvlJc w:val="left"/>
      <w:pPr>
        <w:ind w:left="1505" w:hanging="360"/>
      </w:pPr>
      <w:rPr/>
    </w:lvl>
    <w:lvl w:ilvl="2">
      <w:start w:val="1"/>
      <w:numFmt w:val="lowerRoman"/>
      <w:lvlText w:val="%3."/>
      <w:lvlJc w:val="right"/>
      <w:pPr>
        <w:ind w:left="2225" w:hanging="180"/>
      </w:pPr>
      <w:rPr/>
    </w:lvl>
    <w:lvl w:ilvl="3">
      <w:start w:val="1"/>
      <w:numFmt w:val="decimal"/>
      <w:lvlText w:val="%4."/>
      <w:lvlJc w:val="left"/>
      <w:pPr>
        <w:ind w:left="2945" w:hanging="360"/>
      </w:pPr>
      <w:rPr/>
    </w:lvl>
    <w:lvl w:ilvl="4">
      <w:start w:val="1"/>
      <w:numFmt w:val="lowerLetter"/>
      <w:lvlText w:val="%5."/>
      <w:lvlJc w:val="left"/>
      <w:pPr>
        <w:ind w:left="3665" w:hanging="360"/>
      </w:pPr>
      <w:rPr/>
    </w:lvl>
    <w:lvl w:ilvl="5">
      <w:start w:val="1"/>
      <w:numFmt w:val="lowerRoman"/>
      <w:lvlText w:val="%6."/>
      <w:lvlJc w:val="right"/>
      <w:pPr>
        <w:ind w:left="4385" w:hanging="180"/>
      </w:pPr>
      <w:rPr/>
    </w:lvl>
    <w:lvl w:ilvl="6">
      <w:start w:val="1"/>
      <w:numFmt w:val="decimal"/>
      <w:lvlText w:val="%7."/>
      <w:lvlJc w:val="left"/>
      <w:pPr>
        <w:ind w:left="5105" w:hanging="360"/>
      </w:pPr>
      <w:rPr/>
    </w:lvl>
    <w:lvl w:ilvl="7">
      <w:start w:val="1"/>
      <w:numFmt w:val="lowerLetter"/>
      <w:lvlText w:val="%8."/>
      <w:lvlJc w:val="left"/>
      <w:pPr>
        <w:ind w:left="5825" w:hanging="360"/>
      </w:pPr>
      <w:rPr/>
    </w:lvl>
    <w:lvl w:ilvl="8">
      <w:start w:val="1"/>
      <w:numFmt w:val="lowerRoman"/>
      <w:lvlText w:val="%9."/>
      <w:lvlJc w:val="right"/>
      <w:pPr>
        <w:ind w:left="6545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decimal"/>
      <w:lvlText w:val="BRQ%1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ERR%1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BRQ%1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45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>
        <w:color w:val="469e83"/>
      </w:rPr>
    </w:lvl>
    <w:lvl w:ilvl="1">
      <w:start w:val="1"/>
      <w:numFmt w:val="decimal"/>
      <w:lvlText w:val="%1.%2"/>
      <w:lvlJc w:val="left"/>
      <w:pPr>
        <w:ind w:left="1080" w:hanging="360"/>
      </w:pPr>
      <w:rPr/>
    </w:lvl>
    <w:lvl w:ilvl="2">
      <w:start w:val="1"/>
      <w:numFmt w:val="decimal"/>
      <w:lvlText w:val="%1.%2.%3"/>
      <w:lvlJc w:val="left"/>
      <w:pPr>
        <w:ind w:left="2137" w:hanging="720"/>
      </w:pPr>
      <w:rPr/>
    </w:lvl>
    <w:lvl w:ilvl="3">
      <w:start w:val="1"/>
      <w:numFmt w:val="decimal"/>
      <w:lvlText w:val="%1.%2.%3.%4"/>
      <w:lvlJc w:val="left"/>
      <w:pPr>
        <w:ind w:left="2520" w:hanging="1080"/>
      </w:pPr>
      <w:rPr/>
    </w:lvl>
    <w:lvl w:ilvl="4">
      <w:start w:val="1"/>
      <w:numFmt w:val="decimal"/>
      <w:lvlText w:val="%1.%2.%3.%4.%5"/>
      <w:lvlJc w:val="left"/>
      <w:pPr>
        <w:ind w:left="2880" w:hanging="1080"/>
      </w:pPr>
      <w:rPr/>
    </w:lvl>
    <w:lvl w:ilvl="5">
      <w:start w:val="1"/>
      <w:numFmt w:val="decimal"/>
      <w:lvlText w:val="%1.%2.%3.%4.%5.%6"/>
      <w:lvlJc w:val="left"/>
      <w:pPr>
        <w:ind w:left="3600" w:hanging="1440"/>
      </w:pPr>
      <w:rPr/>
    </w:lvl>
    <w:lvl w:ilvl="6">
      <w:start w:val="1"/>
      <w:numFmt w:val="decimal"/>
      <w:lvlText w:val="%1.%2.%3.%4.%5.%6.%7"/>
      <w:lvlJc w:val="left"/>
      <w:pPr>
        <w:ind w:left="3960" w:hanging="1440"/>
      </w:pPr>
      <w:rPr/>
    </w:lvl>
    <w:lvl w:ilvl="7">
      <w:start w:val="1"/>
      <w:numFmt w:val="decimal"/>
      <w:lvlText w:val="%1.%2.%3.%4.%5.%6.%7.%8"/>
      <w:lvlJc w:val="left"/>
      <w:pPr>
        <w:ind w:left="4680" w:hanging="1800"/>
      </w:pPr>
      <w:rPr/>
    </w:lvl>
    <w:lvl w:ilvl="8">
      <w:start w:val="1"/>
      <w:numFmt w:val="decimal"/>
      <w:lvlText w:val="%1.%2.%3.%4.%5.%6.%7.%8.%9"/>
      <w:lvlJc w:val="left"/>
      <w:pPr>
        <w:ind w:left="5400" w:hanging="2160"/>
      </w:pPr>
      <w:rPr/>
    </w:lvl>
  </w:abstractNum>
  <w:abstractNum w:abstractNumId="20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99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3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5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9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1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5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170" w:hanging="360"/>
      </w:pPr>
      <w:rPr>
        <w:rFonts w:ascii="Courier New" w:cs="Courier New" w:eastAsia="Courier New" w:hAnsi="Courier New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16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70" w:hanging="360"/>
      </w:pPr>
      <w:rPr>
        <w:rFonts w:ascii="Courier New" w:cs="Courier New" w:eastAsia="Courier New" w:hAnsi="Courier New"/>
      </w:rPr>
    </w:lvl>
    <w:lvl w:ilvl="2">
      <w:start w:val="1"/>
      <w:numFmt w:val="decimal"/>
      <w:lvlText w:val="%3."/>
      <w:lvlJc w:val="left"/>
      <w:pPr>
        <w:ind w:left="3060" w:hanging="360"/>
      </w:pPr>
      <w:rPr/>
    </w:lvl>
    <w:lvl w:ilvl="3">
      <w:start w:val="1"/>
      <w:numFmt w:val="decimal"/>
      <w:lvlText w:val="%4."/>
      <w:lvlJc w:val="left"/>
      <w:pPr>
        <w:ind w:left="3780" w:hanging="360"/>
      </w:pPr>
      <w:rPr/>
    </w:lvl>
    <w:lvl w:ilvl="4">
      <w:start w:val="1"/>
      <w:numFmt w:val="decimal"/>
      <w:lvlText w:val="%5."/>
      <w:lvlJc w:val="left"/>
      <w:pPr>
        <w:ind w:left="4500" w:hanging="360"/>
      </w:pPr>
      <w:rPr/>
    </w:lvl>
    <w:lvl w:ilvl="5">
      <w:start w:val="1"/>
      <w:numFmt w:val="decimal"/>
      <w:lvlText w:val="%6."/>
      <w:lvlJc w:val="left"/>
      <w:pPr>
        <w:ind w:left="5220" w:hanging="360"/>
      </w:pPr>
      <w:rPr/>
    </w:lvl>
    <w:lvl w:ilvl="6">
      <w:start w:val="1"/>
      <w:numFmt w:val="decimal"/>
      <w:lvlText w:val="%7."/>
      <w:lvlJc w:val="left"/>
      <w:pPr>
        <w:ind w:left="5940" w:hanging="360"/>
      </w:pPr>
      <w:rPr/>
    </w:lvl>
    <w:lvl w:ilvl="7">
      <w:start w:val="1"/>
      <w:numFmt w:val="decimal"/>
      <w:lvlText w:val="%8."/>
      <w:lvlJc w:val="left"/>
      <w:pPr>
        <w:ind w:left="6660" w:hanging="360"/>
      </w:pPr>
      <w:rPr/>
    </w:lvl>
    <w:lvl w:ilvl="8">
      <w:start w:val="1"/>
      <w:numFmt w:val="decimal"/>
      <w:lvlText w:val="%9."/>
      <w:lvlJc w:val="left"/>
      <w:pPr>
        <w:ind w:left="73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6"/>
      <w:numFmt w:val="bullet"/>
      <w:lvlText w:val="•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decimal"/>
      <w:lvlText w:val="%1."/>
      <w:lvlJc w:val="left"/>
      <w:pPr>
        <w:ind w:left="1170" w:hanging="360"/>
      </w:pPr>
      <w:rPr/>
    </w:lvl>
    <w:lvl w:ilvl="1">
      <w:start w:val="6"/>
      <w:numFmt w:val="bullet"/>
      <w:lvlText w:val="•"/>
      <w:lvlJc w:val="left"/>
      <w:pPr>
        <w:ind w:left="189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▪"/>
      <w:lvlJc w:val="left"/>
      <w:pPr>
        <w:ind w:left="26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2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3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decimal"/>
      <w:lvlText w:val="%1."/>
      <w:lvlJc w:val="left"/>
      <w:pPr>
        <w:ind w:left="900" w:hanging="360"/>
      </w:pPr>
      <w:rPr/>
    </w:lvl>
    <w:lvl w:ilvl="1">
      <w:start w:val="1"/>
      <w:numFmt w:val="lowerLetter"/>
      <w:lvlText w:val="%2."/>
      <w:lvlJc w:val="left"/>
      <w:pPr>
        <w:ind w:left="2250" w:hanging="360"/>
      </w:pPr>
      <w:rPr/>
    </w:lvl>
    <w:lvl w:ilvl="2">
      <w:start w:val="1"/>
      <w:numFmt w:val="lowerRoman"/>
      <w:lvlText w:val="%3."/>
      <w:lvlJc w:val="right"/>
      <w:pPr>
        <w:ind w:left="2970" w:hanging="180"/>
      </w:pPr>
      <w:rPr/>
    </w:lvl>
    <w:lvl w:ilvl="3">
      <w:start w:val="1"/>
      <w:numFmt w:val="decimal"/>
      <w:lvlText w:val="%4."/>
      <w:lvlJc w:val="left"/>
      <w:pPr>
        <w:ind w:left="3690" w:hanging="360"/>
      </w:pPr>
      <w:rPr/>
    </w:lvl>
    <w:lvl w:ilvl="4">
      <w:start w:val="1"/>
      <w:numFmt w:val="lowerLetter"/>
      <w:lvlText w:val="%5."/>
      <w:lvlJc w:val="left"/>
      <w:pPr>
        <w:ind w:left="4410" w:hanging="360"/>
      </w:pPr>
      <w:rPr/>
    </w:lvl>
    <w:lvl w:ilvl="5">
      <w:start w:val="1"/>
      <w:numFmt w:val="lowerRoman"/>
      <w:lvlText w:val="%6."/>
      <w:lvlJc w:val="right"/>
      <w:pPr>
        <w:ind w:left="5130" w:hanging="180"/>
      </w:pPr>
      <w:rPr/>
    </w:lvl>
    <w:lvl w:ilvl="6">
      <w:start w:val="1"/>
      <w:numFmt w:val="decimal"/>
      <w:lvlText w:val="%7."/>
      <w:lvlJc w:val="left"/>
      <w:pPr>
        <w:ind w:left="5850" w:hanging="360"/>
      </w:pPr>
      <w:rPr/>
    </w:lvl>
    <w:lvl w:ilvl="7">
      <w:start w:val="1"/>
      <w:numFmt w:val="lowerLetter"/>
      <w:lvlText w:val="%8."/>
      <w:lvlJc w:val="left"/>
      <w:pPr>
        <w:ind w:left="6570" w:hanging="360"/>
      </w:pPr>
      <w:rPr/>
    </w:lvl>
    <w:lvl w:ilvl="8">
      <w:start w:val="1"/>
      <w:numFmt w:val="lowerRoman"/>
      <w:lvlText w:val="%9."/>
      <w:lvlJc w:val="right"/>
      <w:pPr>
        <w:ind w:left="7290" w:hanging="180"/>
      </w:pPr>
      <w:rPr/>
    </w:lvl>
  </w:abstractNum>
  <w:abstractNum w:abstractNumId="29">
    <w:lvl w:ilvl="0">
      <w:start w:val="1"/>
      <w:numFmt w:val="decimal"/>
      <w:lvlText w:val="BRQ%1"/>
      <w:lvlJc w:val="center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450" w:hanging="360"/>
      </w:pPr>
      <w:rPr/>
    </w:lvl>
    <w:lvl w:ilvl="1">
      <w:start w:val="1"/>
      <w:numFmt w:val="decimal"/>
      <w:lvlText w:val="%1.%2"/>
      <w:lvlJc w:val="left"/>
      <w:pPr>
        <w:ind w:left="1570" w:hanging="720"/>
      </w:pPr>
      <w:rPr/>
    </w:lvl>
    <w:lvl w:ilvl="2">
      <w:start w:val="1"/>
      <w:numFmt w:val="decimal"/>
      <w:lvlText w:val="%1.%2.%3"/>
      <w:lvlJc w:val="left"/>
      <w:pPr>
        <w:ind w:left="1428" w:hanging="719.9999999999999"/>
      </w:pPr>
      <w:rPr/>
    </w:lvl>
    <w:lvl w:ilvl="3">
      <w:start w:val="1"/>
      <w:numFmt w:val="decimal"/>
      <w:lvlText w:val="%1.%2.%3.%4"/>
      <w:lvlJc w:val="left"/>
      <w:pPr>
        <w:ind w:left="1788" w:hanging="1080"/>
      </w:pPr>
      <w:rPr/>
    </w:lvl>
    <w:lvl w:ilvl="4">
      <w:start w:val="1"/>
      <w:numFmt w:val="decimal"/>
      <w:lvlText w:val="%1.%2.%3.%4.%5"/>
      <w:lvlJc w:val="left"/>
      <w:pPr>
        <w:ind w:left="2148" w:hanging="1440"/>
      </w:pPr>
      <w:rPr/>
    </w:lvl>
    <w:lvl w:ilvl="5">
      <w:start w:val="1"/>
      <w:numFmt w:val="decimal"/>
      <w:lvlText w:val="%1.%2.%3.%4.%5.%6"/>
      <w:lvlJc w:val="left"/>
      <w:pPr>
        <w:ind w:left="2148" w:hanging="1440"/>
      </w:pPr>
      <w:rPr/>
    </w:lvl>
    <w:lvl w:ilvl="6">
      <w:start w:val="1"/>
      <w:numFmt w:val="decimal"/>
      <w:lvlText w:val="%1.%2.%3.%4.%5.%6.%7"/>
      <w:lvlJc w:val="left"/>
      <w:pPr>
        <w:ind w:left="2508" w:hanging="1800"/>
      </w:pPr>
      <w:rPr/>
    </w:lvl>
    <w:lvl w:ilvl="7">
      <w:start w:val="1"/>
      <w:numFmt w:val="decimal"/>
      <w:lvlText w:val="%1.%2.%3.%4.%5.%6.%7.%8"/>
      <w:lvlJc w:val="left"/>
      <w:pPr>
        <w:ind w:left="2868" w:hanging="2160"/>
      </w:pPr>
      <w:rPr/>
    </w:lvl>
    <w:lvl w:ilvl="8">
      <w:start w:val="1"/>
      <w:numFmt w:val="decimal"/>
      <w:lvlText w:val="%1.%2.%3.%4.%5.%6.%7.%8.%9"/>
      <w:lvlJc w:val="left"/>
      <w:pPr>
        <w:ind w:left="2868" w:hanging="216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2">
    <w:lvl w:ilvl="0">
      <w:start w:val="1"/>
      <w:numFmt w:val="decimal"/>
      <w:lvlText w:val="ERR%1"/>
      <w:lvlJc w:val="center"/>
      <w:pPr>
        <w:ind w:left="810" w:hanging="360"/>
      </w:pPr>
      <w:rPr/>
    </w:lvl>
    <w:lvl w:ilvl="1">
      <w:start w:val="1"/>
      <w:numFmt w:val="lowerLetter"/>
      <w:lvlText w:val="%2."/>
      <w:lvlJc w:val="left"/>
      <w:pPr>
        <w:ind w:left="1530" w:hanging="360"/>
      </w:pPr>
      <w:rPr/>
    </w:lvl>
    <w:lvl w:ilvl="2">
      <w:start w:val="1"/>
      <w:numFmt w:val="lowerRoman"/>
      <w:lvlText w:val="%3."/>
      <w:lvlJc w:val="right"/>
      <w:pPr>
        <w:ind w:left="2250" w:hanging="180"/>
      </w:pPr>
      <w:rPr/>
    </w:lvl>
    <w:lvl w:ilvl="3">
      <w:start w:val="1"/>
      <w:numFmt w:val="decimal"/>
      <w:lvlText w:val="%4."/>
      <w:lvlJc w:val="left"/>
      <w:pPr>
        <w:ind w:left="2970" w:hanging="360"/>
      </w:pPr>
      <w:rPr/>
    </w:lvl>
    <w:lvl w:ilvl="4">
      <w:start w:val="1"/>
      <w:numFmt w:val="lowerLetter"/>
      <w:lvlText w:val="%5."/>
      <w:lvlJc w:val="left"/>
      <w:pPr>
        <w:ind w:left="3690" w:hanging="360"/>
      </w:pPr>
      <w:rPr/>
    </w:lvl>
    <w:lvl w:ilvl="5">
      <w:start w:val="1"/>
      <w:numFmt w:val="lowerRoman"/>
      <w:lvlText w:val="%6."/>
      <w:lvlJc w:val="right"/>
      <w:pPr>
        <w:ind w:left="4410" w:hanging="180"/>
      </w:pPr>
      <w:rPr/>
    </w:lvl>
    <w:lvl w:ilvl="6">
      <w:start w:val="1"/>
      <w:numFmt w:val="decimal"/>
      <w:lvlText w:val="%7."/>
      <w:lvlJc w:val="left"/>
      <w:pPr>
        <w:ind w:left="5130" w:hanging="360"/>
      </w:pPr>
      <w:rPr/>
    </w:lvl>
    <w:lvl w:ilvl="7">
      <w:start w:val="1"/>
      <w:numFmt w:val="lowerLetter"/>
      <w:lvlText w:val="%8."/>
      <w:lvlJc w:val="left"/>
      <w:pPr>
        <w:ind w:left="5850" w:hanging="360"/>
      </w:pPr>
      <w:rPr/>
    </w:lvl>
    <w:lvl w:ilvl="8">
      <w:start w:val="1"/>
      <w:numFmt w:val="lowerRoman"/>
      <w:lvlText w:val="%9."/>
      <w:lvlJc w:val="right"/>
      <w:pPr>
        <w:ind w:left="6570" w:hanging="18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1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53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5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97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69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41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13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585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updateFields w:val="true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bjectivity Light" w:cs="Objectivity Light" w:eastAsia="Objectivity Light" w:hAnsi="Objectivity Light"/>
        <w:color w:val="404040"/>
        <w:sz w:val="24"/>
        <w:szCs w:val="24"/>
        <w:lang w:val="en"/>
      </w:rPr>
    </w:rPrDefault>
    <w:pPrDefault>
      <w:pPr>
        <w:spacing w:after="160" w:line="259" w:lineRule="auto"/>
        <w:ind w:lef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ind w:left="0"/>
    </w:pPr>
  </w:style>
  <w:style w:type="paragraph" w:styleId="Heading1">
    <w:name w:val="heading 1"/>
    <w:basedOn w:val="Normal"/>
    <w:next w:val="Normal"/>
    <w:pPr>
      <w:keepNext w:val="1"/>
      <w:spacing w:after="160" w:before="360" w:line="240" w:lineRule="auto"/>
      <w:ind w:left="0" w:firstLine="0"/>
    </w:pPr>
    <w:rPr>
      <w:b w:val="1"/>
      <w:bCs w:val="1"/>
      <w:color w:val="469e83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Calibri" w:eastAsia="Calibri" w:hAnsi="Calibri"/>
      <w:b/>
      <w:bCs w:val="1"/>
      <w:i w:val="0"/>
      <w:iCs w:val="0"/>
      <w:smallCaps w:val="0"/>
      <w:strike w:val="0"/>
      <w:color w:val="469E83"/>
      <w:sz w:val="30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="240" w:lineRule="auto"/>
      <w:ind w:left="0" w:firstLine="0"/>
    </w:pPr>
    <w:rPr>
      <w:b w:val="1"/>
      <w:bCs w:val="1"/>
      <w:color w:val="487e74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e4d78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unhideWhenUsed w:val="1"/>
    <w:qFormat w:val="1"/>
    <w:rsid w:val="00CB6DA5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B6DA5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B6DA5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B6FD7"/>
    <w:rPr>
      <w:rFonts w:asciiTheme="majorBidi" w:cstheme="majorBidi" w:eastAsiaTheme="majorEastAsia" w:hAnsiTheme="majorBidi"/>
      <w:b w:val="1"/>
      <w:color w:val="469e83"/>
      <w:kern w:val="32"/>
      <w:sz w:val="44"/>
      <w:szCs w:val="44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813999"/>
    <w:rPr>
      <w:rFonts w:asciiTheme="majorBidi" w:cstheme="majorBidi" w:eastAsiaTheme="majorEastAsia" w:hAnsiTheme="majorBidi"/>
      <w:b w:val="1"/>
      <w:bCs w:val="1"/>
      <w:color w:val="469e83"/>
      <w:kern w:val="32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94A21"/>
    <w:rPr>
      <w:rFonts w:eastAsia="Cambria" w:asciiTheme="majorBidi" w:cstheme="majorBidi" w:hAnsiTheme="majorBidi"/>
      <w:b w:val="1"/>
      <w:color w:val="487e74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rsid w:val="00CB6DA5"/>
    <w:rPr>
      <w:rFonts w:asciiTheme="majorHAnsi" w:cstheme="majorBidi" w:eastAsiaTheme="majorEastAsia" w:hAnsiTheme="majorHAnsi"/>
      <w:i w:val="1"/>
      <w:iCs w:val="1"/>
      <w:color w:val="2e74b5" w:themeColor="accent1" w:themeShade="0000BF"/>
      <w:sz w:val="24"/>
      <w:szCs w:val="40"/>
    </w:rPr>
  </w:style>
  <w:style w:type="character" w:styleId="Heading5Char" w:customStyle="1">
    <w:name w:val="Heading 5 Char"/>
    <w:basedOn w:val="DefaultParagraphFont"/>
    <w:link w:val="Heading5"/>
    <w:uiPriority w:val="9"/>
    <w:rsid w:val="00CB6DA5"/>
    <w:rPr>
      <w:rFonts w:asciiTheme="majorHAnsi" w:cstheme="majorBidi" w:eastAsiaTheme="majorEastAsia" w:hAnsiTheme="majorHAnsi"/>
      <w:color w:val="2e74b5" w:themeColor="accent1" w:themeShade="0000BF"/>
      <w:sz w:val="24"/>
      <w:szCs w:val="40"/>
    </w:rPr>
  </w:style>
  <w:style w:type="character" w:styleId="Heading6Char" w:customStyle="1">
    <w:name w:val="Heading 6 Char"/>
    <w:basedOn w:val="DefaultParagraphFont"/>
    <w:link w:val="Heading6"/>
    <w:uiPriority w:val="9"/>
    <w:rsid w:val="00CB6DA5"/>
    <w:rPr>
      <w:rFonts w:asciiTheme="majorHAnsi" w:cstheme="majorBidi" w:eastAsiaTheme="majorEastAsia" w:hAnsiTheme="majorHAnsi"/>
      <w:color w:val="1f4d78" w:themeColor="accent1" w:themeShade="00007F"/>
      <w:sz w:val="24"/>
      <w:szCs w:val="40"/>
    </w:rPr>
  </w:style>
  <w:style w:type="character" w:styleId="Heading7Char" w:customStyle="1">
    <w:name w:val="Heading 7 Char"/>
    <w:basedOn w:val="DefaultParagraphFont"/>
    <w:link w:val="Heading7"/>
    <w:uiPriority w:val="9"/>
    <w:rsid w:val="00CB6DA5"/>
    <w:rPr>
      <w:rFonts w:asciiTheme="majorHAnsi" w:cstheme="majorBidi" w:eastAsiaTheme="majorEastAsia" w:hAnsiTheme="majorHAnsi"/>
      <w:i w:val="1"/>
      <w:iCs w:val="1"/>
      <w:color w:val="1f4d78" w:themeColor="accent1" w:themeShade="00007F"/>
      <w:sz w:val="24"/>
      <w:szCs w:val="4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B6DA5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B6DA5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table" w:styleId="TableGrid">
    <w:name w:val="Table Grid"/>
    <w:basedOn w:val="TableNormal"/>
    <w:uiPriority w:val="39"/>
    <w:rsid w:val="00CB6DA5"/>
    <w:pPr>
      <w:spacing w:after="0" w:line="240" w:lineRule="auto"/>
    </w:pPr>
    <w:rPr>
      <w:lang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CB6DA5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B6DA5"/>
    <w:rPr>
      <w:rFonts w:ascii="Objectivity Light" w:cs="Times New Roman" w:eastAsia="Cambria" w:hAnsi="Objectivity Light"/>
      <w:color w:val="404040" w:themeColor="text1" w:themeTint="0000BF"/>
      <w:sz w:val="24"/>
      <w:szCs w:val="40"/>
    </w:rPr>
  </w:style>
  <w:style w:type="character" w:styleId="TitleChar" w:customStyle="1">
    <w:name w:val="Title Char"/>
    <w:basedOn w:val="DefaultParagraphFont"/>
    <w:link w:val="Title"/>
    <w:uiPriority w:val="10"/>
    <w:rsid w:val="00CB6DA5"/>
    <w:rPr>
      <w:rFonts w:ascii="Objectivity Light" w:hAnsi="Objectivity Light" w:cstheme="majorBidi" w:eastAsiaTheme="majorEastAsia"/>
      <w:b w:val="1"/>
      <w:bCs w:val="1"/>
      <w:color w:val="404040" w:themeColor="text1" w:themeTint="0000BF"/>
      <w:spacing w:val="-10"/>
      <w:kern w:val="28"/>
      <w:sz w:val="56"/>
      <w:szCs w:val="72"/>
    </w:rPr>
  </w:style>
  <w:style w:type="paragraph" w:styleId="NDB" w:customStyle="1">
    <w:name w:val="NDB"/>
    <w:basedOn w:val="Footer"/>
    <w:link w:val="NDBChar"/>
    <w:qFormat w:val="1"/>
    <w:rsid w:val="00CB6DA5"/>
    <w:pPr>
      <w:tabs>
        <w:tab w:val="clear" w:pos="4680"/>
        <w:tab w:val="clear" w:pos="9360"/>
        <w:tab w:val="center" w:pos="4153"/>
        <w:tab w:val="right" w:pos="8306"/>
      </w:tabs>
    </w:pPr>
  </w:style>
  <w:style w:type="character" w:styleId="NDBChar" w:customStyle="1">
    <w:name w:val="NDB Char"/>
    <w:basedOn w:val="DefaultParagraphFont"/>
    <w:link w:val="NDB"/>
    <w:rsid w:val="00CB6DA5"/>
    <w:rPr>
      <w:rFonts w:ascii="Objectivity Light" w:cs="Times New Roman" w:eastAsia="Cambria" w:hAnsi="Objectivity Light"/>
      <w:color w:val="404040" w:themeColor="text1" w:themeTint="0000BF"/>
      <w:sz w:val="24"/>
      <w:szCs w:val="40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CB6DA5"/>
    <w:pPr>
      <w:keepLines w:val="1"/>
      <w:spacing w:line="259" w:lineRule="auto"/>
      <w:outlineLvl w:val="9"/>
    </w:pPr>
    <w:rPr>
      <w:rFonts w:asciiTheme="majorHAnsi" w:hAnsiTheme="majorHAnsi"/>
      <w:b w:val="0"/>
      <w:bCs w:val="1"/>
      <w:color w:val="2e74b5" w:themeColor="accent1" w:themeShade="0000BF"/>
      <w:kern w:val="0"/>
      <w:szCs w:val="32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CB6DA5"/>
    <w:pPr>
      <w:tabs>
        <w:tab w:val="left" w:pos="720"/>
        <w:tab w:val="right" w:leader="dot" w:pos="10456"/>
      </w:tabs>
      <w:spacing w:after="100"/>
      <w:ind w:left="220"/>
    </w:pPr>
    <w:rPr>
      <w:rFonts w:asciiTheme="minorHAnsi" w:eastAsiaTheme="minorEastAsia" w:hAnsiTheme="minorHAnsi"/>
      <w:noProof w:val="1"/>
      <w:color w:val="3b3838" w:themeColor="background2" w:themeShade="000040"/>
      <w:sz w:val="22"/>
      <w:szCs w:val="2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2E1367"/>
    <w:pPr>
      <w:tabs>
        <w:tab w:val="left" w:pos="440"/>
        <w:tab w:val="left" w:pos="1320"/>
        <w:tab w:val="right" w:leader="dot" w:pos="10456"/>
      </w:tabs>
      <w:spacing w:after="100"/>
    </w:pPr>
    <w:rPr>
      <w:rFonts w:asciiTheme="majorBidi" w:cstheme="majorBidi" w:eastAsiaTheme="minorEastAsia" w:hAnsiTheme="majorBidi"/>
      <w:b w:val="1"/>
      <w:bCs w:val="1"/>
      <w:noProof w:val="1"/>
      <w:color w:val="auto"/>
      <w:szCs w:val="24"/>
    </w:rPr>
  </w:style>
  <w:style w:type="paragraph" w:styleId="ListParagraph">
    <w:name w:val="List Paragraph"/>
    <w:aliases w:val="Use Case List Paragraph Char,YC Bulet,lp1,Bullet List,FooterText,numbered,Paragraphe de liste1,Bulet,3,POCG Table Text,Bullet Number,List Paragraph1,lp11,List Paragraph11,Bullet 1,Use Case List Paragraph,aList Paragraph,EsriNeA2,Liste 1"/>
    <w:basedOn w:val="Normal"/>
    <w:link w:val="ListParagraphChar"/>
    <w:uiPriority w:val="34"/>
    <w:qFormat w:val="1"/>
    <w:rsid w:val="00CB6DA5"/>
    <w:pPr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B6DA5"/>
    <w:rPr>
      <w:color w:val="0563c1" w:themeColor="hyperlink"/>
      <w:u w:val="single"/>
    </w:rPr>
  </w:style>
  <w:style w:type="paragraph" w:styleId="Style1" w:customStyle="1">
    <w:name w:val="Style1"/>
    <w:basedOn w:val="Heading1"/>
    <w:next w:val="Normal"/>
    <w:link w:val="Style1Char"/>
    <w:autoRedefine w:val="1"/>
    <w:qFormat w:val="1"/>
    <w:rsid w:val="008A065D"/>
    <w:pPr>
      <w:numPr>
        <w:numId w:val="4"/>
      </w:numPr>
    </w:pPr>
    <w:rPr>
      <w:rFonts w:eastAsia="Cambria"/>
      <w:szCs w:val="56"/>
    </w:rPr>
  </w:style>
  <w:style w:type="paragraph" w:styleId="BodyText">
    <w:name w:val="Body Text"/>
    <w:basedOn w:val="Normal"/>
    <w:link w:val="BodyTextChar"/>
    <w:rsid w:val="00CB6DA5"/>
    <w:pPr>
      <w:spacing w:after="0" w:line="240" w:lineRule="auto"/>
      <w:ind w:left="0"/>
    </w:pPr>
    <w:rPr>
      <w:rFonts w:ascii="Times New Roman" w:eastAsia="Times New Roman" w:hAnsi="Times New Roman"/>
      <w:color w:val="auto"/>
      <w:szCs w:val="20"/>
    </w:rPr>
  </w:style>
  <w:style w:type="character" w:styleId="BodyTextChar" w:customStyle="1">
    <w:name w:val="Body Text Char"/>
    <w:basedOn w:val="DefaultParagraphFont"/>
    <w:link w:val="BodyText"/>
    <w:rsid w:val="00CB6DA5"/>
    <w:rPr>
      <w:rFonts w:ascii="Times New Roman" w:cs="Times New Roman" w:eastAsia="Times New Roman" w:hAnsi="Times New Roman"/>
      <w:sz w:val="24"/>
      <w:szCs w:val="20"/>
    </w:rPr>
  </w:style>
  <w:style w:type="character" w:styleId="Style1Char" w:customStyle="1">
    <w:name w:val="Style1 Char"/>
    <w:basedOn w:val="Heading1Char"/>
    <w:link w:val="Style1"/>
    <w:rsid w:val="008A065D"/>
    <w:rPr>
      <w:rFonts w:eastAsia="Cambria" w:asciiTheme="majorBidi" w:cstheme="majorBidi" w:hAnsiTheme="majorBidi"/>
      <w:b w:val="1"/>
      <w:color w:val="469e83"/>
      <w:kern w:val="32"/>
      <w:sz w:val="44"/>
      <w:szCs w:val="56"/>
      <w:lang w:val="en-GB"/>
    </w:rPr>
  </w:style>
  <w:style w:type="paragraph" w:styleId="Footer">
    <w:name w:val="footer"/>
    <w:basedOn w:val="Normal"/>
    <w:link w:val="FooterChar"/>
    <w:uiPriority w:val="99"/>
    <w:unhideWhenUsed w:val="1"/>
    <w:rsid w:val="00CB6DA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B6DA5"/>
    <w:rPr>
      <w:rFonts w:ascii="Objectivity Light" w:cs="Times New Roman" w:eastAsia="Cambria" w:hAnsi="Objectivity Light"/>
      <w:color w:val="404040" w:themeColor="text1" w:themeTint="0000BF"/>
      <w:sz w:val="24"/>
      <w:szCs w:val="4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644694"/>
    <w:pPr>
      <w:spacing w:after="100"/>
      <w:ind w:left="480"/>
    </w:p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EB41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</w:pPr>
    <w:rPr>
      <w:rFonts w:ascii="Courier New" w:cs="Courier New" w:eastAsia="Times New Roman" w:hAnsi="Courier New"/>
      <w:color w:val="auto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EB4164"/>
    <w:rPr>
      <w:rFonts w:ascii="Courier New" w:cs="Courier New" w:eastAsia="Times New Roman" w:hAnsi="Courier New"/>
      <w:sz w:val="20"/>
      <w:szCs w:val="20"/>
    </w:rPr>
  </w:style>
  <w:style w:type="character" w:styleId="y2iqfc" w:customStyle="1">
    <w:name w:val="y2iqfc"/>
    <w:basedOn w:val="DefaultParagraphFont"/>
    <w:rsid w:val="00EB4164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491EAD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 w:val="1"/>
    <w:rsid w:val="00187268"/>
    <w:pPr>
      <w:spacing w:after="0" w:line="240" w:lineRule="auto"/>
      <w:ind w:left="0"/>
    </w:pPr>
    <w:rPr>
      <w:rFonts w:ascii="Times New Roman" w:hAnsi="Times New Roman" w:eastAsiaTheme="minorHAnsi"/>
      <w:color w:val="auto"/>
      <w:szCs w:val="24"/>
    </w:rPr>
  </w:style>
  <w:style w:type="paragraph" w:styleId="ListBullet">
    <w:name w:val="List Bullet"/>
    <w:basedOn w:val="Normal"/>
    <w:uiPriority w:val="99"/>
    <w:unhideWhenUsed w:val="1"/>
    <w:rsid w:val="00533E3B"/>
    <w:pPr>
      <w:numPr>
        <w:numId w:val="2"/>
      </w:numPr>
      <w:spacing w:after="0" w:line="240" w:lineRule="auto"/>
      <w:contextualSpacing w:val="1"/>
    </w:pPr>
    <w:rPr>
      <w:rFonts w:asciiTheme="minorHAnsi" w:cstheme="minorBidi" w:eastAsiaTheme="minorHAnsi" w:hAnsiTheme="minorHAnsi"/>
      <w:color w:val="auto"/>
      <w:szCs w:val="24"/>
    </w:rPr>
  </w:style>
  <w:style w:type="paragraph" w:styleId="TableParagraph" w:customStyle="1">
    <w:name w:val="Table Paragraph"/>
    <w:basedOn w:val="Normal"/>
    <w:uiPriority w:val="1"/>
    <w:qFormat w:val="1"/>
    <w:rsid w:val="00C93920"/>
    <w:pPr>
      <w:spacing w:after="0" w:before="1" w:line="240" w:lineRule="auto"/>
      <w:ind w:left="110"/>
    </w:pPr>
    <w:rPr>
      <w:rFonts w:ascii="Times New Roman" w:eastAsia="Times New Roman" w:hAnsi="Times New Roman"/>
      <w:color w:val="auto"/>
      <w:szCs w:val="24"/>
      <w:lang w:eastAsia="en-GB"/>
    </w:rPr>
  </w:style>
  <w:style w:type="paragraph" w:styleId="NoSpacing">
    <w:name w:val="No Spacing"/>
    <w:uiPriority w:val="1"/>
    <w:qFormat w:val="1"/>
    <w:rsid w:val="00036714"/>
    <w:pPr>
      <w:spacing w:after="0" w:line="240" w:lineRule="auto"/>
      <w:ind w:left="720"/>
    </w:pPr>
    <w:rPr>
      <w:rFonts w:ascii="Objectivity Light" w:cs="Times New Roman" w:eastAsia="Cambria" w:hAnsi="Objectivity Light"/>
      <w:color w:val="404040" w:themeColor="text1" w:themeTint="0000BF"/>
      <w:sz w:val="24"/>
      <w:szCs w:val="40"/>
    </w:rPr>
  </w:style>
  <w:style w:type="table" w:styleId="GridTable2-Accent6">
    <w:name w:val="Grid Table 2 Accent 6"/>
    <w:basedOn w:val="TableNormal"/>
    <w:uiPriority w:val="47"/>
    <w:rsid w:val="00814789"/>
    <w:pPr>
      <w:spacing w:after="0" w:line="240" w:lineRule="auto"/>
    </w:pPr>
    <w:tblPr>
      <w:tblStyleRowBandSize w:val="1"/>
      <w:tblStyleColBandSize w:val="1"/>
      <w:tblBorders>
        <w:top w:color="a8d08d" w:space="0" w:sz="2" w:themeColor="accent6" w:themeTint="000099" w:val="single"/>
        <w:bottom w:color="a8d08d" w:space="0" w:sz="2" w:themeColor="accent6" w:themeTint="000099" w:val="single"/>
        <w:insideH w:color="a8d08d" w:space="0" w:sz="2" w:themeColor="accent6" w:themeTint="000099" w:val="single"/>
        <w:insideV w:color="a8d08d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8d08d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GridTable3">
    <w:name w:val="Grid Table 3"/>
    <w:basedOn w:val="TableNormal"/>
    <w:uiPriority w:val="48"/>
    <w:rsid w:val="00814789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GridTable4-Accent6">
    <w:name w:val="Grid Table 4 Accent 6"/>
    <w:basedOn w:val="TableNormal"/>
    <w:uiPriority w:val="49"/>
    <w:rsid w:val="00814789"/>
    <w:pPr>
      <w:spacing w:after="0"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  <w:insideV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  <w:insideV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ListTable4-Accent6">
    <w:name w:val="List Table 4 Accent 6"/>
    <w:basedOn w:val="TableNormal"/>
    <w:uiPriority w:val="49"/>
    <w:rsid w:val="00814789"/>
    <w:pPr>
      <w:spacing w:after="0"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left w:color="a8d08d" w:space="0" w:sz="4" w:themeColor="accent6" w:themeTint="000099" w:val="single"/>
        <w:bottom w:color="a8d08d" w:space="0" w:sz="4" w:themeColor="accent6" w:themeTint="000099" w:val="single"/>
        <w:right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space="0" w:sz="0" w:val="nil"/>
        </w:tcBorders>
        <w:shd w:color="auto" w:fill="70ad47" w:themeFill="accent6" w:val="clear"/>
      </w:tcPr>
    </w:tblStylePr>
    <w:tblStylePr w:type="lastRow">
      <w:rPr>
        <w:b w:val="1"/>
        <w:bCs w:val="1"/>
      </w:rPr>
      <w:tblPr/>
      <w:tcPr>
        <w:tcBorders>
          <w:top w:color="a8d08d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ListTable2-Accent6">
    <w:name w:val="List Table 2 Accent 6"/>
    <w:basedOn w:val="TableNormal"/>
    <w:uiPriority w:val="47"/>
    <w:rsid w:val="00F75578"/>
    <w:pPr>
      <w:spacing w:after="0" w:line="240" w:lineRule="auto"/>
    </w:pPr>
    <w:tblPr>
      <w:tblStyleRowBandSize w:val="1"/>
      <w:tblStyleColBandSize w:val="1"/>
      <w:tblBorders>
        <w:top w:color="a8d08d" w:space="0" w:sz="4" w:themeColor="accent6" w:themeTint="000099" w:val="single"/>
        <w:bottom w:color="a8d08d" w:space="0" w:sz="4" w:themeColor="accent6" w:themeTint="000099" w:val="single"/>
        <w:insideH w:color="a8d08d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2efd9" w:themeFill="accent6" w:themeFillTint="000033" w:val="clear"/>
      </w:tcPr>
    </w:tblStylePr>
    <w:tblStylePr w:type="band1Horz">
      <w:tblPr/>
      <w:tcPr>
        <w:shd w:color="auto" w:fill="e2efd9" w:themeFill="accent6" w:themeFillTint="000033" w:val="clear"/>
      </w:tcPr>
    </w:tblStylePr>
  </w:style>
  <w:style w:type="table" w:styleId="TableSubtle1">
    <w:name w:val="Table Subtle 1"/>
    <w:basedOn w:val="TableNormal"/>
    <w:uiPriority w:val="99"/>
    <w:rsid w:val="00FF5E2E"/>
    <w:pPr>
      <w:ind w:left="720"/>
    </w:pPr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Web3">
    <w:name w:val="Table Web 3"/>
    <w:basedOn w:val="TableNormal"/>
    <w:uiPriority w:val="99"/>
    <w:rsid w:val="00FF5E2E"/>
    <w:pPr>
      <w:ind w:left="720"/>
    </w:p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eGridLight">
    <w:name w:val="Grid Table Light"/>
    <w:basedOn w:val="TableNormal"/>
    <w:uiPriority w:val="40"/>
    <w:rsid w:val="00FF5E2E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PlainTable1">
    <w:name w:val="Plain Table 1"/>
    <w:basedOn w:val="TableNormal"/>
    <w:uiPriority w:val="41"/>
    <w:rsid w:val="00FF5E2E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GridTable1Light-Accent6">
    <w:name w:val="Grid Table 1 Light Accent 6"/>
    <w:basedOn w:val="TableNormal"/>
    <w:uiPriority w:val="46"/>
    <w:rsid w:val="00FF5E2E"/>
    <w:pPr>
      <w:spacing w:after="0" w:line="240" w:lineRule="auto"/>
    </w:pPr>
    <w:tblPr>
      <w:tblStyleRowBandSize w:val="1"/>
      <w:tblStyleColBandSize w:val="1"/>
      <w:tblBorders>
        <w:top w:color="c5e0b3" w:space="0" w:sz="4" w:themeColor="accent6" w:themeTint="000066" w:val="single"/>
        <w:left w:color="c5e0b3" w:space="0" w:sz="4" w:themeColor="accent6" w:themeTint="000066" w:val="single"/>
        <w:bottom w:color="c5e0b3" w:space="0" w:sz="4" w:themeColor="accent6" w:themeTint="000066" w:val="single"/>
        <w:right w:color="c5e0b3" w:space="0" w:sz="4" w:themeColor="accent6" w:themeTint="000066" w:val="single"/>
        <w:insideH w:color="c5e0b3" w:space="0" w:sz="4" w:themeColor="accent6" w:themeTint="000066" w:val="single"/>
        <w:insideV w:color="c5e0b3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a8d08d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8d08d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1Light-Accent4">
    <w:name w:val="Grid Table 1 Light Accent 4"/>
    <w:basedOn w:val="TableNormal"/>
    <w:uiPriority w:val="46"/>
    <w:rsid w:val="00FF5E2E"/>
    <w:pPr>
      <w:spacing w:after="0" w:line="240" w:lineRule="auto"/>
    </w:pPr>
    <w:tblPr>
      <w:tblStyleRowBandSize w:val="1"/>
      <w:tblStyleColBandSize w:val="1"/>
      <w:tblBorders>
        <w:top w:color="ffe599" w:space="0" w:sz="4" w:themeColor="accent4" w:themeTint="000066" w:val="single"/>
        <w:left w:color="ffe599" w:space="0" w:sz="4" w:themeColor="accent4" w:themeTint="000066" w:val="single"/>
        <w:bottom w:color="ffe599" w:space="0" w:sz="4" w:themeColor="accent4" w:themeTint="000066" w:val="single"/>
        <w:right w:color="ffe599" w:space="0" w:sz="4" w:themeColor="accent4" w:themeTint="000066" w:val="single"/>
        <w:insideH w:color="ffe599" w:space="0" w:sz="4" w:themeColor="accent4" w:themeTint="000066" w:val="single"/>
        <w:insideV w:color="ffe59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ffd966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ffd966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GridTable2-Accent2">
    <w:name w:val="Grid Table 2 Accent 2"/>
    <w:basedOn w:val="TableNormal"/>
    <w:uiPriority w:val="47"/>
    <w:rsid w:val="00FF5E2E"/>
    <w:pPr>
      <w:spacing w:after="0" w:line="240" w:lineRule="auto"/>
    </w:pPr>
    <w:tblPr>
      <w:tblStyleRowBandSize w:val="1"/>
      <w:tblStyleColBandSize w:val="1"/>
      <w:tblBorders>
        <w:top w:color="f4b083" w:space="0" w:sz="2" w:themeColor="accent2" w:themeTint="000099" w:val="single"/>
        <w:bottom w:color="f4b083" w:space="0" w:sz="2" w:themeColor="accent2" w:themeTint="000099" w:val="single"/>
        <w:insideH w:color="f4b083" w:space="0" w:sz="2" w:themeColor="accent2" w:themeTint="000099" w:val="single"/>
        <w:insideV w:color="f4b083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f4b083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f4b083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e4d5" w:themeFill="accent2" w:themeFillTint="000033" w:val="clear"/>
      </w:tcPr>
    </w:tblStylePr>
    <w:tblStylePr w:type="band1Horz">
      <w:tblPr/>
      <w:tcPr>
        <w:shd w:color="auto" w:fill="fbe4d5" w:themeFill="accent2" w:themeFillTint="000033" w:val="clear"/>
      </w:tcPr>
    </w:tblStyle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63C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463CA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63CA7"/>
    <w:rPr>
      <w:rFonts w:ascii="Objectivity Light" w:cs="Times New Roman" w:eastAsia="Cambria" w:hAnsi="Objectivity Light"/>
      <w:color w:val="404040" w:themeColor="text1" w:themeTint="0000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63CA7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63CA7"/>
    <w:rPr>
      <w:rFonts w:ascii="Objectivity Light" w:cs="Times New Roman" w:eastAsia="Cambria" w:hAnsi="Objectivity Light"/>
      <w:b w:val="1"/>
      <w:bCs w:val="1"/>
      <w:color w:val="404040" w:themeColor="text1" w:themeTint="0000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D284E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D284E"/>
    <w:rPr>
      <w:rFonts w:ascii="Times New Roman" w:cs="Times New Roman" w:eastAsia="Cambria" w:hAnsi="Times New Roman"/>
      <w:color w:val="404040" w:themeColor="text1" w:themeTint="0000BF"/>
      <w:sz w:val="18"/>
      <w:szCs w:val="18"/>
    </w:rPr>
  </w:style>
  <w:style w:type="table" w:styleId="TableGrid1" w:customStyle="1">
    <w:name w:val="Table Grid1"/>
    <w:basedOn w:val="TableNormal"/>
    <w:next w:val="TableGrid"/>
    <w:uiPriority w:val="39"/>
    <w:rsid w:val="00E602FA"/>
    <w:pPr>
      <w:spacing w:after="0" w:line="240" w:lineRule="auto"/>
    </w:pPr>
    <w:rPr>
      <w:rFonts w:eastAsia="Cambria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AC00EE"/>
    <w:rPr>
      <w:color w:val="605e5c"/>
      <w:shd w:color="auto" w:fill="e1dfdd" w:val="clear"/>
    </w:rPr>
  </w:style>
  <w:style w:type="paragraph" w:styleId="Revision">
    <w:name w:val="Revision"/>
    <w:hidden w:val="1"/>
    <w:uiPriority w:val="99"/>
    <w:semiHidden w:val="1"/>
    <w:rsid w:val="002D0A73"/>
    <w:pPr>
      <w:spacing w:after="0" w:line="240" w:lineRule="auto"/>
    </w:pPr>
    <w:rPr>
      <w:rFonts w:ascii="Objectivity Light" w:cs="Times New Roman" w:eastAsia="Cambria" w:hAnsi="Objectivity Light"/>
      <w:color w:val="404040" w:themeColor="text1" w:themeTint="0000BF"/>
      <w:sz w:val="24"/>
      <w:szCs w:val="40"/>
    </w:rPr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322D3E"/>
    <w:rPr>
      <w:color w:val="605e5c"/>
      <w:shd w:color="auto" w:fill="e1dfdd" w:val="clear"/>
    </w:rPr>
  </w:style>
  <w:style w:type="table" w:styleId="TableGrid2" w:customStyle="1">
    <w:name w:val="Table Grid2"/>
    <w:basedOn w:val="TableNormal"/>
    <w:next w:val="TableGrid"/>
    <w:uiPriority w:val="39"/>
    <w:rsid w:val="00BD020D"/>
    <w:pPr>
      <w:spacing w:after="0" w:line="240" w:lineRule="auto"/>
    </w:pPr>
    <w:rPr>
      <w:lang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IntenseReference">
    <w:name w:val="Intense Reference"/>
    <w:basedOn w:val="DefaultParagraphFont"/>
    <w:uiPriority w:val="32"/>
    <w:qFormat w:val="1"/>
    <w:rsid w:val="00EB1843"/>
    <w:rPr>
      <w:b w:val="1"/>
      <w:bCs w:val="1"/>
      <w:smallCaps w:val="1"/>
      <w:color w:val="5b9bd5" w:themeColor="accent1"/>
      <w:spacing w:val="5"/>
    </w:rPr>
  </w:style>
  <w:style w:type="character" w:styleId="Strong">
    <w:name w:val="Strong"/>
    <w:basedOn w:val="DefaultParagraphFont"/>
    <w:uiPriority w:val="22"/>
    <w:qFormat w:val="1"/>
    <w:rsid w:val="00EB1843"/>
    <w:rPr>
      <w:b w:val="1"/>
      <w:bCs w:val="1"/>
    </w:rPr>
  </w:style>
  <w:style w:type="table" w:styleId="TableGrid3" w:customStyle="1">
    <w:name w:val="Table Grid3"/>
    <w:basedOn w:val="TableNormal"/>
    <w:next w:val="TableGrid"/>
    <w:uiPriority w:val="39"/>
    <w:rsid w:val="005978B9"/>
    <w:pPr>
      <w:spacing w:after="0" w:line="240" w:lineRule="auto"/>
    </w:pPr>
    <w:rPr>
      <w:lang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11" w:customStyle="1">
    <w:name w:val="Table Grid11"/>
    <w:basedOn w:val="TableNormal"/>
    <w:next w:val="TableGrid"/>
    <w:uiPriority w:val="39"/>
    <w:rsid w:val="004F78E6"/>
    <w:pPr>
      <w:spacing w:after="0" w:line="240" w:lineRule="auto"/>
    </w:pPr>
    <w:rPr>
      <w:lang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Grid-Accent1">
    <w:name w:val="Light Grid Accent 1"/>
    <w:basedOn w:val="TableNormal"/>
    <w:uiPriority w:val="62"/>
    <w:semiHidden w:val="1"/>
    <w:unhideWhenUsed w:val="1"/>
    <w:rsid w:val="00527227"/>
    <w:pPr>
      <w:spacing w:after="0" w:line="240" w:lineRule="auto"/>
    </w:pPr>
    <w:rPr>
      <w:rFonts w:eastAsiaTheme="minorEastAsia"/>
    </w:rPr>
    <w:tblPr>
      <w:tblStyleRowBandSize w:val="1"/>
      <w:tblStyleColBandSize w:val="1"/>
      <w:tblInd w:w="0.0" w:type="nil"/>
      <w:tblBorders>
        <w:top w:color="5b9bd5" w:space="0" w:sz="8" w:themeColor="accent1" w:val="single"/>
        <w:left w:color="5b9bd5" w:space="0" w:sz="8" w:themeColor="accent1" w:val="single"/>
        <w:bottom w:color="5b9bd5" w:space="0" w:sz="8" w:themeColor="accent1" w:val="single"/>
        <w:right w:color="5b9bd5" w:space="0" w:sz="8" w:themeColor="accent1" w:val="single"/>
        <w:insideH w:color="5b9bd5" w:space="0" w:sz="8" w:themeColor="accent1" w:val="single"/>
        <w:insideV w:color="5b9bd5" w:space="0" w:sz="8" w:themeColor="accent1" w:val="single"/>
      </w:tblBorders>
    </w:tblPr>
    <w:tblStylePr w:type="firstRow">
      <w:pPr>
        <w:spacing w:after="100" w:afterAutospacing="1" w:afterLines="0" w:before="100" w:beforeAutospacing="1" w:beforeLines="0" w:line="240" w:lineRule="auto"/>
      </w:pPr>
      <w:rPr>
        <w:rFonts w:asciiTheme="majorHAnsi" w:cstheme="majorBidi" w:eastAsiaTheme="majorEastAsia" w:hAnsiTheme="majorHAnsi" w:hint="default"/>
        <w:b w:val="1"/>
        <w:bCs w:val="1"/>
      </w:rPr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18" w:themeColor="accent1" w:val="single"/>
          <w:right w:color="5b9bd5" w:space="0" w:sz="8" w:themeColor="accent1" w:val="single"/>
          <w:insideH w:space="0" w:sz="0" w:val="nil"/>
          <w:insideV w:color="5b9bd5" w:space="0" w:sz="8" w:themeColor="accent1" w:val="single"/>
        </w:tcBorders>
      </w:tcPr>
    </w:tblStylePr>
    <w:tblStylePr w:type="lastRow">
      <w:pPr>
        <w:spacing w:after="100" w:afterAutospacing="1" w:afterLines="0" w:before="100" w:beforeAutospacing="1" w:beforeLines="0" w:line="240" w:lineRule="auto"/>
      </w:pPr>
      <w:rPr>
        <w:rFonts w:asciiTheme="majorHAnsi" w:cstheme="majorBidi" w:eastAsiaTheme="majorEastAsia" w:hAnsiTheme="majorHAnsi" w:hint="default"/>
        <w:b w:val="1"/>
        <w:bCs w:val="1"/>
      </w:rPr>
      <w:tblPr/>
      <w:tcPr>
        <w:tcBorders>
          <w:top w:color="5b9bd5" w:space="0" w:sz="6" w:themeColor="accent1" w:val="doub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  <w:insideH w:space="0" w:sz="0" w:val="nil"/>
          <w:insideV w:color="5b9bd5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 w:hint="default"/>
        <w:b w:val="1"/>
        <w:bCs w:val="1"/>
      </w:rPr>
    </w:tblStylePr>
    <w:tblStylePr w:type="lastCol">
      <w:rPr>
        <w:rFonts w:asciiTheme="majorHAnsi" w:cstheme="majorBidi" w:eastAsiaTheme="majorEastAsia" w:hAnsiTheme="majorHAnsi" w:hint="default"/>
        <w:b w:val="1"/>
        <w:bCs w:val="1"/>
      </w:rPr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</w:tcPr>
    </w:tblStylePr>
    <w:tblStylePr w:type="band1Vert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  <w:shd w:color="auto" w:fill="d6e6f4" w:themeFill="accent1" w:themeFillTint="00003F" w:val="clear"/>
      </w:tcPr>
    </w:tblStylePr>
    <w:tblStylePr w:type="band1Horz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  <w:insideV w:color="5b9bd5" w:space="0" w:sz="8" w:themeColor="accent1" w:val="single"/>
        </w:tcBorders>
        <w:shd w:color="auto" w:fill="d6e6f4" w:themeFill="accent1" w:themeFillTint="00003F" w:val="clear"/>
      </w:tcPr>
    </w:tblStylePr>
    <w:tblStylePr w:type="band2Horz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  <w:insideV w:color="5b9bd5" w:space="0" w:sz="8" w:themeColor="accent1" w:val="single"/>
        </w:tcBorders>
      </w:tcPr>
    </w:tblStylePr>
  </w:style>
  <w:style w:type="table" w:styleId="CompanyStyle4" w:customStyle="1">
    <w:name w:val="Company Style 4"/>
    <w:basedOn w:val="TableNormal"/>
    <w:uiPriority w:val="99"/>
    <w:rsid w:val="00527227"/>
    <w:pPr>
      <w:spacing w:after="0" w:line="240" w:lineRule="auto"/>
      <w:jc w:val="center"/>
    </w:pPr>
    <w:rPr>
      <w:sz w:val="18"/>
    </w:rPr>
    <w:tblPr>
      <w:tblInd w:w="0.0" w:type="nil"/>
      <w:tblBorders>
        <w:top w:color="d0cece" w:space="0" w:sz="2" w:themeColor="background2" w:themeShade="0000E6" w:val="single"/>
        <w:left w:color="d0cece" w:space="0" w:sz="2" w:themeColor="background2" w:themeShade="0000E6" w:val="single"/>
        <w:bottom w:color="d0cece" w:space="0" w:sz="2" w:themeColor="background2" w:themeShade="0000E6" w:val="single"/>
        <w:right w:color="d0cece" w:space="0" w:sz="2" w:themeColor="background2" w:themeShade="0000E6" w:val="single"/>
        <w:insideH w:color="d0cece" w:space="0" w:sz="2" w:themeColor="background2" w:themeShade="0000E6" w:val="single"/>
        <w:insideV w:color="d0cece" w:space="0" w:sz="2" w:themeColor="background2" w:themeShade="0000E6" w:val="single"/>
      </w:tblBorders>
    </w:tblPr>
    <w:tcPr>
      <w:vAlign w:val="center"/>
    </w:tcPr>
    <w:tblStylePr w:type="firstRow">
      <w:pPr>
        <w:wordWrap w:val="1"/>
        <w:spacing w:after="100" w:afterAutospacing="1" w:afterLines="0" w:before="100" w:beforeAutospacing="1" w:beforeLines="0" w:line="120" w:lineRule="auto"/>
        <w:ind w:left="0" w:leftChars="0"/>
        <w:contextualSpacing w:val="1"/>
        <w:jc w:val="center"/>
        <w:outlineLvl w:val="9"/>
      </w:pPr>
      <w:rPr>
        <w:rFonts w:cs="Calibri Light" w:asciiTheme="majorHAnsi" w:hAnsiTheme="majorHAnsi" w:hint="default"/>
        <w:b w:val="1"/>
        <w:color w:val="523f92"/>
        <w:sz w:val="18"/>
        <w:szCs w:val="18"/>
      </w:rPr>
      <w:tblPr/>
      <w:tcPr>
        <w:shd w:color="auto" w:fill="e0e1e5" w:val="clear"/>
        <w:vAlign w:val="center"/>
      </w:tcPr>
    </w:tblStylePr>
  </w:style>
  <w:style w:type="character" w:styleId="ListParagraphChar" w:customStyle="1">
    <w:name w:val="List Paragraph Char"/>
    <w:aliases w:val="Use Case List Paragraph Char Char,YC Bulet Char,lp1 Char,Bullet List Char,FooterText Char,numbered Char,Paragraphe de liste1 Char,Bulet Char,3 Char,POCG Table Text Char,Bullet Number Char,List Paragraph1 Char,lp11 Char,Bullet 1 Char"/>
    <w:basedOn w:val="DefaultParagraphFont"/>
    <w:link w:val="ListParagraph"/>
    <w:uiPriority w:val="34"/>
    <w:locked w:val="1"/>
    <w:rsid w:val="00214317"/>
    <w:rPr>
      <w:rFonts w:ascii="Objectivity Light" w:cs="Times New Roman" w:eastAsia="Cambria" w:hAnsi="Objectivity Light"/>
      <w:color w:val="404040" w:themeColor="text1" w:themeTint="0000BF"/>
      <w:sz w:val="24"/>
      <w:szCs w:val="40"/>
    </w:rPr>
  </w:style>
  <w:style w:type="paragraph" w:styleId="StyleNormaltablestyleLinespacing15lines" w:customStyle="1">
    <w:name w:val="Style Normal table style + Line spacing:  1.5 lines"/>
    <w:basedOn w:val="Normal"/>
    <w:rsid w:val="00214317"/>
    <w:pPr>
      <w:overflowPunct w:val="0"/>
      <w:autoSpaceDE w:val="0"/>
      <w:spacing w:after="0" w:line="240" w:lineRule="auto"/>
      <w:ind w:left="0"/>
      <w:textAlignment w:val="baseline"/>
    </w:pPr>
    <w:rPr>
      <w:rFonts w:ascii="Arial" w:eastAsia="Times New Roman" w:hAnsi="Arial"/>
      <w:color w:val="auto"/>
      <w:sz w:val="20"/>
      <w:szCs w:val="20"/>
      <w:lang w:eastAsia="ar-SA"/>
    </w:rPr>
  </w:style>
  <w:style w:type="character" w:styleId="HTMLCode">
    <w:name w:val="HTML Code"/>
    <w:basedOn w:val="DefaultParagraphFont"/>
    <w:uiPriority w:val="99"/>
    <w:semiHidden w:val="1"/>
    <w:unhideWhenUsed w:val="1"/>
    <w:rsid w:val="00FA6DFB"/>
    <w:rPr>
      <w:rFonts w:ascii="Courier New" w:cs="Courier New" w:eastAsia="Times New Roman" w:hAnsi="Courier New"/>
      <w:sz w:val="20"/>
      <w:szCs w:val="20"/>
    </w:rPr>
  </w:style>
  <w:style w:type="character" w:styleId="UnresolvedMention3" w:customStyle="1">
    <w:name w:val="Unresolved Mention3"/>
    <w:basedOn w:val="DefaultParagraphFont"/>
    <w:uiPriority w:val="99"/>
    <w:semiHidden w:val="1"/>
    <w:unhideWhenUsed w:val="1"/>
    <w:rsid w:val="00B7432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72.0" w:type="dxa"/>
        <w:left w:w="72.0" w:type="dxa"/>
        <w:bottom w:w="72.0" w:type="dxa"/>
        <w:right w:w="72.0" w:type="dxa"/>
      </w:tblCellMar>
    </w:tblPr>
    <w:tblStylePr w:type="band1Horz">
      <w:tcPr>
        <w:tcBorders>
          <w:top w:color="5b9bd5" w:space="0" w:sz="8" w:val="single"/>
          <w:left w:color="5b9bd5" w:space="0" w:sz="8" w:val="single"/>
          <w:bottom w:color="5b9bd5" w:space="0" w:sz="8" w:val="single"/>
          <w:right w:color="5b9bd5" w:space="0" w:sz="8" w:val="single"/>
          <w:insideV w:color="5b9bd5" w:space="0" w:sz="8" w:val="single"/>
        </w:tcBorders>
        <w:shd w:fill="d6e6f4" w:val="clear"/>
      </w:tcPr>
    </w:tblStylePr>
    <w:tblStylePr w:type="band1Vert">
      <w:tcPr>
        <w:tcBorders>
          <w:top w:color="5b9bd5" w:space="0" w:sz="8" w:val="single"/>
          <w:left w:color="5b9bd5" w:space="0" w:sz="8" w:val="single"/>
          <w:bottom w:color="5b9bd5" w:space="0" w:sz="8" w:val="single"/>
          <w:right w:color="5b9bd5" w:space="0" w:sz="8" w:val="single"/>
        </w:tcBorders>
        <w:shd w:fill="d6e6f4" w:val="clear"/>
      </w:tcPr>
    </w:tblStylePr>
    <w:tblStylePr w:type="band2Horz">
      <w:tcPr>
        <w:tcBorders>
          <w:top w:color="5b9bd5" w:space="0" w:sz="8" w:val="single"/>
          <w:left w:color="5b9bd5" w:space="0" w:sz="8" w:val="single"/>
          <w:bottom w:color="5b9bd5" w:space="0" w:sz="8" w:val="single"/>
          <w:right w:color="5b9bd5" w:space="0" w:sz="8" w:val="single"/>
          <w:insideV w:color="5b9bd5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5b9bd5" w:space="0" w:sz="8" w:val="single"/>
          <w:left w:color="5b9bd5" w:space="0" w:sz="8" w:val="single"/>
          <w:bottom w:color="5b9bd5" w:space="0" w:sz="18" w:val="single"/>
          <w:right w:color="5b9bd5" w:space="0" w:sz="8" w:val="single"/>
          <w:insideH w:color="000000" w:space="0" w:sz="0" w:val="nil"/>
          <w:insideV w:color="5b9bd5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5b9bd5" w:space="0" w:sz="8" w:val="single"/>
          <w:left w:color="5b9bd5" w:space="0" w:sz="8" w:val="single"/>
          <w:bottom w:color="5b9bd5" w:space="0" w:sz="8" w:val="single"/>
          <w:right w:color="5b9bd5" w:space="0" w:sz="8" w:val="single"/>
        </w:tcBorders>
      </w:tcPr>
    </w:tblStylePr>
    <w:tblStylePr w:type="lastRow">
      <w:pPr>
        <w:spacing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5b9bd5" w:space="0" w:sz="6" w:val="single"/>
          <w:left w:color="5b9bd5" w:space="0" w:sz="8" w:val="single"/>
          <w:bottom w:color="5b9bd5" w:space="0" w:sz="8" w:val="single"/>
          <w:right w:color="5b9bd5" w:space="0" w:sz="8" w:val="single"/>
          <w:insideH w:color="000000" w:space="0" w:sz="0" w:val="nil"/>
          <w:insideV w:color="5b9bd5" w:space="0" w:sz="8" w:val="single"/>
        </w:tcBorders>
      </w:tcPr>
    </w:tblStylePr>
  </w:style>
  <w:style w:type="table" w:styleId="Table2">
    <w:basedOn w:val="TableNormal"/>
    <w:pPr>
      <w:spacing w:after="0" w:line="240" w:lineRule="auto"/>
      <w:jc w:val="center"/>
    </w:pPr>
    <w:rPr>
      <w:sz w:val="18"/>
      <w:szCs w:val="18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pPr>
        <w:spacing w:line="120" w:lineRule="auto"/>
        <w:ind w:left="0"/>
        <w:jc w:val="center"/>
      </w:pPr>
      <w:rPr>
        <w:rFonts w:ascii="Calibri" w:cs="Calibri" w:eastAsia="Calibri" w:hAnsi="Calibri"/>
        <w:b w:val="1"/>
        <w:bCs w:val="1"/>
        <w:color w:val="523f92"/>
        <w:sz w:val="18"/>
        <w:szCs w:val="18"/>
      </w:rPr>
      <w:tcPr>
        <w:shd w:fill="e0e1e5" w:val="clear"/>
        <w:vAlign w:val="center"/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3" Type="http://schemas.openxmlformats.org/officeDocument/2006/relationships/theme" Target="theme/theme1.xm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ettings" Target="settings.xml"/><Relationship Id="rId6" Type="http://schemas.openxmlformats.org/officeDocument/2006/relationships/fontTable" Target="fontTable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2025-10-20T11:49:00Z</dcterms:created>
  <dc:creator>Omar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1695082c41f200b244eceb85eb3a5730206819038472032e5aa645b04f60d2a2</vt:lpwstr>
  </property>
  <property fmtid="{D5CDD505-2E9C-101B-9397-08002B2CF9AE}" pid="3" name="docIndexRef">
    <vt:lpwstr>86f61a2b-3c5b-410d-8eda-8fcfcca73d6b</vt:lpwstr>
  </property>
  <property fmtid="{D5CDD505-2E9C-101B-9397-08002B2CF9AE}" pid="4" name="bjSaver">
    <vt:lpwstr>jom6mFr4R46yMOI8MG0zmSZOzDj/Nqg2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policy="70fe81c6-8401-4cfc-9ef6-4071ef5e3673" origin="userSelected" xmlns="http://www.boldonj</vt:lpwstr>
  </property>
  <property fmtid="{D5CDD505-2E9C-101B-9397-08002B2CF9AE}" pid="6" name="bjDocumentLabelXML-0">
    <vt:lpwstr>ames.com/2008/01/sie/internal/label"&gt;&lt;element uid="0552750f-5859-4f24-a10a-0f241d9075eb" value="" /&gt;&lt;/sisl&gt;</vt:lpwstr>
  </property>
  <property fmtid="{D5CDD505-2E9C-101B-9397-08002B2CF9AE}" pid="7" name="bjDocumentSecurityLabel">
    <vt:lpwstr>Public - عام</vt:lpwstr>
  </property>
  <property fmtid="{D5CDD505-2E9C-101B-9397-08002B2CF9AE}" pid="8" name="bjClsUserRVM">
    <vt:lpwstr>[{"VisualMarkingType":2,"ShapeName":"","ApplyMarking":true}]</vt:lpwstr>
  </property>
  <property fmtid="{D5CDD505-2E9C-101B-9397-08002B2CF9AE}" pid="9" name="bjFooterBothDocProperty">
    <vt:lpwstr>عام</vt:lpwstr>
  </property>
  <property fmtid="{D5CDD505-2E9C-101B-9397-08002B2CF9AE}" pid="10" name="bjFooterFirstPageDocProperty">
    <vt:lpwstr>عام</vt:lpwstr>
  </property>
  <property fmtid="{D5CDD505-2E9C-101B-9397-08002B2CF9AE}" pid="11" name="bjFooterEvenPageDocProperty">
    <vt:lpwstr>عام</vt:lpwstr>
  </property>
</Properties>
</file>