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Drug mixture - 200 ppb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For </w:t>
      </w:r>
      <w:r>
        <w:rPr>
          <w:b w:val="true"/>
          <w:rFonts w:ascii="Calibri" w:hAnsi="Calibri"/>
          <w:sz w:val="20"/>
          <w:color w:val="333333"/>
        </w:rPr>
        <w:t xml:space="preserve">new</w:t>
      </w:r>
      <w:r>
        <w:rPr>
          <w:rFonts w:ascii="Calibri" w:hAnsi="Calibri"/>
          <w:sz w:val="20"/>
          <w:color w:val="333333"/>
        </w:rPr>
        <w:t xml:space="preserve"> and </w:t>
      </w:r>
      <w:r>
        <w:rPr>
          <w:b w:val="true"/>
          <w:rFonts w:ascii="Calibri" w:hAnsi="Calibri"/>
          <w:sz w:val="20"/>
          <w:color w:val="333333"/>
        </w:rPr>
        <w:t xml:space="preserve">old</w:t>
      </w:r>
      <w:r>
        <w:rPr>
          <w:rFonts w:ascii="Calibri" w:hAnsi="Calibri"/>
          <w:sz w:val="20"/>
          <w:color w:val="333333"/>
        </w:rPr>
        <w:t xml:space="preserve"> MS settings analytes with corresponding </w:t>
      </w:r>
      <w:r>
        <w:rPr>
          <w:i/>
          <w:rFonts w:ascii="Calibri" w:hAnsi="Calibri"/>
          <w:sz w:val="20"/>
          <w:color w:val="333333"/>
        </w:rPr>
        <w:t xml:space="preserve">Internal Standard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Analyte Information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Differences as </w:t>
            </w:r>
            \line 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Analyte</w:t>
            </w:r>
            <w:r>
              <w:rPr>
                <w:rFonts w:ascii="Calibri" w:hAnsi="Calibri"/>
                <w:sz w:val="20"/>
              </w:rPr>
              <w:t xml:space="preserve"> - </w:t>
            </w:r>
            <w:r>
              <w:rPr>
                <w:i/>
                <w:rFonts w:ascii="Calibri" w:hAnsi="Calibri"/>
                <w:sz w:val="20"/>
              </w:rPr>
              <w:t xml:space="preserve">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Normalisation as </w:t>
            </w:r>
            \line 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analyte_height/IS_height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Analyte Name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Molecular formula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Retention Time ,&lt;br&gt;min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Drift Time ,&lt;br&gt;ms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Mass Error,&lt;br&gt;ppm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OLD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Methamphetamine-d9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Phentermine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C10H15N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Methamphetamine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C10H15N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C11H15NO2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MDEA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C12H17NO2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Benzoylecgonine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C16H19NO4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THC-COOH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C21H28O4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-11.002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2.502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Isomeric compounds. They have been matched to the same feature, hence, the reason for the identical values.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The large mass error difference between *analyte* and *IS* is due to a larger mass error for the corresponding IS (10.9 compared to analyte -0.101)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2024-03-11T11:09:32Z</dcterms:created>
  <dcterms:modified xsi:type="dcterms:W3CDTF">2024-03-11T11:09:32Z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