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pageBreakBefore w:val="0"/>
        <w:spacing w:after="200" w:before="120" w:line="240" w:lineRule="auto"/>
        <w:rPr/>
      </w:pPr>
      <w:r w:rsidDel="00000000" w:rsidR="00000000" w:rsidRPr="00000000">
        <w:rPr>
          <w:rtl w:val="0"/>
        </w:rPr>
        <w:t xml:space="preserve">Aberrant regulation of biochemical networks governing the differentiation process of CD4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T cells into one of their effector cells and their subsequent cytokine production leads to improper function of the immune system and many immune-related diseases. The seminal model to characterize the properties of CD4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T cells suggests that these cells further develop into mutually exclusive, terminally differentiated Th1 or Th2 cell types </w:t>
      </w:r>
      <w:hyperlink r:id="rId6">
        <w:r w:rsidDel="00000000" w:rsidR="00000000" w:rsidRPr="00000000">
          <w:rPr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⁠. However, recent studies suggest that this model cannot sufficiently account for the full heterogeneity of immune responses and that: 1) additional effector T cells exist (e.g., Th17 </w:t>
      </w:r>
      <w:hyperlink r:id="rId7">
        <w:r w:rsidDel="00000000" w:rsidR="00000000" w:rsidRPr="00000000">
          <w:rPr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, Th9 </w:t>
      </w:r>
      <w:hyperlink r:id="rId8">
        <w:r w:rsidDel="00000000" w:rsidR="00000000" w:rsidRPr="00000000">
          <w:rPr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, iTregs </w:t>
      </w:r>
      <w:hyperlink r:id="rId9">
        <w:r w:rsidDel="00000000" w:rsidR="00000000" w:rsidRPr="00000000">
          <w:rPr>
            <w:vertAlign w:val="baseline"/>
            <w:rtl w:val="0"/>
          </w:rPr>
          <w:t xml:space="preserve">[4]</w:t>
        </w:r>
      </w:hyperlink>
      <w:r w:rsidDel="00000000" w:rsidR="00000000" w:rsidRPr="00000000">
        <w:rPr>
          <w:rtl w:val="0"/>
        </w:rPr>
        <w:t xml:space="preserve">), 2) these cell type phenotypes exhibit a degree of plasticity (that is, under certain conditions, one cell subtype is able to switch and produce cytokine signatures specific to a different cell subtype; e.g., </w:t>
      </w:r>
      <w:hyperlink r:id="rId10">
        <w:r w:rsidDel="00000000" w:rsidR="00000000" w:rsidRPr="00000000">
          <w:rPr>
            <w:vertAlign w:val="baseline"/>
            <w:rtl w:val="0"/>
          </w:rPr>
          <w:t xml:space="preserve">[4]</w:t>
        </w:r>
      </w:hyperlink>
      <w:r w:rsidDel="00000000" w:rsidR="00000000" w:rsidRPr="00000000">
        <w:rPr>
          <w:rtl w:val="0"/>
        </w:rPr>
        <w:t xml:space="preserve">⁠), and 3) the differentiation process is governed by the regulation of a wide variety of types of receptors and pathways that are mutually cross-linked, forming highly interconnected signaling networks (rather than a single receptor pathway).</w:t>
      </w:r>
    </w:p>
    <w:p w:rsidR="00000000" w:rsidDel="00000000" w:rsidP="00000000" w:rsidRDefault="00000000" w:rsidRPr="00000000" w14:paraId="00000003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Modeling and simulations of a large-scale model of T cell signaling and gene regulation have the potential to improve our</w:t>
      </w:r>
      <w:r w:rsidDel="00000000" w:rsidR="00000000" w:rsidRPr="00000000">
        <w:rPr>
          <w:rtl w:val="0"/>
        </w:rPr>
        <w:t xml:space="preserve"> understanding of the richness of T cell differentiation and the regulatory process of cytokine production by helper T cells. In particular, simulations and analyses of a comprehensive model of signal transduction and gene regulation of CD4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T cells can be used to test the hypothesis that additional cytokine profiles defining new CD4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effector T cells exist and that the underlying phenotypes exhibit flexibility to provide more dynamics to immune response.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rPr/>
      </w:pPr>
      <w:r w:rsidDel="00000000" w:rsidR="00000000" w:rsidRPr="00000000">
        <w:rPr>
          <w:rtl w:val="0"/>
        </w:rPr>
        <w:t xml:space="preserve">For example, to better understand how the extracellular cytokine milieu and signaling drive T cell differentiation, we constructed a signal transduction model and comprehensively interrogated its dynamics under 511 environmental conditions </w:t>
      </w:r>
      <w:hyperlink r:id="rId11">
        <w:r w:rsidDel="00000000" w:rsidR="00000000" w:rsidRPr="00000000">
          <w:rPr>
            <w:vertAlign w:val="baseline"/>
            <w:rtl w:val="0"/>
          </w:rPr>
          <w:t xml:space="preserve">[5]</w:t>
        </w:r>
      </w:hyperlink>
      <w:r w:rsidDel="00000000" w:rsidR="00000000" w:rsidRPr="00000000">
        <w:rPr>
          <w:rtl w:val="0"/>
        </w:rPr>
        <w:t xml:space="preserve">. We found new evidence that T cell fates depend not only on specific combinations of stimulating cytokines but also quantitative (dosage) and temporal (timing) dynamics </w:t>
      </w:r>
      <w:hyperlink r:id="rId12">
        <w:r w:rsidDel="00000000" w:rsidR="00000000" w:rsidRPr="00000000">
          <w:rPr>
            <w:vertAlign w:val="baseline"/>
            <w:rtl w:val="0"/>
          </w:rPr>
          <w:t xml:space="preserve">[5,6]</w:t>
        </w:r>
      </w:hyperlink>
      <w:r w:rsidDel="00000000" w:rsidR="00000000" w:rsidRPr="00000000">
        <w:rPr>
          <w:rtl w:val="0"/>
        </w:rPr>
        <w:t xml:space="preserve">. We also discovered and characterized novel complex (multi-fate) T cell phenotypes and their extracellular “recipes” that can potentially regulate the balance of each phenotype </w:t>
      </w:r>
      <w:hyperlink r:id="rId13">
        <w:r w:rsidDel="00000000" w:rsidR="00000000" w:rsidRPr="00000000">
          <w:rPr>
            <w:vertAlign w:val="baseline"/>
            <w:rtl w:val="0"/>
          </w:rPr>
          <w:t xml:space="preserve">[5]</w:t>
        </w:r>
      </w:hyperlink>
      <w:r w:rsidDel="00000000" w:rsidR="00000000" w:rsidRPr="00000000">
        <w:rPr>
          <w:rtl w:val="0"/>
        </w:rPr>
        <w:t xml:space="preserve">. We are currently validating these multi-fate phenotypes experimentally. The ability to design T cell microenvironments that can elicit specific programming regimes has translational potential for many diseases, including cancer, autoimmune diseases, and transplantation.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Objective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Cell Collective, construct a model of signal transduction pathways (networks) that govern the differentiation of naive T cells to </w:t>
      </w:r>
      <w:r w:rsidDel="00000000" w:rsidR="00000000" w:rsidRPr="00000000">
        <w:rPr>
          <w:b w:val="1"/>
          <w:rtl w:val="0"/>
        </w:rPr>
        <w:t xml:space="preserve">T helper 9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follicular T helper cells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design the scope, build, and validate the model, use the modeling framework as described in </w:t>
      </w:r>
      <w:hyperlink r:id="rId14">
        <w:r w:rsidDel="00000000" w:rsidR="00000000" w:rsidRPr="00000000">
          <w:rPr>
            <w:vertAlign w:val="baseline"/>
            <w:rtl w:val="0"/>
          </w:rPr>
          <w:t xml:space="preserve">[7]</w:t>
        </w:r>
      </w:hyperlink>
      <w:r w:rsidDel="00000000" w:rsidR="00000000" w:rsidRPr="00000000">
        <w:rPr>
          <w:rtl w:val="0"/>
        </w:rPr>
        <w:t xml:space="preserve"> in Figure 1.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mentioned in </w:t>
      </w:r>
      <w:hyperlink r:id="rId15">
        <w:r w:rsidDel="00000000" w:rsidR="00000000" w:rsidRPr="00000000">
          <w:rPr>
            <w:vertAlign w:val="baseline"/>
            <w:rtl w:val="0"/>
          </w:rPr>
          <w:t xml:space="preserve">[7]</w:t>
        </w:r>
      </w:hyperlink>
      <w:r w:rsidDel="00000000" w:rsidR="00000000" w:rsidRPr="00000000">
        <w:rPr>
          <w:rtl w:val="0"/>
        </w:rPr>
        <w:t xml:space="preserve">, pathway diagrams found in reviews and other articles provide a good starting point for the first model scope and draft. Given this project has a short timeline, we have identified the following papers that you can (but don’t have to if you find others) use to help you define the scope of your model: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Th9: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https://www.liebertpub.com/doi/10.1089/dna.2019.4729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Tfh: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https://www.frontiersin.org/articles/10.3389/fimmu.2018.02412/full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Cell Collective, simulate the model to illustrate the stimulation of Th9 and Tfh cell differentiation. Share screenshots of your simulation results.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240" w:lineRule="auto"/>
        <w:rPr/>
      </w:pPr>
      <w:r w:rsidDel="00000000" w:rsidR="00000000" w:rsidRPr="00000000">
        <w:rPr>
          <w:rtl w:val="0"/>
        </w:rPr>
        <w:t xml:space="preserve">To be able to help you with your models, please share them with Dr. Helikar and Puniya. To share your model add their email addresses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thelikar2@unl.edu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bpuniya2@unl.edu</w:t>
        </w:r>
      </w:hyperlink>
      <w:r w:rsidDel="00000000" w:rsidR="00000000" w:rsidRPr="00000000">
        <w:rPr>
          <w:rtl w:val="0"/>
        </w:rPr>
        <w:t xml:space="preserve">) under File-&gt;Share in Cell Collective, and save your model for the changes to take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Bibliography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20">
        <w:r w:rsidDel="00000000" w:rsidR="00000000" w:rsidRPr="00000000">
          <w:rPr>
            <w:vertAlign w:val="baseline"/>
            <w:rtl w:val="0"/>
          </w:rPr>
          <w:t xml:space="preserve">1. Mosmann TR, Cherwinski H, Bond MW, et al. Two types of murine helper T cell clone. I. Definition according to profiles of lymphokine activities and secreted proteins. J. Immunol. 1986; 136:2348–2357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21">
        <w:r w:rsidDel="00000000" w:rsidR="00000000" w:rsidRPr="00000000">
          <w:rPr>
            <w:vertAlign w:val="baseline"/>
            <w:rtl w:val="0"/>
          </w:rPr>
          <w:t xml:space="preserve">2. Harrington LE, Hatton RD, Mangan PR, et al. Interleukin 17–producing CD4 + effector T cells develop via a lineage distinct from the T helper type 1 and 2 lineages. Nat. Immunol. 2005; 6:1123–1132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22">
        <w:r w:rsidDel="00000000" w:rsidR="00000000" w:rsidRPr="00000000">
          <w:rPr>
            <w:vertAlign w:val="baseline"/>
            <w:rtl w:val="0"/>
          </w:rPr>
          <w:t xml:space="preserve">3. Veldhoen M, Uyttenhove C, van Snick J, et al. Transforming growth factor-beta ‘reprograms’ the differentiation of T helper 2 cells and promotes an interleukin 9-producing subset. Nat. Immunol. 2008; 9:1341–1346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23">
        <w:r w:rsidDel="00000000" w:rsidR="00000000" w:rsidRPr="00000000">
          <w:rPr>
            <w:vertAlign w:val="baseline"/>
            <w:rtl w:val="0"/>
          </w:rPr>
          <w:t xml:space="preserve">4. Zhu J, Paul WE. CD4 T cells: fates, functions, and faults. Blood 2008; 112:1557–1569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24">
        <w:r w:rsidDel="00000000" w:rsidR="00000000" w:rsidRPr="00000000">
          <w:rPr>
            <w:vertAlign w:val="baseline"/>
            <w:rtl w:val="0"/>
          </w:rPr>
          <w:t xml:space="preserve">5. Puniya BL, Todd RG, Mohammed A, et al. A Mechanistic Computational Model Reveals That Plasticity of CD4+ T Cell Differentiation Is a Function of Cytokine Composition and Dosage. Front. Physiol. 2018; 9:878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25">
        <w:r w:rsidDel="00000000" w:rsidR="00000000" w:rsidRPr="00000000">
          <w:rPr>
            <w:vertAlign w:val="baseline"/>
            <w:rtl w:val="0"/>
          </w:rPr>
          <w:t xml:space="preserve">6. Barberis M, Helikar T, Verbruggen P. Simulation of Stimulation: Cytokine Dosage and Cell Cycle Crosstalk Driving Timing-Dependent T Cell Differentiation. Front. Physiol. 2018; 9: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26">
        <w:r w:rsidDel="00000000" w:rsidR="00000000" w:rsidRPr="00000000">
          <w:rPr>
            <w:vertAlign w:val="baseline"/>
            <w:rtl w:val="0"/>
          </w:rPr>
          <w:t xml:space="preserve">7. Helikar, Tomas, Niarakis A. A practical guide to mechanistic systems modeling in biology using a logic-based approach. Briefings in Bioinformatics 2020; bbaa236: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zotero.org/google-docs/?yvfAp6" TargetMode="External"/><Relationship Id="rId22" Type="http://schemas.openxmlformats.org/officeDocument/2006/relationships/hyperlink" Target="https://www.zotero.org/google-docs/?yvfAp6" TargetMode="External"/><Relationship Id="rId21" Type="http://schemas.openxmlformats.org/officeDocument/2006/relationships/hyperlink" Target="https://www.zotero.org/google-docs/?yvfAp6" TargetMode="External"/><Relationship Id="rId24" Type="http://schemas.openxmlformats.org/officeDocument/2006/relationships/hyperlink" Target="https://www.zotero.org/google-docs/?yvfAp6" TargetMode="External"/><Relationship Id="rId23" Type="http://schemas.openxmlformats.org/officeDocument/2006/relationships/hyperlink" Target="https://www.zotero.org/google-docs/?yvfAp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T3uxmF" TargetMode="External"/><Relationship Id="rId26" Type="http://schemas.openxmlformats.org/officeDocument/2006/relationships/hyperlink" Target="https://www.zotero.org/google-docs/?yvfAp6" TargetMode="External"/><Relationship Id="rId25" Type="http://schemas.openxmlformats.org/officeDocument/2006/relationships/hyperlink" Target="https://www.zotero.org/google-docs/?yvfAp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Tf2wAa" TargetMode="External"/><Relationship Id="rId7" Type="http://schemas.openxmlformats.org/officeDocument/2006/relationships/hyperlink" Target="https://www.zotero.org/google-docs/?fM2XP2" TargetMode="External"/><Relationship Id="rId8" Type="http://schemas.openxmlformats.org/officeDocument/2006/relationships/hyperlink" Target="https://www.zotero.org/google-docs/?dPT89C" TargetMode="External"/><Relationship Id="rId11" Type="http://schemas.openxmlformats.org/officeDocument/2006/relationships/hyperlink" Target="https://www.zotero.org/google-docs/?cea9Y6" TargetMode="External"/><Relationship Id="rId10" Type="http://schemas.openxmlformats.org/officeDocument/2006/relationships/hyperlink" Target="https://www.zotero.org/google-docs/?vmdPl0" TargetMode="External"/><Relationship Id="rId13" Type="http://schemas.openxmlformats.org/officeDocument/2006/relationships/hyperlink" Target="https://www.zotero.org/google-docs/?fq3Avf" TargetMode="External"/><Relationship Id="rId12" Type="http://schemas.openxmlformats.org/officeDocument/2006/relationships/hyperlink" Target="https://www.zotero.org/google-docs/?6EqZqI" TargetMode="External"/><Relationship Id="rId15" Type="http://schemas.openxmlformats.org/officeDocument/2006/relationships/hyperlink" Target="https://www.zotero.org/google-docs/?zDGkmd" TargetMode="External"/><Relationship Id="rId14" Type="http://schemas.openxmlformats.org/officeDocument/2006/relationships/hyperlink" Target="https://www.zotero.org/google-docs/?1nNyBG" TargetMode="External"/><Relationship Id="rId17" Type="http://schemas.openxmlformats.org/officeDocument/2006/relationships/hyperlink" Target="https://www.frontiersin.org/articles/10.3389/fimmu.2018.02412/full" TargetMode="External"/><Relationship Id="rId16" Type="http://schemas.openxmlformats.org/officeDocument/2006/relationships/hyperlink" Target="https://www.liebertpub.com/doi/10.1089/dna.2019.4729" TargetMode="External"/><Relationship Id="rId19" Type="http://schemas.openxmlformats.org/officeDocument/2006/relationships/hyperlink" Target="mailto:bpuniya2@unl.edu" TargetMode="External"/><Relationship Id="rId18" Type="http://schemas.openxmlformats.org/officeDocument/2006/relationships/hyperlink" Target="mailto:thelikar2@un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