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95D3DB" w14:textId="5BC79270" w:rsidR="00A25FE7" w:rsidRDefault="006A397B" w:rsidP="00792E4B">
      <w:pPr>
        <w:spacing w:after="0" w:line="360" w:lineRule="auto"/>
        <w:jc w:val="center"/>
        <w:rPr>
          <w:rFonts w:ascii="Times New Roman" w:hAnsi="Times New Roman" w:cs="Times New Roman"/>
          <w:b/>
          <w:bCs/>
        </w:rPr>
      </w:pPr>
      <w:r w:rsidRPr="00EA44D9">
        <w:rPr>
          <w:rFonts w:ascii="Times New Roman" w:hAnsi="Times New Roman" w:cs="Times New Roman"/>
          <w:b/>
          <w:bCs/>
        </w:rPr>
        <w:t>Comparative analysis of the Predictive Utility of Integrated and Single-Source Polygenic Risk Scores for SAT Traits</w:t>
      </w:r>
    </w:p>
    <w:p w14:paraId="78C28E50" w14:textId="4AE33DCD" w:rsidR="00DB70AF" w:rsidRDefault="00DB70AF" w:rsidP="008C76CD">
      <w:pPr>
        <w:spacing w:after="0" w:line="360" w:lineRule="auto"/>
        <w:jc w:val="center"/>
        <w:rPr>
          <w:rFonts w:ascii="Times New Roman" w:hAnsi="Times New Roman" w:cs="Times New Roman"/>
          <w:b/>
          <w:bCs/>
        </w:rPr>
      </w:pPr>
      <w:r>
        <w:rPr>
          <w:rFonts w:ascii="Times New Roman" w:hAnsi="Times New Roman" w:cs="Times New Roman"/>
          <w:b/>
          <w:bCs/>
        </w:rPr>
        <w:t>Group 4</w:t>
      </w:r>
      <w:r w:rsidR="008C76CD">
        <w:rPr>
          <w:rFonts w:ascii="Times New Roman" w:hAnsi="Times New Roman" w:cs="Times New Roman"/>
          <w:b/>
          <w:bCs/>
        </w:rPr>
        <w:t>: PRS Avengers</w:t>
      </w:r>
    </w:p>
    <w:p w14:paraId="1FDAFD62" w14:textId="77777777" w:rsidR="00A217BE" w:rsidRDefault="00A217BE" w:rsidP="001F15A3">
      <w:pPr>
        <w:spacing w:after="0" w:line="360" w:lineRule="auto"/>
        <w:rPr>
          <w:rFonts w:ascii="Times New Roman" w:hAnsi="Times New Roman" w:cs="Times New Roman"/>
          <w:b/>
          <w:bCs/>
        </w:rPr>
      </w:pPr>
    </w:p>
    <w:p w14:paraId="7EF4222D" w14:textId="176C7E07" w:rsidR="00A1436D" w:rsidRPr="008D7ACF" w:rsidRDefault="00A1436D" w:rsidP="001F15A3">
      <w:pPr>
        <w:spacing w:after="0" w:line="360" w:lineRule="auto"/>
        <w:rPr>
          <w:rFonts w:ascii="Times New Roman" w:hAnsi="Times New Roman" w:cs="Times New Roman"/>
          <w:b/>
          <w:bCs/>
          <w:u w:val="single"/>
        </w:rPr>
      </w:pPr>
      <w:r w:rsidRPr="008D7ACF">
        <w:rPr>
          <w:rFonts w:ascii="Times New Roman" w:hAnsi="Times New Roman" w:cs="Times New Roman"/>
          <w:b/>
          <w:bCs/>
          <w:u w:val="single"/>
        </w:rPr>
        <w:t xml:space="preserve">Group </w:t>
      </w:r>
      <w:r w:rsidR="008D7ACF" w:rsidRPr="008D7ACF">
        <w:rPr>
          <w:rFonts w:ascii="Times New Roman" w:hAnsi="Times New Roman" w:cs="Times New Roman"/>
          <w:b/>
          <w:bCs/>
          <w:u w:val="single"/>
        </w:rPr>
        <w:t xml:space="preserve">Members </w:t>
      </w:r>
    </w:p>
    <w:p w14:paraId="44FF8687" w14:textId="7CB9CCD6" w:rsidR="00B40996" w:rsidRDefault="00B40996" w:rsidP="001F15A3">
      <w:pPr>
        <w:spacing w:after="0" w:line="360" w:lineRule="auto"/>
        <w:rPr>
          <w:rFonts w:ascii="Times New Roman" w:hAnsi="Times New Roman" w:cs="Times New Roman"/>
          <w:b/>
          <w:bCs/>
        </w:rPr>
      </w:pPr>
      <w:r>
        <w:rPr>
          <w:rFonts w:ascii="Times New Roman" w:hAnsi="Times New Roman" w:cs="Times New Roman"/>
          <w:b/>
          <w:bCs/>
        </w:rPr>
        <w:t xml:space="preserve">Fredrick E. </w:t>
      </w:r>
      <w:proofErr w:type="spellStart"/>
      <w:r>
        <w:rPr>
          <w:rFonts w:ascii="Times New Roman" w:hAnsi="Times New Roman" w:cs="Times New Roman"/>
          <w:b/>
          <w:bCs/>
        </w:rPr>
        <w:t>Kakembo</w:t>
      </w:r>
      <w:proofErr w:type="spellEnd"/>
      <w:r>
        <w:rPr>
          <w:rFonts w:ascii="Times New Roman" w:hAnsi="Times New Roman" w:cs="Times New Roman"/>
          <w:b/>
          <w:bCs/>
        </w:rPr>
        <w:t xml:space="preserve"> </w:t>
      </w:r>
    </w:p>
    <w:p w14:paraId="7ADCA8BE" w14:textId="0E895145" w:rsidR="00DB70AF" w:rsidRDefault="00DB70AF" w:rsidP="001F15A3">
      <w:pPr>
        <w:spacing w:after="0" w:line="360" w:lineRule="auto"/>
        <w:rPr>
          <w:rFonts w:ascii="Times New Roman" w:hAnsi="Times New Roman" w:cs="Times New Roman"/>
          <w:b/>
          <w:bCs/>
        </w:rPr>
      </w:pPr>
      <w:r>
        <w:rPr>
          <w:rFonts w:ascii="Times New Roman" w:hAnsi="Times New Roman" w:cs="Times New Roman"/>
          <w:b/>
          <w:bCs/>
        </w:rPr>
        <w:t xml:space="preserve">Caitlin </w:t>
      </w:r>
      <w:r w:rsidR="00007B5F">
        <w:rPr>
          <w:rFonts w:ascii="Times New Roman" w:hAnsi="Times New Roman" w:cs="Times New Roman"/>
          <w:b/>
          <w:bCs/>
        </w:rPr>
        <w:t>Grace Short</w:t>
      </w:r>
    </w:p>
    <w:p w14:paraId="7A8DA54B" w14:textId="0742E701" w:rsidR="00B40996" w:rsidRDefault="00B40996" w:rsidP="001F15A3">
      <w:pPr>
        <w:spacing w:after="0" w:line="360" w:lineRule="auto"/>
        <w:rPr>
          <w:rFonts w:ascii="Times New Roman" w:hAnsi="Times New Roman" w:cs="Times New Roman"/>
          <w:b/>
          <w:bCs/>
        </w:rPr>
      </w:pPr>
      <w:r>
        <w:rPr>
          <w:rFonts w:ascii="Times New Roman" w:hAnsi="Times New Roman" w:cs="Times New Roman"/>
          <w:b/>
          <w:bCs/>
        </w:rPr>
        <w:t>Jacob Apibilla Ayembilla</w:t>
      </w:r>
    </w:p>
    <w:p w14:paraId="23F4251B" w14:textId="3F4DFF1E" w:rsidR="00B40996" w:rsidRDefault="00B40996" w:rsidP="001F15A3">
      <w:pPr>
        <w:spacing w:after="0" w:line="360" w:lineRule="auto"/>
        <w:rPr>
          <w:rFonts w:ascii="Times New Roman" w:hAnsi="Times New Roman" w:cs="Times New Roman"/>
          <w:b/>
          <w:bCs/>
        </w:rPr>
      </w:pPr>
      <w:r>
        <w:rPr>
          <w:rFonts w:ascii="Times New Roman" w:hAnsi="Times New Roman" w:cs="Times New Roman"/>
          <w:b/>
          <w:bCs/>
        </w:rPr>
        <w:t xml:space="preserve">Benson R. </w:t>
      </w:r>
      <w:proofErr w:type="spellStart"/>
      <w:r>
        <w:rPr>
          <w:rFonts w:ascii="Times New Roman" w:hAnsi="Times New Roman" w:cs="Times New Roman"/>
          <w:b/>
          <w:bCs/>
        </w:rPr>
        <w:t>Kidenya</w:t>
      </w:r>
      <w:proofErr w:type="spellEnd"/>
    </w:p>
    <w:p w14:paraId="77125144" w14:textId="2C0761F8" w:rsidR="00B40996" w:rsidRDefault="00B40996" w:rsidP="001F15A3">
      <w:pPr>
        <w:spacing w:after="0" w:line="360" w:lineRule="auto"/>
        <w:rPr>
          <w:rFonts w:ascii="Times New Roman" w:hAnsi="Times New Roman" w:cs="Times New Roman"/>
          <w:b/>
          <w:bCs/>
        </w:rPr>
      </w:pPr>
      <w:r>
        <w:rPr>
          <w:rFonts w:ascii="Times New Roman" w:hAnsi="Times New Roman" w:cs="Times New Roman"/>
          <w:b/>
          <w:bCs/>
        </w:rPr>
        <w:t>Kingsley Osei</w:t>
      </w:r>
    </w:p>
    <w:p w14:paraId="3AFBFB97" w14:textId="77777777" w:rsidR="00B40996" w:rsidRDefault="00B40996" w:rsidP="00B40996">
      <w:pPr>
        <w:spacing w:after="0" w:line="360" w:lineRule="auto"/>
        <w:rPr>
          <w:rFonts w:ascii="Times New Roman" w:hAnsi="Times New Roman" w:cs="Times New Roman"/>
          <w:b/>
          <w:bCs/>
        </w:rPr>
      </w:pPr>
      <w:r>
        <w:rPr>
          <w:rFonts w:ascii="Times New Roman" w:hAnsi="Times New Roman" w:cs="Times New Roman"/>
          <w:b/>
          <w:bCs/>
        </w:rPr>
        <w:t xml:space="preserve">Emmanuella E. </w:t>
      </w:r>
      <w:proofErr w:type="spellStart"/>
      <w:r>
        <w:rPr>
          <w:rFonts w:ascii="Times New Roman" w:hAnsi="Times New Roman" w:cs="Times New Roman"/>
          <w:b/>
          <w:bCs/>
        </w:rPr>
        <w:t>Matumamboh</w:t>
      </w:r>
      <w:proofErr w:type="spellEnd"/>
    </w:p>
    <w:p w14:paraId="698F56A6" w14:textId="77777777" w:rsidR="00B40996" w:rsidRDefault="00B40996" w:rsidP="001F15A3">
      <w:pPr>
        <w:spacing w:after="0" w:line="360" w:lineRule="auto"/>
        <w:rPr>
          <w:rFonts w:ascii="Times New Roman" w:hAnsi="Times New Roman" w:cs="Times New Roman"/>
          <w:b/>
          <w:bCs/>
        </w:rPr>
      </w:pPr>
    </w:p>
    <w:p w14:paraId="1B7B526E" w14:textId="5A1E47E0" w:rsidR="001F15A3" w:rsidRPr="00EA44D9" w:rsidRDefault="00191AAB" w:rsidP="001F15A3">
      <w:pPr>
        <w:spacing w:after="0" w:line="360" w:lineRule="auto"/>
        <w:rPr>
          <w:rFonts w:ascii="Times New Roman" w:hAnsi="Times New Roman" w:cs="Times New Roman"/>
          <w:b/>
          <w:bCs/>
        </w:rPr>
      </w:pPr>
      <w:r>
        <w:rPr>
          <w:rFonts w:ascii="Times New Roman" w:hAnsi="Times New Roman" w:cs="Times New Roman"/>
          <w:b/>
          <w:bCs/>
        </w:rPr>
        <w:t xml:space="preserve">1. </w:t>
      </w:r>
      <w:r w:rsidR="001F15A3">
        <w:rPr>
          <w:rFonts w:ascii="Times New Roman" w:hAnsi="Times New Roman" w:cs="Times New Roman"/>
          <w:b/>
          <w:bCs/>
        </w:rPr>
        <w:t>Introduction</w:t>
      </w:r>
    </w:p>
    <w:p w14:paraId="2900FDFF" w14:textId="4E4A2BFF" w:rsidR="00A25FE7" w:rsidRPr="00942A9D" w:rsidRDefault="00A25FE7" w:rsidP="00762225">
      <w:pPr>
        <w:pStyle w:val="NormalWeb"/>
        <w:spacing w:before="0" w:beforeAutospacing="0" w:after="0" w:afterAutospacing="0" w:line="360" w:lineRule="auto"/>
        <w:jc w:val="both"/>
      </w:pPr>
      <w:r w:rsidRPr="00EF536B">
        <w:t>Subcutaneous adipose tissue (SAT) plays a crucial role in energy storage, thermoregulation, and metaboli</w:t>
      </w:r>
      <w:r w:rsidR="00882B1A" w:rsidRPr="00EF536B">
        <w:t>sm of biomolecules</w:t>
      </w:r>
      <w:r w:rsidR="00667B4D" w:rsidRPr="00EF536B">
        <w:t xml:space="preserve"> (hormones, glucose, and lipids)</w:t>
      </w:r>
      <w:r w:rsidR="004F57CE" w:rsidRPr="00EF536B">
        <w:t xml:space="preserve"> </w:t>
      </w:r>
      <w:bookmarkStart w:id="0" w:name="_Hlk201857614"/>
      <w:r w:rsidR="004F57CE" w:rsidRPr="00EF536B">
        <w:fldChar w:fldCharType="begin" w:fldLock="1"/>
      </w:r>
      <w:r w:rsidR="003568E2" w:rsidRPr="00EF536B">
        <w:instrText>ADDIN CSL_CITATION {"citationItems":[{"id":"ITEM-1","itemData":{"DOI":"10.1111/all.16295","ISSN":"13989995","abstract":"Subcutaneous adipose tissue (SAT) is the deepest component of the three-layered cutaneous integument. While mesenteric adipose tissue-based immune processes have gained recognition in the context of the metabolic syndrome, SAT has been traditionally considered primarily for energy storage, with less attention to its immune functions. SAT harbors a reservoir of immune and stromal cells that significantly impact metabolic and immunologic processes not only in the skin, but even on a systemic level. These processes include wound healing, cutaneous and systemic infections, immunometabolic, and autoimmune diseases, inflammatory skin diseases, as well as neoplastic conditions. A better understanding of SAT immune functions in different processes, could open avenues for novel therapeutic interventions. Targeting SAT may not only address SAT-specific diseases but also offer potential treatments for cutaneous or even systemic conditions. This review aims to provide a comprehensive overview on SAT's structure and functions, highlight recent advancements in understanding its role in both homeostatic and pathological conditions within and beyond the skin, and discuss the main questions for future research in the field.","author":[{"dropping-particle":"","family":"Ziadlou","given":"Reihane","non-dropping-particle":"","parse-names":false,"suffix":""},{"dropping-particle":"","family":"Pandian","given":"Ganesh N.","non-dropping-particle":"","parse-names":false,"suffix":""},{"dropping-particle":"","family":"Hafner","given":"Jürg","non-dropping-particle":"","parse-names":false,"suffix":""},{"dropping-particle":"","family":"Akdis","given":"Cezmi A.","non-dropping-particle":"","parse-names":false,"suffix":""},{"dropping-particle":"","family":"Stingl","given":"Georg","non-dropping-particle":"","parse-names":false,"suffix":""},{"dropping-particle":"","family":"Maverakis","given":"Emanual","non-dropping-particle":"","parse-names":false,"suffix":""},{"dropping-particle":"","family":"Brüggen","given":"Marie Charlotte","non-dropping-particle":"","parse-names":false,"suffix":""}],"container-title":"Allergy: European Journal of Allergy and Clinical Immunology","id":"ITEM-1","issue":"February","issued":{"date-parts":[["2024"]]},"page":"3310-3325","title":"Subcutaneous adipose tissue: Implications in dermatological diseases and beyond","type":"article-journal"},"uris":["http://www.mendeley.com/documents/?uuid=2ccc288f-bc05-4486-9ead-1de9b0676c07"]}],"mendeley":{"formattedCitation":"(Ziadlou et al., 2024)","plainTextFormattedCitation":"(Ziadlou et al., 2024)","previouslyFormattedCitation":"(Ziadlou et al., 2024)"},"properties":{"noteIndex":0},"schema":"https://github.com/citation-style-language/schema/raw/master/csl-citation.json"}</w:instrText>
      </w:r>
      <w:r w:rsidR="004F57CE" w:rsidRPr="00EF536B">
        <w:fldChar w:fldCharType="separate"/>
      </w:r>
      <w:r w:rsidR="004F57CE" w:rsidRPr="00EF536B">
        <w:rPr>
          <w:noProof/>
        </w:rPr>
        <w:t>(Ziadlou et al., 2024)</w:t>
      </w:r>
      <w:r w:rsidR="004F57CE" w:rsidRPr="00EF536B">
        <w:fldChar w:fldCharType="end"/>
      </w:r>
      <w:r w:rsidR="00882B1A" w:rsidRPr="00EF536B">
        <w:t>.</w:t>
      </w:r>
      <w:r w:rsidR="00882B1A" w:rsidRPr="00EA44D9">
        <w:t xml:space="preserve"> </w:t>
      </w:r>
      <w:r w:rsidRPr="00942A9D">
        <w:t>Variations in SAT distribution and volume are strongly influenced by genetic factors and are implicated in a range of cardiometabolic outcomes, including obesity, insulin resistance, and cardiovascular disease</w:t>
      </w:r>
      <w:r w:rsidR="008D0060" w:rsidRPr="00942A9D">
        <w:t xml:space="preserve"> </w:t>
      </w:r>
      <w:r w:rsidR="003568E2" w:rsidRPr="00942A9D">
        <w:fldChar w:fldCharType="begin" w:fldLock="1"/>
      </w:r>
      <w:r w:rsidR="00BA5CF7" w:rsidRPr="00942A9D">
        <w:instrText>ADDIN CSL_CITATION {"citationItems":[{"id":"ITEM-1","itemData":{"DOI":"10.1111/dom.13641","ISBN":"1047951118","abstract":"Background and Aims—Cardiovascular disease (CVD) is among the leading causes of morbidity and mortality worldwide. Traditional risk factors predict 75-80% of an individual's risk of incident CVD. However, the role of early life experiences in future disease risk is gaining attention. The Barker hypothesis proposes fetal origins of adult disease, with consistent evidence demonstrating the deleterious consequences of birth weight outside the normal range. In this study, we investigate the role of birth weight in CVD risk prediction. Methods and Results—The Women's Health Initiative (WHI) represents a large national cohort of post-menopausal women with 63 815 participants included in this analysis. Univariable proportional hazards regression analyses evaluated the association of 4 self-reported birth weight categories against 3 CVD outcome definitions, which included indicators of coronary heart disease, ischemic stroke, coronary revascularization, carotid artery disease and peripheral arterial disease. The role of birth weight was also evaluated for prediction of CVD events in the presence of traditional risk factors using 3 existing CVD risk prediction equations: one body mass index (BMI)-based and two laboratory-based models. Low birth weight (LBW) (&lt; 6 lbs.) was significantly associated with all CVD outcome definitions in univariable analyses (HR=1.086, p=0.009). LBW was a significant covariate in the BMI-based model (HR=1.128, p&lt;0.0001) but not in the lipid-based models. Conclusion—LBW (&lt;6 lbs.) is independently associated with CVD outcomes in the WHI cohort. This finding supports the role of the prenatal and postnatal environment in contributing to the development of adult chronic disease.","author":[{"dropping-particle":"","family":"Sanghera","given":"K. D.","non-dropping-particle":"","parse-names":false,"suffix":""},{"dropping-particle":"","family":"Bejar","given":"C.","non-dropping-particle":"","parse-names":false,"suffix":""},{"dropping-particle":"","family":"Sharma","given":"S.","non-dropping-particle":"","parse-names":false,"suffix":""},{"dropping-particle":"","family":"Gupta","given":"R.","non-dropping-particle":"","parse-names":false,"suffix":""},{"dropping-particle":"","family":"Blackett","given":"R. P.","non-dropping-particle":"","parse-names":false,"suffix":""}],"container-title":"Physiology &amp; behavior","id":"ITEM-1","issue":"5","issued":{"date-parts":[["2019"]]},"page":"1088–1100","title":"Obesity genetics and cardiometabolic health: potential for risk prediction","type":"article-journal","volume":"21"},"uris":["http://www.mendeley.com/documents/?uuid=84ca6174-2d70-4b8c-8598-b4b4d1f66316"]},{"id":"ITEM-2","itemData":{"DOI":"10.3390/ijms26073233","ISSN":"14220067","abstract":"Cold exposure is a regulatory biological functions in animals. The interaction of thermogenesis and energy metabolism in brown adipose tissue (BAT) is important for metabolic regulation in cold stress. Brown adipocytes (BAs) produce uncoupling protein 1 (UCP1) in mitochondria, activating non-shivering thermogenesis (NST) by uncoupling fuel combustion from ATP production in response to cold stimuli. To elucidate the mechanisms underlying thermogenesis and energy metabolism in BAT under cold stress, we explored how cold exposure triggers the activation of BAT thermogenesis and regulates overall energy metabolism. First, we briefly outline the precursor composition and function of BA. Second, we explore the roles of the cAMP- protein kinase A (PKA) and adenosine monophosphate-activated protein kinase (AMPK) signaling pathways in thermogenesis and energy metabolism in BA during cold stress. Then, we analyze the mechanism by which BA regulates mitochondria homeostasis and energy balance during cold stress. This research reveals potential therapeutic targets, such as PKA, AMPK, UCP1 and PGC-1α, which can be used to develop innovative strategies for treating metabolic diseases. Furthermore, it provides theoretical support for optimizing cold stress response strategies, including the pharmacological activation of BAT and the genetic modulation of thermogenic pathways, to improve energy homeostasis in livestock.","author":[{"dropping-particle":"","family":"Zhang","given":"Xuekai","non-dropping-particle":"","parse-names":false,"suffix":""},{"dropping-particle":"","family":"Xiao","given":"Jin","non-dropping-particle":"","parse-names":false,"suffix":""},{"dropping-particle":"","family":"Jiang","given":"Min","non-dropping-particle":"","parse-names":false,"suffix":""},{"dropping-particle":"","family":"Phillips","given":"Clive J.C.","non-dropping-particle":"","parse-names":false,"suffix":""},{"dropping-particle":"","family":"Shi","given":"Binlin","non-dropping-particle":"","parse-names":false,"suffix":""}],"container-title":"International Journal of Molecular Sciences","id":"ITEM-2","issue":"7","issued":{"date-parts":[["2025"]]},"page":"1-23","title":"Thermogenesis and Energy Metabolism in Brown Adipose Tissue in Animals Experiencing Cold Stress","type":"article-journal","volume":"26"},"uris":["http://www.mendeley.com/documents/?uuid=7035bfc7-82ab-4679-b70f-43b899f167d0"]}],"mendeley":{"formattedCitation":"(Sanghera et al., 2019; Zhang et al., 2025)","plainTextFormattedCitation":"(Sanghera et al., 2019; Zhang et al., 2025)","previouslyFormattedCitation":"(Sanghera et al., 2019; Zhang et al., 2025)"},"properties":{"noteIndex":0},"schema":"https://github.com/citation-style-language/schema/raw/master/csl-citation.json"}</w:instrText>
      </w:r>
      <w:r w:rsidR="003568E2" w:rsidRPr="00942A9D">
        <w:fldChar w:fldCharType="separate"/>
      </w:r>
      <w:r w:rsidR="00CF1470" w:rsidRPr="00942A9D">
        <w:rPr>
          <w:noProof/>
        </w:rPr>
        <w:t>(Sanghera et al., 2019; Zhang et al., 2025)</w:t>
      </w:r>
      <w:r w:rsidR="003568E2" w:rsidRPr="00942A9D">
        <w:fldChar w:fldCharType="end"/>
      </w:r>
      <w:r w:rsidRPr="00942A9D">
        <w:t xml:space="preserve">. Understanding the genetic architecture underlying </w:t>
      </w:r>
      <w:r w:rsidR="000B5342" w:rsidRPr="00942A9D">
        <w:t>the SAT</w:t>
      </w:r>
      <w:r w:rsidRPr="00942A9D">
        <w:t xml:space="preserve"> is therefore vital for both biological insight and risk stratification in metabolic disorders.</w:t>
      </w:r>
    </w:p>
    <w:p w14:paraId="261CF9A1" w14:textId="684A1F37" w:rsidR="00A25FE7" w:rsidRPr="00EA44D9" w:rsidRDefault="00532FEE" w:rsidP="00762225">
      <w:pPr>
        <w:pStyle w:val="NormalWeb"/>
        <w:spacing w:before="0" w:beforeAutospacing="0" w:after="0" w:afterAutospacing="0" w:line="360" w:lineRule="auto"/>
        <w:jc w:val="both"/>
      </w:pPr>
      <w:r w:rsidRPr="00942A9D">
        <w:t>Although individually significant markers in genome-wide association scans (GWAS) explain limited heritability of complex traits, evidence has been accruing that a considerable proportion of phenotypic variation can be explained by the ensemble of markers not achieving significance</w:t>
      </w:r>
      <w:r w:rsidR="008733AF" w:rsidRPr="00942A9D">
        <w:t xml:space="preserve"> </w:t>
      </w:r>
      <w:r w:rsidR="00BA5CF7" w:rsidRPr="00942A9D">
        <w:fldChar w:fldCharType="begin" w:fldLock="1"/>
      </w:r>
      <w:r w:rsidR="00871AE9" w:rsidRPr="00942A9D">
        <w:instrText>ADDIN CSL_CITATION {"citationItems":[{"id":"ITEM-1","itemData":{"DOI":"10.1371/journal.pgen.1003348","ISSN":"15537390","PMID":"23555274","abstract":"Polygenic scores have recently been used to summarise genetic effects among an ensemble of markers that do not individually achieve significance in a large-scale association study. Markers are selected using an initial training sample and used to construct a score in an independent replication sample by forming the weighted sum of associated alleles within each subject. Association between a trait and this composite score implies that a genetic signal is present among the selected markers, and the score can then be used for prediction of individual trait values. This approach has been used to obtain evidence of a genetic effect when no single markers are significant, to establish a common genetic basis for related disorders, and to construct risk prediction models. In some cases, however, the desired association or prediction has not been achieved. Here, the power and predictive accuracy of a polygenic score are derived from a quantitative genetics model as a function of the sizes of the two samples, explained genetic variance, selection thresholds for including a marker in the score, and methods for weighting effect sizes in the score. Expressions are derived for quantitative and discrete traits, the latter allowing for case/control sampling. A novel approach to estimating the variance explained by a marker panel is also proposed. It is shown that published studies with significant association of polygenic scores have been well powered, whereas those with negative results can be explained by low sample size. It is also shown that useful levels of prediction may only be approached when predictors are estimated from very large samples, up to an order of magnitude greater than currently available. Therefore, polygenic scores currently have more utility for association testing than predicting complex traits, but prediction will become more feasible as sample sizes continue to grow. © 2013 Frank Dudbridge.","author":[{"dropping-particle":"","family":"Dudbridge","given":"Frank","non-dropping-particle":"","parse-names":false,"suffix":""}],"container-title":"PLoS Genetics","id":"ITEM-1","issue":"3","issued":{"date-parts":[["2013"]]},"title":"Power and Predictive Accuracy of Polygenic Risk Scores","type":"article-journal","volume":"9"},"uris":["http://www.mendeley.com/documents/?uuid=a63d3fbb-ad18-47f5-a75f-aa33e7f82ef2"]}],"mendeley":{"formattedCitation":"(Dudbridge, 2013)","plainTextFormattedCitation":"(Dudbridge, 2013)","previouslyFormattedCitation":"(Dudbridge, 2013)"},"properties":{"noteIndex":0},"schema":"https://github.com/citation-style-language/schema/raw/master/csl-citation.json"}</w:instrText>
      </w:r>
      <w:r w:rsidR="00BA5CF7" w:rsidRPr="00942A9D">
        <w:fldChar w:fldCharType="separate"/>
      </w:r>
      <w:r w:rsidR="00BA5CF7" w:rsidRPr="00942A9D">
        <w:rPr>
          <w:noProof/>
        </w:rPr>
        <w:t>(Dudbridge, 2013)</w:t>
      </w:r>
      <w:r w:rsidR="00BA5CF7" w:rsidRPr="00942A9D">
        <w:fldChar w:fldCharType="end"/>
      </w:r>
      <w:r w:rsidRPr="00942A9D">
        <w:t>.</w:t>
      </w:r>
      <w:r w:rsidR="00CA1521" w:rsidRPr="00942A9D">
        <w:t xml:space="preserve"> Polygenic score analysis has recently generated much interest </w:t>
      </w:r>
      <w:r w:rsidR="006B3422" w:rsidRPr="00942A9D">
        <w:t>in</w:t>
      </w:r>
      <w:r w:rsidR="00CA1521" w:rsidRPr="00942A9D">
        <w:t xml:space="preserve"> assessing the explanatory power of an ensemble of markers. </w:t>
      </w:r>
      <w:r w:rsidR="00A25FE7" w:rsidRPr="00942A9D">
        <w:t>Polygenic risk scores (PRS) have emerged as a powerful tool for quantifying inherited susceptibility to complex traits by aggregating the effects of multiple genetic variants.</w:t>
      </w:r>
      <w:r w:rsidR="009624A7" w:rsidRPr="00942A9D">
        <w:t xml:space="preserve"> </w:t>
      </w:r>
      <w:r w:rsidR="00A25FE7" w:rsidRPr="00942A9D">
        <w:t>Traditional single-source PRS construction methods typically rely on summary statistics from genome-wide association studies (GWAS) and apply fixed or heuristic thresholds (e.g., clumping and p-value thresholding). While these methods are straightforward, they may fail to capture the full polygenic signal or the correlation structure of the genome, potentially limiting their predictive utility</w:t>
      </w:r>
      <w:r w:rsidR="009624A7" w:rsidRPr="00942A9D">
        <w:t xml:space="preserve"> </w:t>
      </w:r>
      <w:r w:rsidR="009624A7" w:rsidRPr="00942A9D">
        <w:fldChar w:fldCharType="begin" w:fldLock="1"/>
      </w:r>
      <w:r w:rsidR="00E022A2" w:rsidRPr="00942A9D">
        <w:instrText>ADDIN CSL_CITATION {"citationItems":[{"id":"ITEM-1","itemData":{"DOI":"10.1016/j.xgen.2024.100523","ISSN":"2666979X","PMID":"36865265","abstract":"Polygenic risk scores (PRSs) are an emerging tool to predict the clinical phenotypes and outcomes of individuals. We propose PRSmix, a framework that leverages the PRS corpus of a target trait to improve prediction accuracy, and PRSmix+, which incorporates genetically correlated traits to better capture the human genetic architecture for 47 and 32 diseases/traits in European and South Asian ancestries, respectively. PRSmix demonstrated a mean prediction accuracy improvement of 1.20-fold (95% confidence interval [CI], [1.10; 1.3]; p = 9.17 × 10−5) and 1.19-fold (95% CI, [1.11; 1.27]; p = 1.92 × 10−6), and PRSmix+ improved the prediction accuracy by 1.72-fold (95% CI, [1.40; 2.04]; p = 7.58 × 10−6) and 1.42-fold (95% CI, [1.25; 1.59]; p = 8.01 × 10−7) in European and South Asian ancestries, respectively. Compared to the previously cross-trait-combination methods with scores from pre-defined correlated traits, we demonstrated that our method improved prediction accuracy for coronary artery disease up to 3.27-fold (95% CI, [2.1; 4.44]; p value after false discovery rate (FDR) correction = 2.6 × 10−4). Our method provides a comprehensive framework to benchmark and leverage the combined power of PRS for maximal performance in a desired target population.","author":[{"dropping-particle":"","family":"Truong","given":"Buu","non-dropping-particle":"","parse-names":false,"suffix":""},{"dropping-particle":"","family":"Hull","given":"Leland E.","non-dropping-particle":"","parse-names":false,"suffix":""},{"dropping-particle":"","family":"Ruan","given":"Yunfeng","non-dropping-particle":"","parse-names":false,"suffix":""},{"dropping-particle":"","family":"Huang","given":"Qin Qin","non-dropping-particle":"","parse-names":false,"suffix":""},{"dropping-particle":"","family":"Hornsby","given":"Whitney","non-dropping-particle":"","parse-names":false,"suffix":""},{"dropping-particle":"","family":"Martin","given":"Hilary","non-dropping-particle":"","parse-names":false,"suffix":""},{"dropping-particle":"","family":"Heel","given":"David A.","non-dropping-particle":"van","parse-names":false,"suffix":""},{"dropping-particle":"","family":"Wang","given":"Ying","non-dropping-particle":"","parse-names":false,"suffix":""},{"dropping-particle":"","family":"Martin","given":"Alicia R.","non-dropping-particle":"","parse-names":false,"suffix":""},{"dropping-particle":"","family":"Lee","given":"S. Hong","non-dropping-particle":"","parse-names":false,"suffix":""},{"dropping-particle":"","family":"Natarajan","given":"Pradeep","non-dropping-particle":"","parse-names":false,"suffix":""}],"container-title":"Cell Genomics","id":"ITEM-1","issue":"4","issued":{"date-parts":[["2024"]]},"page":"1-27","title":"Integrative polygenic risk score improves the prediction accuracy of complex traits and diseases","type":"article-journal","volume":"4"},"uris":["http://www.mendeley.com/documents/?uuid=53ab08f2-cc23-4b75-9979-9f0085bf88d7"]}],"mendeley":{"formattedCitation":"(Truong et al., 2024)","plainTextFormattedCitation":"(Truong et al., 2024)","previouslyFormattedCitation":"(Truong et al., 2024)"},"properties":{"noteIndex":0},"schema":"https://github.com/citation-style-language/schema/raw/master/csl-citation.json"}</w:instrText>
      </w:r>
      <w:r w:rsidR="009624A7" w:rsidRPr="00942A9D">
        <w:fldChar w:fldCharType="separate"/>
      </w:r>
      <w:r w:rsidR="009624A7" w:rsidRPr="00942A9D">
        <w:rPr>
          <w:noProof/>
        </w:rPr>
        <w:t>(Truong et al., 2024)</w:t>
      </w:r>
      <w:r w:rsidR="009624A7" w:rsidRPr="00942A9D">
        <w:fldChar w:fldCharType="end"/>
      </w:r>
      <w:r w:rsidR="00A25FE7" w:rsidRPr="00942A9D">
        <w:t>.</w:t>
      </w:r>
    </w:p>
    <w:bookmarkEnd w:id="0"/>
    <w:p w14:paraId="573796D2" w14:textId="77777777" w:rsidR="00AD664E" w:rsidRDefault="00A25FE7" w:rsidP="00AD664E">
      <w:pPr>
        <w:pStyle w:val="NormalWeb"/>
        <w:spacing w:before="0" w:beforeAutospacing="0" w:after="0" w:afterAutospacing="0" w:line="360" w:lineRule="auto"/>
        <w:jc w:val="both"/>
      </w:pPr>
      <w:r w:rsidRPr="00EA44D9">
        <w:lastRenderedPageBreak/>
        <w:t>In contrast, integrative approaches such as elastic net regression and Bayesian mixture models (e.g., PRS-</w:t>
      </w:r>
      <w:proofErr w:type="spellStart"/>
      <w:r w:rsidRPr="00EA44D9">
        <w:t>CSx</w:t>
      </w:r>
      <w:proofErr w:type="spellEnd"/>
      <w:r w:rsidRPr="00EA44D9">
        <w:t xml:space="preserve">, </w:t>
      </w:r>
      <w:proofErr w:type="spellStart"/>
      <w:r w:rsidRPr="00EA44D9">
        <w:t>PRSmixture</w:t>
      </w:r>
      <w:proofErr w:type="spellEnd"/>
      <w:r w:rsidRPr="00EA44D9">
        <w:t>) allow for the simultaneous modeling of correlated variants and multiple information sources, potentially enhancing predictive performance</w:t>
      </w:r>
      <w:r w:rsidR="00871AE9" w:rsidRPr="00EA44D9">
        <w:t xml:space="preserve"> </w:t>
      </w:r>
      <w:r w:rsidR="00871AE9" w:rsidRPr="00EA44D9">
        <w:fldChar w:fldCharType="begin" w:fldLock="1"/>
      </w:r>
      <w:r w:rsidR="009624A7" w:rsidRPr="00EA44D9">
        <w:instrText>ADDIN CSL_CITATION {"citationItems":[{"id":"ITEM-1","itemData":{"DOI":"10.1016/j.xgen.2024.100523","ISSN":"2666979X","PMID":"36865265","abstract":"Polygenic risk scores (PRSs) are an emerging tool to predict the clinical phenotypes and outcomes of individuals. We propose PRSmix, a framework that leverages the PRS corpus of a target trait to improve prediction accuracy, and PRSmix+, which incorporates genetically correlated traits to better capture the human genetic architecture for 47 and 32 diseases/traits in European and South Asian ancestries, respectively. PRSmix demonstrated a mean prediction accuracy improvement of 1.20-fold (95% confidence interval [CI], [1.10; 1.3]; p = 9.17 × 10−5) and 1.19-fold (95% CI, [1.11; 1.27]; p = 1.92 × 10−6), and PRSmix+ improved the prediction accuracy by 1.72-fold (95% CI, [1.40; 2.04]; p = 7.58 × 10−6) and 1.42-fold (95% CI, [1.25; 1.59]; p = 8.01 × 10−7) in European and South Asian ancestries, respectively. Compared to the previously cross-trait-combination methods with scores from pre-defined correlated traits, we demonstrated that our method improved prediction accuracy for coronary artery disease up to 3.27-fold (95% CI, [2.1; 4.44]; p value after false discovery rate (FDR) correction = 2.6 × 10−4). Our method provides a comprehensive framework to benchmark and leverage the combined power of PRS for maximal performance in a desired target population.","author":[{"dropping-particle":"","family":"Truong","given":"Buu","non-dropping-particle":"","parse-names":false,"suffix":""},{"dropping-particle":"","family":"Hull","given":"Leland E.","non-dropping-particle":"","parse-names":false,"suffix":""},{"dropping-particle":"","family":"Ruan","given":"Yunfeng","non-dropping-particle":"","parse-names":false,"suffix":""},{"dropping-particle":"","family":"Huang","given":"Qin Qin","non-dropping-particle":"","parse-names":false,"suffix":""},{"dropping-particle":"","family":"Hornsby","given":"Whitney","non-dropping-particle":"","parse-names":false,"suffix":""},{"dropping-particle":"","family":"Martin","given":"Hilary","non-dropping-particle":"","parse-names":false,"suffix":""},{"dropping-particle":"","family":"Heel","given":"David A.","non-dropping-particle":"van","parse-names":false,"suffix":""},{"dropping-particle":"","family":"Wang","given":"Ying","non-dropping-particle":"","parse-names":false,"suffix":""},{"dropping-particle":"","family":"Martin","given":"Alicia R.","non-dropping-particle":"","parse-names":false,"suffix":""},{"dropping-particle":"","family":"Lee","given":"S. Hong","non-dropping-particle":"","parse-names":false,"suffix":""},{"dropping-particle":"","family":"Natarajan","given":"Pradeep","non-dropping-particle":"","parse-names":false,"suffix":""}],"container-title":"Cell Genomics","id":"ITEM-1","issue":"4","issued":{"date-parts":[["2024"]]},"page":"1-27","title":"Integrative polygenic risk score improves the prediction accuracy of complex traits and diseases","type":"article-journal","volume":"4"},"uris":["http://www.mendeley.com/documents/?uuid=53ab08f2-cc23-4b75-9979-9f0085bf88d7"]}],"mendeley":{"formattedCitation":"(Truong et al., 2024)","plainTextFormattedCitation":"(Truong et al., 2024)","previouslyFormattedCitation":"(Truong et al., 2024)"},"properties":{"noteIndex":0},"schema":"https://github.com/citation-style-language/schema/raw/master/csl-citation.json"}</w:instrText>
      </w:r>
      <w:r w:rsidR="00871AE9" w:rsidRPr="00EA44D9">
        <w:fldChar w:fldCharType="separate"/>
      </w:r>
      <w:r w:rsidR="00871AE9" w:rsidRPr="00EA44D9">
        <w:rPr>
          <w:noProof/>
        </w:rPr>
        <w:t>(Truong et al., 2024)</w:t>
      </w:r>
      <w:r w:rsidR="00871AE9" w:rsidRPr="00EA44D9">
        <w:fldChar w:fldCharType="end"/>
      </w:r>
      <w:r w:rsidRPr="00EA44D9">
        <w:t>. These methods can incorporate shrinkage, variable selection, and cross-trait or multi-cohort information, offering a more nuanced representation of genetic architecture.</w:t>
      </w:r>
      <w:r w:rsidR="00AD664E">
        <w:t xml:space="preserve"> </w:t>
      </w:r>
    </w:p>
    <w:p w14:paraId="15CC0B64" w14:textId="629DA8C0" w:rsidR="00A25FE7" w:rsidRPr="00EA44D9" w:rsidRDefault="00A25FE7" w:rsidP="00392DD9">
      <w:pPr>
        <w:pStyle w:val="NormalWeb"/>
        <w:spacing w:before="0" w:beforeAutospacing="0" w:after="0" w:afterAutospacing="0" w:line="360" w:lineRule="auto"/>
        <w:jc w:val="both"/>
      </w:pPr>
      <w:bookmarkStart w:id="1" w:name="_Hlk201857636"/>
      <w:r w:rsidRPr="00942A9D">
        <w:t>Despite the growing availability and sophistication of PRS tools, limited work has systematically evaluated whether integrative methods provide meaningful improvements over single-source approaches in predicting SAT traits.</w:t>
      </w:r>
      <w:r w:rsidRPr="00EA44D9">
        <w:t xml:space="preserve"> </w:t>
      </w:r>
      <w:bookmarkEnd w:id="1"/>
      <w:r w:rsidRPr="00EA44D9">
        <w:t>Given the central role of SAT in metabolic health, this study seeks to fill that gap by conducting a comprehensive comparison of integrative and traditional PRS models.</w:t>
      </w:r>
      <w:r w:rsidR="00392DD9">
        <w:t xml:space="preserve"> </w:t>
      </w:r>
      <w:r w:rsidR="00F16E55" w:rsidRPr="00F16E55">
        <w:t xml:space="preserve">Here, we evaluate the predictive performance of pre-constructed polygenic risk scores for subcutaneous adipose tissue (SAT), comparing single-method approaches (e.g., clumping + thresholding, LDpred2) with integrative models such as elastic net regression and </w:t>
      </w:r>
      <w:proofErr w:type="spellStart"/>
      <w:r w:rsidR="00F16E55" w:rsidRPr="00F16E55">
        <w:t>PRSmixture</w:t>
      </w:r>
      <w:proofErr w:type="spellEnd"/>
      <w:r w:rsidR="00F16E55" w:rsidRPr="00F16E55">
        <w:t>.</w:t>
      </w:r>
      <w:r w:rsidR="00F16E55">
        <w:t xml:space="preserve"> </w:t>
      </w:r>
      <w:bookmarkStart w:id="2" w:name="_Hlk201857649"/>
      <w:r w:rsidRPr="00942A9D">
        <w:t xml:space="preserve">We assess the predictive utility of each method in independent validation cohorts and quantify their performance using standard metrics such as </w:t>
      </w:r>
      <w:r w:rsidR="001F15A3" w:rsidRPr="00942A9D">
        <w:t xml:space="preserve">AUC, </w:t>
      </w:r>
      <w:r w:rsidRPr="00942A9D">
        <w:t>R²</w:t>
      </w:r>
      <w:r w:rsidR="001F15A3" w:rsidRPr="00942A9D">
        <w:t xml:space="preserve">, </w:t>
      </w:r>
      <w:r w:rsidRPr="00942A9D">
        <w:t xml:space="preserve">and mean squared error. Our goal is to determine whether integration confers added predictive value and to </w:t>
      </w:r>
      <w:r w:rsidR="00C87C7E" w:rsidRPr="00942A9D">
        <w:t>guide</w:t>
      </w:r>
      <w:r w:rsidRPr="00942A9D">
        <w:t xml:space="preserve"> the optimal construction of PRS for adiposity traits</w:t>
      </w:r>
      <w:bookmarkEnd w:id="2"/>
      <w:r w:rsidRPr="00942A9D">
        <w:t>.</w:t>
      </w:r>
      <w:r w:rsidR="00242E09">
        <w:t xml:space="preserve"> We hypothesize that </w:t>
      </w:r>
      <w:proofErr w:type="spellStart"/>
      <w:r w:rsidR="00242E09">
        <w:t>PRSmix</w:t>
      </w:r>
      <w:proofErr w:type="spellEnd"/>
      <w:r w:rsidR="00242E09">
        <w:t xml:space="preserve"> is not a better predictor of SAT levels in </w:t>
      </w:r>
      <w:r w:rsidR="001F2926">
        <w:t>the African population than the</w:t>
      </w:r>
      <w:r w:rsidR="00242E09">
        <w:t xml:space="preserve"> </w:t>
      </w:r>
      <w:r w:rsidR="007136EB">
        <w:t>individual</w:t>
      </w:r>
      <w:r w:rsidR="006A665D">
        <w:t xml:space="preserve"> </w:t>
      </w:r>
      <w:r w:rsidR="00242E09">
        <w:t xml:space="preserve">PGSs. </w:t>
      </w:r>
    </w:p>
    <w:p w14:paraId="27B1C475" w14:textId="77777777" w:rsidR="00A25FE7" w:rsidRPr="007D03A6" w:rsidRDefault="00A25FE7" w:rsidP="00A25FE7">
      <w:pPr>
        <w:rPr>
          <w:rFonts w:ascii="Times New Roman" w:hAnsi="Times New Roman" w:cs="Times New Roman"/>
          <w:b/>
          <w:bCs/>
        </w:rPr>
      </w:pPr>
    </w:p>
    <w:p w14:paraId="37512643" w14:textId="4DAFAC37" w:rsidR="00D2054B" w:rsidRPr="007D03A6" w:rsidRDefault="00191AAB" w:rsidP="002C0ED2">
      <w:pPr>
        <w:spacing w:after="0" w:line="360" w:lineRule="auto"/>
        <w:rPr>
          <w:rFonts w:ascii="Times New Roman" w:hAnsi="Times New Roman" w:cs="Times New Roman"/>
          <w:b/>
          <w:bCs/>
        </w:rPr>
      </w:pPr>
      <w:r>
        <w:rPr>
          <w:rFonts w:ascii="Times New Roman" w:hAnsi="Times New Roman" w:cs="Times New Roman"/>
          <w:b/>
          <w:bCs/>
        </w:rPr>
        <w:t xml:space="preserve">2.0 </w:t>
      </w:r>
      <w:r w:rsidR="00D2054B" w:rsidRPr="007D03A6">
        <w:rPr>
          <w:rFonts w:ascii="Times New Roman" w:hAnsi="Times New Roman" w:cs="Times New Roman"/>
          <w:b/>
          <w:bCs/>
        </w:rPr>
        <w:t>Materials and methods</w:t>
      </w:r>
    </w:p>
    <w:p w14:paraId="6BFF785F" w14:textId="5C6A9DB0" w:rsidR="003C1C31" w:rsidRPr="002C0ED2" w:rsidRDefault="00191AAB" w:rsidP="002C0ED2">
      <w:pPr>
        <w:spacing w:after="0" w:line="360" w:lineRule="auto"/>
        <w:rPr>
          <w:rFonts w:ascii="Times New Roman" w:hAnsi="Times New Roman" w:cs="Times New Roman"/>
          <w:b/>
          <w:bCs/>
        </w:rPr>
      </w:pPr>
      <w:r>
        <w:rPr>
          <w:rFonts w:ascii="Times New Roman" w:hAnsi="Times New Roman" w:cs="Times New Roman"/>
          <w:b/>
          <w:bCs/>
        </w:rPr>
        <w:t xml:space="preserve">2.1 </w:t>
      </w:r>
      <w:r w:rsidR="003C1C31" w:rsidRPr="003C1C31">
        <w:rPr>
          <w:rFonts w:ascii="Times New Roman" w:hAnsi="Times New Roman" w:cs="Times New Roman"/>
          <w:b/>
          <w:bCs/>
        </w:rPr>
        <w:t xml:space="preserve">Dataset </w:t>
      </w:r>
    </w:p>
    <w:p w14:paraId="75CF8152" w14:textId="354AF50D" w:rsidR="00B970CC" w:rsidRDefault="00B970CC" w:rsidP="00D23421">
      <w:pPr>
        <w:spacing w:after="0" w:line="360" w:lineRule="auto"/>
        <w:jc w:val="both"/>
        <w:rPr>
          <w:rFonts w:ascii="Times New Roman" w:hAnsi="Times New Roman" w:cs="Times New Roman"/>
        </w:rPr>
      </w:pPr>
      <w:r>
        <w:rPr>
          <w:rFonts w:ascii="Times New Roman" w:hAnsi="Times New Roman" w:cs="Times New Roman"/>
        </w:rPr>
        <w:t xml:space="preserve">The dataset for this analysis </w:t>
      </w:r>
      <w:r w:rsidR="00CE5E2A">
        <w:rPr>
          <w:rFonts w:ascii="Times New Roman" w:hAnsi="Times New Roman" w:cs="Times New Roman"/>
        </w:rPr>
        <w:t xml:space="preserve">is a </w:t>
      </w:r>
      <w:r w:rsidR="000A32EF">
        <w:rPr>
          <w:rFonts w:ascii="Times New Roman" w:hAnsi="Times New Roman" w:cs="Times New Roman"/>
        </w:rPr>
        <w:t>polygenic score (</w:t>
      </w:r>
      <w:r w:rsidR="00CE5E2A">
        <w:rPr>
          <w:rFonts w:ascii="Times New Roman" w:hAnsi="Times New Roman" w:cs="Times New Roman"/>
        </w:rPr>
        <w:t>PGS</w:t>
      </w:r>
      <w:r w:rsidR="000A32EF">
        <w:rPr>
          <w:rFonts w:ascii="Times New Roman" w:hAnsi="Times New Roman" w:cs="Times New Roman"/>
        </w:rPr>
        <w:t xml:space="preserve">) </w:t>
      </w:r>
      <w:r w:rsidR="00F010EE">
        <w:rPr>
          <w:rFonts w:ascii="Times New Roman" w:hAnsi="Times New Roman" w:cs="Times New Roman"/>
        </w:rPr>
        <w:t xml:space="preserve">for platelet count traits for predicting the </w:t>
      </w:r>
      <w:r w:rsidR="008047D1">
        <w:rPr>
          <w:rFonts w:ascii="Times New Roman" w:hAnsi="Times New Roman" w:cs="Times New Roman"/>
        </w:rPr>
        <w:t xml:space="preserve">SAT </w:t>
      </w:r>
      <w:r w:rsidR="00F010EE">
        <w:rPr>
          <w:rFonts w:ascii="Times New Roman" w:hAnsi="Times New Roman" w:cs="Times New Roman"/>
        </w:rPr>
        <w:t xml:space="preserve">levels </w:t>
      </w:r>
      <w:r w:rsidR="008047D1">
        <w:rPr>
          <w:rFonts w:ascii="Times New Roman" w:hAnsi="Times New Roman" w:cs="Times New Roman"/>
        </w:rPr>
        <w:t>among</w:t>
      </w:r>
      <w:r w:rsidR="00D37C32">
        <w:rPr>
          <w:rFonts w:ascii="Times New Roman" w:hAnsi="Times New Roman" w:cs="Times New Roman"/>
        </w:rPr>
        <w:t xml:space="preserve"> Africans</w:t>
      </w:r>
      <w:r w:rsidR="00CE5E2A">
        <w:rPr>
          <w:rFonts w:ascii="Times New Roman" w:hAnsi="Times New Roman" w:cs="Times New Roman"/>
        </w:rPr>
        <w:t xml:space="preserve">, which </w:t>
      </w:r>
      <w:r>
        <w:rPr>
          <w:rFonts w:ascii="Times New Roman" w:hAnsi="Times New Roman" w:cs="Times New Roman"/>
        </w:rPr>
        <w:t>was obtained from the Polygenic</w:t>
      </w:r>
      <w:r w:rsidR="00CE5E2A">
        <w:rPr>
          <w:rFonts w:ascii="Times New Roman" w:hAnsi="Times New Roman" w:cs="Times New Roman"/>
        </w:rPr>
        <w:t xml:space="preserve"> </w:t>
      </w:r>
      <w:r>
        <w:rPr>
          <w:rFonts w:ascii="Times New Roman" w:hAnsi="Times New Roman" w:cs="Times New Roman"/>
        </w:rPr>
        <w:t xml:space="preserve">Scores </w:t>
      </w:r>
      <w:r w:rsidR="00B53E07">
        <w:rPr>
          <w:rFonts w:ascii="Times New Roman" w:hAnsi="Times New Roman" w:cs="Times New Roman"/>
        </w:rPr>
        <w:t>(P</w:t>
      </w:r>
      <w:r w:rsidR="00CE5E2A">
        <w:rPr>
          <w:rFonts w:ascii="Times New Roman" w:hAnsi="Times New Roman" w:cs="Times New Roman"/>
        </w:rPr>
        <w:t>G</w:t>
      </w:r>
      <w:r w:rsidR="00B53E07">
        <w:rPr>
          <w:rFonts w:ascii="Times New Roman" w:hAnsi="Times New Roman" w:cs="Times New Roman"/>
        </w:rPr>
        <w:t xml:space="preserve">S) </w:t>
      </w:r>
      <w:r>
        <w:rPr>
          <w:rFonts w:ascii="Times New Roman" w:hAnsi="Times New Roman" w:cs="Times New Roman"/>
        </w:rPr>
        <w:t xml:space="preserve">catalog and </w:t>
      </w:r>
      <w:r w:rsidR="00B53E07">
        <w:rPr>
          <w:rFonts w:ascii="Times New Roman" w:hAnsi="Times New Roman" w:cs="Times New Roman"/>
        </w:rPr>
        <w:t>imputed</w:t>
      </w:r>
      <w:r>
        <w:rPr>
          <w:rFonts w:ascii="Times New Roman" w:hAnsi="Times New Roman" w:cs="Times New Roman"/>
        </w:rPr>
        <w:t xml:space="preserve"> by the course facilitators.</w:t>
      </w:r>
      <w:r w:rsidR="00D23421">
        <w:rPr>
          <w:rFonts w:ascii="Times New Roman" w:hAnsi="Times New Roman" w:cs="Times New Roman"/>
        </w:rPr>
        <w:t xml:space="preserve"> The dataset contains </w:t>
      </w:r>
      <w:r w:rsidR="00C83841">
        <w:rPr>
          <w:rFonts w:ascii="Times New Roman" w:hAnsi="Times New Roman" w:cs="Times New Roman"/>
        </w:rPr>
        <w:t>24</w:t>
      </w:r>
      <w:r w:rsidR="00D23421">
        <w:rPr>
          <w:rFonts w:ascii="Times New Roman" w:hAnsi="Times New Roman" w:cs="Times New Roman"/>
        </w:rPr>
        <w:t xml:space="preserve"> PRS scores with 10 principal components (PCA). It includes age and sex as covariates, with each participant having a unique identifier. </w:t>
      </w:r>
      <w:r>
        <w:rPr>
          <w:rFonts w:ascii="Times New Roman" w:hAnsi="Times New Roman" w:cs="Times New Roman"/>
        </w:rPr>
        <w:t xml:space="preserve"> </w:t>
      </w:r>
    </w:p>
    <w:p w14:paraId="7248D58F" w14:textId="77777777" w:rsidR="00F32C4A" w:rsidRDefault="00F32C4A" w:rsidP="00D23421">
      <w:pPr>
        <w:spacing w:after="0" w:line="360" w:lineRule="auto"/>
        <w:jc w:val="both"/>
        <w:rPr>
          <w:rFonts w:ascii="Times New Roman" w:hAnsi="Times New Roman" w:cs="Times New Roman"/>
          <w:b/>
          <w:bCs/>
        </w:rPr>
      </w:pPr>
    </w:p>
    <w:p w14:paraId="4B4DAF54" w14:textId="0C9E16B9" w:rsidR="00C71092" w:rsidRPr="00480023" w:rsidRDefault="00191AAB" w:rsidP="00D23421">
      <w:pPr>
        <w:spacing w:after="0" w:line="360" w:lineRule="auto"/>
        <w:jc w:val="both"/>
        <w:rPr>
          <w:rFonts w:ascii="Times New Roman" w:hAnsi="Times New Roman" w:cs="Times New Roman"/>
        </w:rPr>
      </w:pPr>
      <w:r>
        <w:rPr>
          <w:rFonts w:ascii="Times New Roman" w:hAnsi="Times New Roman" w:cs="Times New Roman"/>
          <w:b/>
          <w:bCs/>
        </w:rPr>
        <w:t xml:space="preserve">2.2 </w:t>
      </w:r>
      <w:r w:rsidR="00C71092" w:rsidRPr="00C71092">
        <w:rPr>
          <w:rFonts w:ascii="Times New Roman" w:hAnsi="Times New Roman" w:cs="Times New Roman"/>
          <w:b/>
          <w:bCs/>
        </w:rPr>
        <w:t xml:space="preserve">Study design </w:t>
      </w:r>
    </w:p>
    <w:p w14:paraId="2280F85A" w14:textId="391703E8" w:rsidR="00480023" w:rsidRDefault="00480023" w:rsidP="00D23421">
      <w:pPr>
        <w:spacing w:after="0" w:line="360" w:lineRule="auto"/>
        <w:jc w:val="both"/>
        <w:rPr>
          <w:rFonts w:ascii="Times New Roman" w:hAnsi="Times New Roman" w:cs="Times New Roman"/>
        </w:rPr>
      </w:pPr>
      <w:r w:rsidRPr="00480023">
        <w:rPr>
          <w:rFonts w:ascii="Times New Roman" w:hAnsi="Times New Roman" w:cs="Times New Roman"/>
        </w:rPr>
        <w:t>In this study</w:t>
      </w:r>
      <w:r w:rsidR="00A65B85">
        <w:rPr>
          <w:rFonts w:ascii="Times New Roman" w:hAnsi="Times New Roman" w:cs="Times New Roman"/>
        </w:rPr>
        <w:t>,</w:t>
      </w:r>
      <w:r w:rsidRPr="00480023">
        <w:rPr>
          <w:rFonts w:ascii="Times New Roman" w:hAnsi="Times New Roman" w:cs="Times New Roman"/>
        </w:rPr>
        <w:t xml:space="preserve"> </w:t>
      </w:r>
      <w:r w:rsidR="00A65B85">
        <w:rPr>
          <w:rFonts w:ascii="Times New Roman" w:hAnsi="Times New Roman" w:cs="Times New Roman"/>
        </w:rPr>
        <w:t xml:space="preserve">we adopted the </w:t>
      </w:r>
      <w:proofErr w:type="spellStart"/>
      <w:r w:rsidR="00A65B85">
        <w:rPr>
          <w:rFonts w:ascii="Times New Roman" w:hAnsi="Times New Roman" w:cs="Times New Roman"/>
        </w:rPr>
        <w:t>PRSmix</w:t>
      </w:r>
      <w:proofErr w:type="spellEnd"/>
      <w:r w:rsidR="00A65B85">
        <w:rPr>
          <w:rFonts w:ascii="Times New Roman" w:hAnsi="Times New Roman" w:cs="Times New Roman"/>
        </w:rPr>
        <w:t xml:space="preserve"> approach</w:t>
      </w:r>
      <w:r w:rsidR="005534B7">
        <w:rPr>
          <w:rFonts w:ascii="Times New Roman" w:hAnsi="Times New Roman" w:cs="Times New Roman"/>
        </w:rPr>
        <w:t xml:space="preserve"> </w:t>
      </w:r>
      <w:r w:rsidR="00D4605E">
        <w:rPr>
          <w:rFonts w:ascii="Times New Roman" w:hAnsi="Times New Roman" w:cs="Times New Roman"/>
        </w:rPr>
        <w:t xml:space="preserve">to evaluate the predictive performance of </w:t>
      </w:r>
      <w:r w:rsidR="00C37CA6">
        <w:rPr>
          <w:rFonts w:ascii="Times New Roman" w:hAnsi="Times New Roman" w:cs="Times New Roman"/>
        </w:rPr>
        <w:t>single-source</w:t>
      </w:r>
      <w:r w:rsidR="00D4605E">
        <w:rPr>
          <w:rFonts w:ascii="Times New Roman" w:hAnsi="Times New Roman" w:cs="Times New Roman"/>
        </w:rPr>
        <w:t xml:space="preserve"> and integrative PGS for SAT in African</w:t>
      </w:r>
      <w:r w:rsidR="00977853">
        <w:rPr>
          <w:rFonts w:ascii="Times New Roman" w:hAnsi="Times New Roman" w:cs="Times New Roman"/>
        </w:rPr>
        <w:t xml:space="preserve"> populations</w:t>
      </w:r>
      <w:r w:rsidR="00D4605E">
        <w:rPr>
          <w:rFonts w:ascii="Times New Roman" w:hAnsi="Times New Roman" w:cs="Times New Roman"/>
        </w:rPr>
        <w:t>.</w:t>
      </w:r>
      <w:r w:rsidR="00F32C4A">
        <w:rPr>
          <w:rFonts w:ascii="Times New Roman" w:hAnsi="Times New Roman" w:cs="Times New Roman"/>
        </w:rPr>
        <w:t xml:space="preserve"> The dataset consists of PGS scores</w:t>
      </w:r>
      <w:r w:rsidR="00A323DE">
        <w:rPr>
          <w:rFonts w:ascii="Times New Roman" w:hAnsi="Times New Roman" w:cs="Times New Roman"/>
        </w:rPr>
        <w:t xml:space="preserve"> for </w:t>
      </w:r>
      <w:r w:rsidR="00F32C4A">
        <w:rPr>
          <w:rFonts w:ascii="Times New Roman" w:hAnsi="Times New Roman" w:cs="Times New Roman"/>
        </w:rPr>
        <w:t>different trait</w:t>
      </w:r>
      <w:r w:rsidR="00A323DE">
        <w:rPr>
          <w:rFonts w:ascii="Times New Roman" w:hAnsi="Times New Roman" w:cs="Times New Roman"/>
        </w:rPr>
        <w:t xml:space="preserve">s obtained from the PGS catalog. The data was first cleaned </w:t>
      </w:r>
      <w:r w:rsidR="00404D45">
        <w:rPr>
          <w:rFonts w:ascii="Times New Roman" w:hAnsi="Times New Roman" w:cs="Times New Roman"/>
        </w:rPr>
        <w:t xml:space="preserve">to remove outliers, missing values, </w:t>
      </w:r>
      <w:proofErr w:type="spellStart"/>
      <w:r w:rsidR="00404D45">
        <w:rPr>
          <w:rFonts w:ascii="Times New Roman" w:hAnsi="Times New Roman" w:cs="Times New Roman"/>
        </w:rPr>
        <w:t>etc</w:t>
      </w:r>
      <w:proofErr w:type="spellEnd"/>
      <w:r w:rsidR="00DD690D">
        <w:rPr>
          <w:rFonts w:ascii="Times New Roman" w:hAnsi="Times New Roman" w:cs="Times New Roman"/>
        </w:rPr>
        <w:t>,</w:t>
      </w:r>
      <w:r w:rsidR="00404D45">
        <w:rPr>
          <w:rFonts w:ascii="Times New Roman" w:hAnsi="Times New Roman" w:cs="Times New Roman"/>
        </w:rPr>
        <w:t xml:space="preserve"> </w:t>
      </w:r>
      <w:r w:rsidR="00A323DE">
        <w:rPr>
          <w:rFonts w:ascii="Times New Roman" w:hAnsi="Times New Roman" w:cs="Times New Roman"/>
        </w:rPr>
        <w:t>and explored to understand the data</w:t>
      </w:r>
      <w:r w:rsidR="00404D45">
        <w:rPr>
          <w:rFonts w:ascii="Times New Roman" w:hAnsi="Times New Roman" w:cs="Times New Roman"/>
        </w:rPr>
        <w:t xml:space="preserve">. Summary statistics for the data set </w:t>
      </w:r>
      <w:r w:rsidR="00AD0960">
        <w:rPr>
          <w:rFonts w:ascii="Times New Roman" w:hAnsi="Times New Roman" w:cs="Times New Roman"/>
        </w:rPr>
        <w:t>were</w:t>
      </w:r>
      <w:r w:rsidR="00404D45">
        <w:rPr>
          <w:rFonts w:ascii="Times New Roman" w:hAnsi="Times New Roman" w:cs="Times New Roman"/>
        </w:rPr>
        <w:t xml:space="preserve"> </w:t>
      </w:r>
      <w:r w:rsidR="00AD0960">
        <w:rPr>
          <w:rFonts w:ascii="Times New Roman" w:hAnsi="Times New Roman" w:cs="Times New Roman"/>
        </w:rPr>
        <w:lastRenderedPageBreak/>
        <w:t>generated</w:t>
      </w:r>
      <w:r w:rsidR="00404D45">
        <w:rPr>
          <w:rFonts w:ascii="Times New Roman" w:hAnsi="Times New Roman" w:cs="Times New Roman"/>
        </w:rPr>
        <w:t xml:space="preserve"> and reported in tables and graphs. The data was </w:t>
      </w:r>
      <w:r w:rsidR="00AD0960">
        <w:rPr>
          <w:rFonts w:ascii="Times New Roman" w:hAnsi="Times New Roman" w:cs="Times New Roman"/>
        </w:rPr>
        <w:t xml:space="preserve">split </w:t>
      </w:r>
      <w:r w:rsidR="00404D45">
        <w:rPr>
          <w:rFonts w:ascii="Times New Roman" w:hAnsi="Times New Roman" w:cs="Times New Roman"/>
        </w:rPr>
        <w:t>into</w:t>
      </w:r>
      <w:r w:rsidR="00AD0960">
        <w:rPr>
          <w:rFonts w:ascii="Times New Roman" w:hAnsi="Times New Roman" w:cs="Times New Roman"/>
        </w:rPr>
        <w:t xml:space="preserve"> </w:t>
      </w:r>
      <w:r w:rsidR="002D38C2">
        <w:rPr>
          <w:rFonts w:ascii="Times New Roman" w:hAnsi="Times New Roman" w:cs="Times New Roman"/>
        </w:rPr>
        <w:t xml:space="preserve">a </w:t>
      </w:r>
      <w:r w:rsidR="00AD0960">
        <w:rPr>
          <w:rFonts w:ascii="Times New Roman" w:hAnsi="Times New Roman" w:cs="Times New Roman"/>
        </w:rPr>
        <w:t xml:space="preserve">train (80%) and test (20%) </w:t>
      </w:r>
      <w:r w:rsidR="003011CC">
        <w:rPr>
          <w:rFonts w:ascii="Times New Roman" w:hAnsi="Times New Roman" w:cs="Times New Roman"/>
        </w:rPr>
        <w:t>dataset</w:t>
      </w:r>
      <w:r w:rsidR="00B575AF">
        <w:rPr>
          <w:rFonts w:ascii="Times New Roman" w:hAnsi="Times New Roman" w:cs="Times New Roman"/>
        </w:rPr>
        <w:t>. The elastic net algorithm</w:t>
      </w:r>
      <w:r w:rsidR="00DD690D">
        <w:rPr>
          <w:rFonts w:ascii="Times New Roman" w:hAnsi="Times New Roman" w:cs="Times New Roman"/>
        </w:rPr>
        <w:t xml:space="preserve"> was</w:t>
      </w:r>
      <w:r w:rsidR="00B575AF">
        <w:rPr>
          <w:rFonts w:ascii="Times New Roman" w:hAnsi="Times New Roman" w:cs="Times New Roman"/>
        </w:rPr>
        <w:t xml:space="preserve"> used to train the data using train the data. The test data w</w:t>
      </w:r>
      <w:r w:rsidR="003011CC">
        <w:rPr>
          <w:rFonts w:ascii="Times New Roman" w:hAnsi="Times New Roman" w:cs="Times New Roman"/>
        </w:rPr>
        <w:t>as</w:t>
      </w:r>
      <w:r w:rsidR="00B575AF">
        <w:rPr>
          <w:rFonts w:ascii="Times New Roman" w:hAnsi="Times New Roman" w:cs="Times New Roman"/>
        </w:rPr>
        <w:t xml:space="preserve"> used to </w:t>
      </w:r>
      <w:r w:rsidR="00DD690D">
        <w:rPr>
          <w:rFonts w:ascii="Times New Roman" w:hAnsi="Times New Roman" w:cs="Times New Roman"/>
        </w:rPr>
        <w:t>evaluate the model's performance. The MSE, AUC</w:t>
      </w:r>
      <w:r w:rsidR="00EC3AC5">
        <w:rPr>
          <w:rFonts w:ascii="Times New Roman" w:hAnsi="Times New Roman" w:cs="Times New Roman"/>
        </w:rPr>
        <w:t xml:space="preserve">, </w:t>
      </w:r>
      <w:r w:rsidR="00DD690D">
        <w:rPr>
          <w:rFonts w:ascii="Times New Roman" w:hAnsi="Times New Roman" w:cs="Times New Roman"/>
        </w:rPr>
        <w:t xml:space="preserve">and R2 values were used for the model evaluation. </w:t>
      </w:r>
    </w:p>
    <w:p w14:paraId="047B2AEC" w14:textId="77777777" w:rsidR="006A4DDB" w:rsidRDefault="006A4DDB" w:rsidP="009A228E">
      <w:pPr>
        <w:spacing w:after="0" w:line="360" w:lineRule="auto"/>
        <w:rPr>
          <w:rFonts w:ascii="Times New Roman" w:hAnsi="Times New Roman" w:cs="Times New Roman"/>
          <w:b/>
          <w:bCs/>
        </w:rPr>
      </w:pPr>
    </w:p>
    <w:p w14:paraId="58CDDC14" w14:textId="64BC7814" w:rsidR="009A228E" w:rsidRPr="009A228E" w:rsidRDefault="00191AAB" w:rsidP="009A228E">
      <w:pPr>
        <w:spacing w:after="0" w:line="360" w:lineRule="auto"/>
        <w:rPr>
          <w:rFonts w:ascii="Times New Roman" w:hAnsi="Times New Roman" w:cs="Times New Roman"/>
          <w:b/>
          <w:bCs/>
        </w:rPr>
      </w:pPr>
      <w:r>
        <w:rPr>
          <w:rFonts w:ascii="Times New Roman" w:hAnsi="Times New Roman" w:cs="Times New Roman"/>
          <w:b/>
          <w:bCs/>
        </w:rPr>
        <w:t xml:space="preserve">2.3 </w:t>
      </w:r>
      <w:r w:rsidR="009A228E" w:rsidRPr="009A228E">
        <w:rPr>
          <w:rFonts w:ascii="Times New Roman" w:hAnsi="Times New Roman" w:cs="Times New Roman"/>
          <w:b/>
          <w:bCs/>
        </w:rPr>
        <w:t>Data Preparation</w:t>
      </w:r>
    </w:p>
    <w:p w14:paraId="6C80C0E8" w14:textId="3C9742D1" w:rsidR="009A228E" w:rsidRPr="009A228E" w:rsidRDefault="009A228E" w:rsidP="009A228E">
      <w:pPr>
        <w:spacing w:after="0" w:line="360" w:lineRule="auto"/>
        <w:rPr>
          <w:rFonts w:ascii="Times New Roman" w:hAnsi="Times New Roman" w:cs="Times New Roman"/>
        </w:rPr>
      </w:pPr>
      <w:r w:rsidRPr="009A228E">
        <w:rPr>
          <w:rFonts w:ascii="Times New Roman" w:hAnsi="Times New Roman" w:cs="Times New Roman"/>
        </w:rPr>
        <w:t xml:space="preserve">We began with a dataset containing: the SAT the continuous target variable, Multiple PGS columns (e.g., PGS000109, PGS000186, etc.), and Covariates including sex, age, and genetic ancestry principal components (PC1–PC10). We then </w:t>
      </w:r>
      <w:r w:rsidR="006A4DDB">
        <w:rPr>
          <w:rFonts w:ascii="Times New Roman" w:hAnsi="Times New Roman" w:cs="Times New Roman"/>
        </w:rPr>
        <w:t>loaded</w:t>
      </w:r>
      <w:r w:rsidRPr="009A228E">
        <w:rPr>
          <w:rFonts w:ascii="Times New Roman" w:hAnsi="Times New Roman" w:cs="Times New Roman"/>
        </w:rPr>
        <w:t xml:space="preserve"> the data into a </w:t>
      </w:r>
      <w:r w:rsidR="006A4DDB">
        <w:rPr>
          <w:rFonts w:ascii="Times New Roman" w:hAnsi="Times New Roman" w:cs="Times New Roman"/>
        </w:rPr>
        <w:t xml:space="preserve">Python </w:t>
      </w:r>
      <w:proofErr w:type="spellStart"/>
      <w:r w:rsidR="006A4DDB">
        <w:rPr>
          <w:rFonts w:ascii="Times New Roman" w:hAnsi="Times New Roman" w:cs="Times New Roman"/>
        </w:rPr>
        <w:t>Jupyter</w:t>
      </w:r>
      <w:proofErr w:type="spellEnd"/>
      <w:r w:rsidR="006A4DDB">
        <w:rPr>
          <w:rFonts w:ascii="Times New Roman" w:hAnsi="Times New Roman" w:cs="Times New Roman"/>
        </w:rPr>
        <w:t xml:space="preserve"> notebook using NumPy and Pandas</w:t>
      </w:r>
      <w:r w:rsidRPr="009A228E">
        <w:rPr>
          <w:rFonts w:ascii="Times New Roman" w:hAnsi="Times New Roman" w:cs="Times New Roman"/>
        </w:rPr>
        <w:t>. We then generated some descriptive statistics of the data.</w:t>
      </w:r>
    </w:p>
    <w:p w14:paraId="7D5A4A0F" w14:textId="77777777" w:rsidR="00FE60E1" w:rsidRDefault="00FE60E1" w:rsidP="00D23421">
      <w:pPr>
        <w:spacing w:after="0" w:line="360" w:lineRule="auto"/>
        <w:jc w:val="both"/>
        <w:rPr>
          <w:rFonts w:ascii="Times New Roman" w:hAnsi="Times New Roman" w:cs="Times New Roman"/>
        </w:rPr>
      </w:pPr>
    </w:p>
    <w:p w14:paraId="5880E03F" w14:textId="145201D9" w:rsidR="009A228E" w:rsidRPr="009A228E" w:rsidRDefault="00191AAB" w:rsidP="009A228E">
      <w:pPr>
        <w:spacing w:after="0" w:line="360" w:lineRule="auto"/>
        <w:rPr>
          <w:rFonts w:ascii="Times New Roman" w:hAnsi="Times New Roman" w:cs="Times New Roman"/>
          <w:b/>
          <w:bCs/>
        </w:rPr>
      </w:pPr>
      <w:r>
        <w:rPr>
          <w:rFonts w:ascii="Times New Roman" w:hAnsi="Times New Roman" w:cs="Times New Roman"/>
          <w:b/>
          <w:bCs/>
        </w:rPr>
        <w:t xml:space="preserve">2.4 </w:t>
      </w:r>
      <w:r w:rsidR="009A228E" w:rsidRPr="009A228E">
        <w:rPr>
          <w:rFonts w:ascii="Times New Roman" w:hAnsi="Times New Roman" w:cs="Times New Roman"/>
          <w:b/>
          <w:bCs/>
        </w:rPr>
        <w:t>Covariate Adjustment (</w:t>
      </w:r>
      <w:proofErr w:type="spellStart"/>
      <w:r w:rsidR="009A228E" w:rsidRPr="009A228E">
        <w:rPr>
          <w:rFonts w:ascii="Times New Roman" w:hAnsi="Times New Roman" w:cs="Times New Roman"/>
          <w:b/>
          <w:bCs/>
        </w:rPr>
        <w:t>Residualization</w:t>
      </w:r>
      <w:proofErr w:type="spellEnd"/>
      <w:r w:rsidR="009A228E" w:rsidRPr="009A228E">
        <w:rPr>
          <w:rFonts w:ascii="Times New Roman" w:hAnsi="Times New Roman" w:cs="Times New Roman"/>
          <w:b/>
          <w:bCs/>
        </w:rPr>
        <w:t>)</w:t>
      </w:r>
    </w:p>
    <w:p w14:paraId="6327C5B3" w14:textId="288EE472" w:rsidR="009A228E" w:rsidRPr="009A228E" w:rsidRDefault="009A228E" w:rsidP="009A228E">
      <w:pPr>
        <w:spacing w:after="0" w:line="360" w:lineRule="auto"/>
        <w:rPr>
          <w:rFonts w:ascii="Times New Roman" w:hAnsi="Times New Roman" w:cs="Times New Roman"/>
        </w:rPr>
      </w:pPr>
      <w:r w:rsidRPr="009A228E">
        <w:rPr>
          <w:rFonts w:ascii="Times New Roman" w:hAnsi="Times New Roman" w:cs="Times New Roman"/>
        </w:rPr>
        <w:t xml:space="preserve">To isolate the genetic signal, we first regressed SAT scores on age, sex, and PCs (PC1–PC10) using ordinary least squares (OLS). This step removed the non-genetic confounders. The residuals from this model represented </w:t>
      </w:r>
      <w:r w:rsidR="00680D3E">
        <w:rPr>
          <w:rFonts w:ascii="Times New Roman" w:hAnsi="Times New Roman" w:cs="Times New Roman"/>
        </w:rPr>
        <w:t xml:space="preserve">the </w:t>
      </w:r>
      <w:r w:rsidRPr="009A228E">
        <w:rPr>
          <w:rFonts w:ascii="Times New Roman" w:hAnsi="Times New Roman" w:cs="Times New Roman"/>
        </w:rPr>
        <w:t xml:space="preserve">SAT variation not explained by demographics or ancestry </w:t>
      </w:r>
      <w:proofErr w:type="gramStart"/>
      <w:r w:rsidRPr="009A228E">
        <w:rPr>
          <w:rFonts w:ascii="Times New Roman" w:hAnsi="Times New Roman" w:cs="Times New Roman"/>
        </w:rPr>
        <w:t>the portion</w:t>
      </w:r>
      <w:proofErr w:type="gramEnd"/>
      <w:r w:rsidRPr="009A228E">
        <w:rPr>
          <w:rFonts w:ascii="Times New Roman" w:hAnsi="Times New Roman" w:cs="Times New Roman"/>
        </w:rPr>
        <w:t>.</w:t>
      </w:r>
    </w:p>
    <w:p w14:paraId="07D844B0" w14:textId="77777777" w:rsidR="009A228E" w:rsidRPr="009A228E" w:rsidRDefault="009A228E" w:rsidP="009A228E">
      <w:pPr>
        <w:spacing w:after="0" w:line="360" w:lineRule="auto"/>
        <w:rPr>
          <w:rFonts w:ascii="Times New Roman" w:hAnsi="Times New Roman" w:cs="Times New Roman"/>
        </w:rPr>
      </w:pPr>
    </w:p>
    <w:p w14:paraId="0ECFD38E" w14:textId="0D722598" w:rsidR="009A228E" w:rsidRPr="009A228E" w:rsidRDefault="00191AAB" w:rsidP="009A228E">
      <w:pPr>
        <w:spacing w:after="0" w:line="360" w:lineRule="auto"/>
        <w:rPr>
          <w:rFonts w:ascii="Times New Roman" w:hAnsi="Times New Roman" w:cs="Times New Roman"/>
          <w:b/>
          <w:bCs/>
        </w:rPr>
      </w:pPr>
      <w:r>
        <w:rPr>
          <w:rFonts w:ascii="Times New Roman" w:hAnsi="Times New Roman" w:cs="Times New Roman"/>
          <w:b/>
          <w:bCs/>
        </w:rPr>
        <w:t>2.5</w:t>
      </w:r>
      <w:r w:rsidR="009A228E" w:rsidRPr="009A228E">
        <w:rPr>
          <w:rFonts w:ascii="Times New Roman" w:hAnsi="Times New Roman" w:cs="Times New Roman"/>
          <w:b/>
          <w:bCs/>
        </w:rPr>
        <w:t xml:space="preserve">. </w:t>
      </w:r>
      <w:proofErr w:type="spellStart"/>
      <w:r w:rsidR="009A228E" w:rsidRPr="009A228E">
        <w:rPr>
          <w:rFonts w:ascii="Times New Roman" w:hAnsi="Times New Roman" w:cs="Times New Roman"/>
          <w:b/>
          <w:bCs/>
        </w:rPr>
        <w:t>PRSmix</w:t>
      </w:r>
      <w:proofErr w:type="spellEnd"/>
      <w:r w:rsidR="009A228E" w:rsidRPr="009A228E">
        <w:rPr>
          <w:rFonts w:ascii="Times New Roman" w:hAnsi="Times New Roman" w:cs="Times New Roman"/>
          <w:b/>
          <w:bCs/>
        </w:rPr>
        <w:t xml:space="preserve"> Construction via Elastic Net</w:t>
      </w:r>
    </w:p>
    <w:p w14:paraId="7FD66362" w14:textId="7BF287F8" w:rsidR="009A228E" w:rsidRPr="009A228E" w:rsidRDefault="009A228E" w:rsidP="009A228E">
      <w:pPr>
        <w:spacing w:after="0" w:line="360" w:lineRule="auto"/>
        <w:rPr>
          <w:rFonts w:ascii="Times New Roman" w:hAnsi="Times New Roman" w:cs="Times New Roman"/>
        </w:rPr>
      </w:pPr>
      <w:r w:rsidRPr="009A228E">
        <w:rPr>
          <w:rFonts w:ascii="Times New Roman" w:hAnsi="Times New Roman" w:cs="Times New Roman"/>
        </w:rPr>
        <w:t xml:space="preserve">We used Elastic Net Regression (via </w:t>
      </w:r>
      <w:proofErr w:type="spellStart"/>
      <w:r w:rsidRPr="009A228E">
        <w:rPr>
          <w:rFonts w:ascii="Times New Roman" w:hAnsi="Times New Roman" w:cs="Times New Roman"/>
        </w:rPr>
        <w:t>ElasticNetCV</w:t>
      </w:r>
      <w:proofErr w:type="spellEnd"/>
      <w:r w:rsidRPr="009A228E">
        <w:rPr>
          <w:rFonts w:ascii="Times New Roman" w:hAnsi="Times New Roman" w:cs="Times New Roman"/>
        </w:rPr>
        <w:t xml:space="preserve">) to model the residual SAT score as a linear combination of all available PGS scores. This approach </w:t>
      </w:r>
      <w:r w:rsidR="00775791" w:rsidRPr="009A228E">
        <w:rPr>
          <w:rFonts w:ascii="Times New Roman" w:hAnsi="Times New Roman" w:cs="Times New Roman"/>
        </w:rPr>
        <w:t>balances</w:t>
      </w:r>
      <w:r w:rsidRPr="009A228E">
        <w:rPr>
          <w:rFonts w:ascii="Times New Roman" w:hAnsi="Times New Roman" w:cs="Times New Roman"/>
        </w:rPr>
        <w:t xml:space="preserve"> selection (via Lasso) and shrinkage (via Ridge), automatically selects and weights the most predictive PGSs, </w:t>
      </w:r>
      <w:r w:rsidR="00775791">
        <w:rPr>
          <w:rFonts w:ascii="Times New Roman" w:hAnsi="Times New Roman" w:cs="Times New Roman"/>
        </w:rPr>
        <w:t xml:space="preserve">and </w:t>
      </w:r>
      <w:r w:rsidRPr="009A228E">
        <w:rPr>
          <w:rFonts w:ascii="Times New Roman" w:hAnsi="Times New Roman" w:cs="Times New Roman"/>
        </w:rPr>
        <w:t>avoids overfitting even in the presence of multicollinearity.</w:t>
      </w:r>
      <w:r w:rsidR="00775791">
        <w:rPr>
          <w:rFonts w:ascii="Times New Roman" w:hAnsi="Times New Roman" w:cs="Times New Roman"/>
        </w:rPr>
        <w:t xml:space="preserve"> </w:t>
      </w:r>
      <w:r w:rsidRPr="009A228E">
        <w:rPr>
          <w:rFonts w:ascii="Times New Roman" w:hAnsi="Times New Roman" w:cs="Times New Roman"/>
        </w:rPr>
        <w:t>We split the data (80/20) and trained the Elastic Net model on the training set.</w:t>
      </w:r>
    </w:p>
    <w:p w14:paraId="5EAFB184" w14:textId="77777777" w:rsidR="009A228E" w:rsidRPr="009A228E" w:rsidRDefault="009A228E" w:rsidP="009A228E">
      <w:pPr>
        <w:spacing w:after="0" w:line="360" w:lineRule="auto"/>
        <w:rPr>
          <w:rFonts w:ascii="Times New Roman" w:hAnsi="Times New Roman" w:cs="Times New Roman"/>
        </w:rPr>
      </w:pPr>
    </w:p>
    <w:p w14:paraId="153A0C2B" w14:textId="65224A0E" w:rsidR="009A228E" w:rsidRPr="009A228E" w:rsidRDefault="00191AAB" w:rsidP="009A228E">
      <w:pPr>
        <w:spacing w:after="0" w:line="360" w:lineRule="auto"/>
        <w:rPr>
          <w:rFonts w:ascii="Times New Roman" w:hAnsi="Times New Roman" w:cs="Times New Roman"/>
          <w:b/>
          <w:bCs/>
        </w:rPr>
      </w:pPr>
      <w:r>
        <w:rPr>
          <w:rFonts w:ascii="Times New Roman" w:hAnsi="Times New Roman" w:cs="Times New Roman"/>
          <w:b/>
          <w:bCs/>
        </w:rPr>
        <w:t>2.5</w:t>
      </w:r>
      <w:r w:rsidR="009A228E" w:rsidRPr="009A228E">
        <w:rPr>
          <w:rFonts w:ascii="Times New Roman" w:hAnsi="Times New Roman" w:cs="Times New Roman"/>
          <w:b/>
          <w:bCs/>
        </w:rPr>
        <w:t xml:space="preserve">. Performance Evaluation of </w:t>
      </w:r>
      <w:proofErr w:type="spellStart"/>
      <w:r w:rsidR="009A228E" w:rsidRPr="009A228E">
        <w:rPr>
          <w:rFonts w:ascii="Times New Roman" w:hAnsi="Times New Roman" w:cs="Times New Roman"/>
          <w:b/>
          <w:bCs/>
        </w:rPr>
        <w:t>PRSmix</w:t>
      </w:r>
      <w:proofErr w:type="spellEnd"/>
    </w:p>
    <w:p w14:paraId="6EF180B8" w14:textId="0FB55CA4" w:rsidR="009A228E" w:rsidRPr="009A228E" w:rsidRDefault="009A228E" w:rsidP="009A228E">
      <w:pPr>
        <w:spacing w:after="0" w:line="360" w:lineRule="auto"/>
        <w:rPr>
          <w:rFonts w:ascii="Times New Roman" w:hAnsi="Times New Roman" w:cs="Times New Roman"/>
        </w:rPr>
      </w:pPr>
      <w:r w:rsidRPr="009A228E">
        <w:rPr>
          <w:rFonts w:ascii="Times New Roman" w:hAnsi="Times New Roman" w:cs="Times New Roman"/>
        </w:rPr>
        <w:t xml:space="preserve">On the test set, we evaluated Prediction accuracy using R² (coefficient of determination). This R² was interpreted as </w:t>
      </w:r>
      <w:r w:rsidR="00084C44">
        <w:rPr>
          <w:rFonts w:ascii="Times New Roman" w:hAnsi="Times New Roman" w:cs="Times New Roman"/>
        </w:rPr>
        <w:t xml:space="preserve">the </w:t>
      </w:r>
      <w:r w:rsidRPr="009A228E">
        <w:rPr>
          <w:rFonts w:ascii="Times New Roman" w:hAnsi="Times New Roman" w:cs="Times New Roman"/>
        </w:rPr>
        <w:t xml:space="preserve">variance </w:t>
      </w:r>
      <w:proofErr w:type="gramStart"/>
      <w:r w:rsidRPr="009A228E">
        <w:rPr>
          <w:rFonts w:ascii="Times New Roman" w:hAnsi="Times New Roman" w:cs="Times New Roman"/>
        </w:rPr>
        <w:t>in</w:t>
      </w:r>
      <w:proofErr w:type="gramEnd"/>
      <w:r w:rsidRPr="009A228E">
        <w:rPr>
          <w:rFonts w:ascii="Times New Roman" w:hAnsi="Times New Roman" w:cs="Times New Roman"/>
        </w:rPr>
        <w:t xml:space="preserve"> SAT explained by </w:t>
      </w:r>
      <w:proofErr w:type="spellStart"/>
      <w:r w:rsidRPr="009A228E">
        <w:rPr>
          <w:rFonts w:ascii="Times New Roman" w:hAnsi="Times New Roman" w:cs="Times New Roman"/>
        </w:rPr>
        <w:t>PRSmix</w:t>
      </w:r>
      <w:proofErr w:type="spellEnd"/>
      <w:r w:rsidRPr="009A228E">
        <w:rPr>
          <w:rFonts w:ascii="Times New Roman" w:hAnsi="Times New Roman" w:cs="Times New Roman"/>
        </w:rPr>
        <w:t>.</w:t>
      </w:r>
    </w:p>
    <w:p w14:paraId="41E40E67" w14:textId="77777777" w:rsidR="009A228E" w:rsidRPr="009A228E" w:rsidRDefault="009A228E" w:rsidP="009A228E">
      <w:pPr>
        <w:spacing w:after="0" w:line="360" w:lineRule="auto"/>
        <w:rPr>
          <w:rFonts w:ascii="Times New Roman" w:hAnsi="Times New Roman" w:cs="Times New Roman"/>
        </w:rPr>
      </w:pPr>
    </w:p>
    <w:p w14:paraId="65094D1F" w14:textId="2C78AD4D" w:rsidR="009A228E" w:rsidRPr="009A228E" w:rsidRDefault="00191AAB" w:rsidP="009A228E">
      <w:pPr>
        <w:spacing w:after="0" w:line="360" w:lineRule="auto"/>
        <w:rPr>
          <w:rFonts w:ascii="Times New Roman" w:hAnsi="Times New Roman" w:cs="Times New Roman"/>
          <w:b/>
          <w:bCs/>
        </w:rPr>
      </w:pPr>
      <w:r>
        <w:rPr>
          <w:rFonts w:ascii="Times New Roman" w:hAnsi="Times New Roman" w:cs="Times New Roman"/>
          <w:b/>
          <w:bCs/>
        </w:rPr>
        <w:t>2.6</w:t>
      </w:r>
      <w:r w:rsidR="009A228E" w:rsidRPr="009A228E">
        <w:rPr>
          <w:rFonts w:ascii="Times New Roman" w:hAnsi="Times New Roman" w:cs="Times New Roman"/>
          <w:b/>
          <w:bCs/>
        </w:rPr>
        <w:t>. Benchmarking Individual PGS Scores</w:t>
      </w:r>
    </w:p>
    <w:p w14:paraId="1F09D6D2" w14:textId="7FE8D934" w:rsidR="009A228E" w:rsidRPr="006A1B31" w:rsidRDefault="009A228E" w:rsidP="009A228E">
      <w:pPr>
        <w:spacing w:after="0" w:line="360" w:lineRule="auto"/>
        <w:rPr>
          <w:rFonts w:ascii="Times New Roman" w:hAnsi="Times New Roman" w:cs="Times New Roman"/>
        </w:rPr>
      </w:pPr>
      <w:r w:rsidRPr="009A228E">
        <w:rPr>
          <w:rFonts w:ascii="Times New Roman" w:hAnsi="Times New Roman" w:cs="Times New Roman"/>
        </w:rPr>
        <w:t xml:space="preserve">We repeated the same prediction process separately for each PGS, </w:t>
      </w:r>
      <w:r w:rsidR="00084C44">
        <w:rPr>
          <w:rFonts w:ascii="Times New Roman" w:hAnsi="Times New Roman" w:cs="Times New Roman"/>
        </w:rPr>
        <w:t>f</w:t>
      </w:r>
      <w:r w:rsidRPr="009A228E">
        <w:rPr>
          <w:rFonts w:ascii="Times New Roman" w:hAnsi="Times New Roman" w:cs="Times New Roman"/>
        </w:rPr>
        <w:t xml:space="preserve">it a </w:t>
      </w:r>
      <w:r w:rsidR="00084C44">
        <w:rPr>
          <w:rFonts w:ascii="Times New Roman" w:hAnsi="Times New Roman" w:cs="Times New Roman"/>
        </w:rPr>
        <w:t>univariate</w:t>
      </w:r>
      <w:r w:rsidRPr="009A228E">
        <w:rPr>
          <w:rFonts w:ascii="Times New Roman" w:hAnsi="Times New Roman" w:cs="Times New Roman"/>
        </w:rPr>
        <w:t xml:space="preserve"> linear model using each PGS as the sole predictor</w:t>
      </w:r>
      <w:r w:rsidR="00084C44">
        <w:rPr>
          <w:rFonts w:ascii="Times New Roman" w:hAnsi="Times New Roman" w:cs="Times New Roman"/>
        </w:rPr>
        <w:t>,</w:t>
      </w:r>
      <w:r w:rsidRPr="009A228E">
        <w:rPr>
          <w:rFonts w:ascii="Times New Roman" w:hAnsi="Times New Roman" w:cs="Times New Roman"/>
        </w:rPr>
        <w:t xml:space="preserve"> and </w:t>
      </w:r>
      <w:r w:rsidR="00084C44">
        <w:rPr>
          <w:rFonts w:ascii="Times New Roman" w:hAnsi="Times New Roman" w:cs="Times New Roman"/>
        </w:rPr>
        <w:t>computed</w:t>
      </w:r>
      <w:r w:rsidRPr="009A228E">
        <w:rPr>
          <w:rFonts w:ascii="Times New Roman" w:hAnsi="Times New Roman" w:cs="Times New Roman"/>
        </w:rPr>
        <w:t xml:space="preserve"> test-set R² for each model. This gave us a </w:t>
      </w:r>
      <w:r w:rsidRPr="009A228E">
        <w:rPr>
          <w:rFonts w:ascii="Times New Roman" w:hAnsi="Times New Roman" w:cs="Times New Roman"/>
        </w:rPr>
        <w:lastRenderedPageBreak/>
        <w:t xml:space="preserve">baseline to compare how well each single PGS predicts SAT relative to the integrative </w:t>
      </w:r>
      <w:proofErr w:type="spellStart"/>
      <w:r w:rsidRPr="009A228E">
        <w:rPr>
          <w:rFonts w:ascii="Times New Roman" w:hAnsi="Times New Roman" w:cs="Times New Roman"/>
        </w:rPr>
        <w:t>PRSmix</w:t>
      </w:r>
      <w:proofErr w:type="spellEnd"/>
      <w:r w:rsidRPr="009A228E">
        <w:rPr>
          <w:rFonts w:ascii="Times New Roman" w:hAnsi="Times New Roman" w:cs="Times New Roman"/>
        </w:rPr>
        <w:t xml:space="preserve"> model.</w:t>
      </w:r>
    </w:p>
    <w:p w14:paraId="787C6D7A" w14:textId="77777777" w:rsidR="009A228E" w:rsidRPr="00480023" w:rsidRDefault="009A228E" w:rsidP="00D23421">
      <w:pPr>
        <w:spacing w:after="0" w:line="360" w:lineRule="auto"/>
        <w:jc w:val="both"/>
        <w:rPr>
          <w:rFonts w:ascii="Times New Roman" w:hAnsi="Times New Roman" w:cs="Times New Roman"/>
        </w:rPr>
      </w:pPr>
    </w:p>
    <w:p w14:paraId="0C3FDD2E" w14:textId="1704E7B4" w:rsidR="003C4BBE" w:rsidRPr="00401722" w:rsidRDefault="006A1B31" w:rsidP="00401722">
      <w:pPr>
        <w:rPr>
          <w:rFonts w:ascii="Times New Roman" w:hAnsi="Times New Roman" w:cs="Times New Roman"/>
          <w:b/>
          <w:bCs/>
        </w:rPr>
      </w:pPr>
      <w:r>
        <w:rPr>
          <w:rFonts w:ascii="Times New Roman" w:hAnsi="Times New Roman" w:cs="Times New Roman"/>
          <w:b/>
          <w:bCs/>
        </w:rPr>
        <w:t xml:space="preserve">2. 7 </w:t>
      </w:r>
      <w:r w:rsidR="003C1C31" w:rsidRPr="00401722">
        <w:rPr>
          <w:rFonts w:ascii="Times New Roman" w:hAnsi="Times New Roman" w:cs="Times New Roman"/>
          <w:b/>
          <w:bCs/>
        </w:rPr>
        <w:t>Analysis Pipeline</w:t>
      </w:r>
    </w:p>
    <w:p w14:paraId="7BA16BA8" w14:textId="0AC3FC42" w:rsidR="00FE60E1" w:rsidRDefault="00401722" w:rsidP="003C4BBE">
      <w:pPr>
        <w:rPr>
          <w:rFonts w:ascii="Times New Roman" w:hAnsi="Times New Roman" w:cs="Times New Roman"/>
        </w:rPr>
      </w:pPr>
      <w:r>
        <w:rPr>
          <w:noProof/>
        </w:rPr>
        <w:drawing>
          <wp:inline distT="0" distB="0" distL="0" distR="0" wp14:anchorId="3434424B" wp14:editId="397EB6CB">
            <wp:extent cx="5943600" cy="3613150"/>
            <wp:effectExtent l="0" t="0" r="0" b="6350"/>
            <wp:docPr id="642123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613150"/>
                    </a:xfrm>
                    <a:prstGeom prst="rect">
                      <a:avLst/>
                    </a:prstGeom>
                    <a:noFill/>
                    <a:ln>
                      <a:noFill/>
                    </a:ln>
                  </pic:spPr>
                </pic:pic>
              </a:graphicData>
            </a:graphic>
          </wp:inline>
        </w:drawing>
      </w:r>
      <w:r w:rsidR="00CE31FE">
        <w:rPr>
          <w:rFonts w:ascii="Times New Roman" w:hAnsi="Times New Roman" w:cs="Times New Roman"/>
        </w:rPr>
        <w:t xml:space="preserve"> </w:t>
      </w:r>
    </w:p>
    <w:p w14:paraId="1A37E965" w14:textId="308A26C1" w:rsidR="003C4BBE" w:rsidRPr="00D37D9D" w:rsidRDefault="00271FA9" w:rsidP="007A4468">
      <w:pPr>
        <w:spacing w:after="0" w:line="360" w:lineRule="auto"/>
        <w:rPr>
          <w:rFonts w:ascii="Times New Roman" w:hAnsi="Times New Roman" w:cs="Times New Roman"/>
          <w:b/>
          <w:bCs/>
        </w:rPr>
      </w:pPr>
      <w:r>
        <w:rPr>
          <w:rFonts w:ascii="Times New Roman" w:hAnsi="Times New Roman" w:cs="Times New Roman"/>
          <w:b/>
          <w:bCs/>
        </w:rPr>
        <w:t xml:space="preserve">2.8 </w:t>
      </w:r>
      <w:r w:rsidR="003C4BBE" w:rsidRPr="00D37D9D">
        <w:rPr>
          <w:rFonts w:ascii="Times New Roman" w:hAnsi="Times New Roman" w:cs="Times New Roman"/>
          <w:b/>
          <w:bCs/>
        </w:rPr>
        <w:t>Statistical analysis</w:t>
      </w:r>
    </w:p>
    <w:p w14:paraId="1DDAA719" w14:textId="60F54892" w:rsidR="003C4BBE" w:rsidRDefault="00FE60E1" w:rsidP="007A4468">
      <w:pPr>
        <w:spacing w:after="0" w:line="360" w:lineRule="auto"/>
        <w:rPr>
          <w:rFonts w:ascii="Times New Roman" w:hAnsi="Times New Roman" w:cs="Times New Roman"/>
        </w:rPr>
      </w:pPr>
      <w:r>
        <w:rPr>
          <w:rFonts w:ascii="Times New Roman" w:hAnsi="Times New Roman" w:cs="Times New Roman"/>
        </w:rPr>
        <w:t xml:space="preserve">The continuous variables were reported as mean ± SD </w:t>
      </w:r>
      <w:r w:rsidR="00501890">
        <w:rPr>
          <w:rFonts w:ascii="Times New Roman" w:hAnsi="Times New Roman" w:cs="Times New Roman"/>
        </w:rPr>
        <w:t xml:space="preserve">or median ± IQR, depending on the distribution of the variables. Categorical variables were reported as </w:t>
      </w:r>
      <w:r w:rsidR="002B48A7">
        <w:rPr>
          <w:rFonts w:ascii="Times New Roman" w:hAnsi="Times New Roman" w:cs="Times New Roman"/>
        </w:rPr>
        <w:t>count (%)</w:t>
      </w:r>
      <w:r w:rsidR="00D37D9D">
        <w:rPr>
          <w:rFonts w:ascii="Times New Roman" w:hAnsi="Times New Roman" w:cs="Times New Roman"/>
        </w:rPr>
        <w:t xml:space="preserve">. </w:t>
      </w:r>
      <w:r w:rsidR="00E35E4F">
        <w:rPr>
          <w:rFonts w:ascii="Times New Roman" w:hAnsi="Times New Roman" w:cs="Times New Roman"/>
        </w:rPr>
        <w:t>Statistically</w:t>
      </w:r>
      <w:r w:rsidR="00BF2A44">
        <w:rPr>
          <w:rFonts w:ascii="Times New Roman" w:hAnsi="Times New Roman" w:cs="Times New Roman"/>
        </w:rPr>
        <w:t xml:space="preserve"> significant differences between the groups </w:t>
      </w:r>
      <w:r w:rsidR="00E35E4F">
        <w:rPr>
          <w:rFonts w:ascii="Times New Roman" w:hAnsi="Times New Roman" w:cs="Times New Roman"/>
        </w:rPr>
        <w:t>were</w:t>
      </w:r>
      <w:r w:rsidR="00BF2A44">
        <w:rPr>
          <w:rFonts w:ascii="Times New Roman" w:hAnsi="Times New Roman" w:cs="Times New Roman"/>
        </w:rPr>
        <w:t xml:space="preserve"> </w:t>
      </w:r>
      <w:r w:rsidR="00E35E4F">
        <w:rPr>
          <w:rFonts w:ascii="Times New Roman" w:hAnsi="Times New Roman" w:cs="Times New Roman"/>
        </w:rPr>
        <w:t>determined</w:t>
      </w:r>
      <w:r w:rsidR="00BF2A44">
        <w:rPr>
          <w:rFonts w:ascii="Times New Roman" w:hAnsi="Times New Roman" w:cs="Times New Roman"/>
        </w:rPr>
        <w:t xml:space="preserve"> using ANOVA and </w:t>
      </w:r>
      <w:r w:rsidR="00E35E4F">
        <w:rPr>
          <w:rFonts w:ascii="Times New Roman" w:hAnsi="Times New Roman" w:cs="Times New Roman"/>
        </w:rPr>
        <w:t>Student's</w:t>
      </w:r>
      <w:r w:rsidR="00BF2A44">
        <w:rPr>
          <w:rFonts w:ascii="Times New Roman" w:hAnsi="Times New Roman" w:cs="Times New Roman"/>
        </w:rPr>
        <w:t xml:space="preserve"> test. </w:t>
      </w:r>
      <w:r w:rsidR="00CB7C3C" w:rsidRPr="00CB7C3C">
        <w:rPr>
          <w:rFonts w:ascii="Times New Roman" w:hAnsi="Times New Roman" w:cs="Times New Roman"/>
          <w:i/>
          <w:iCs/>
        </w:rPr>
        <w:t>P-values</w:t>
      </w:r>
      <w:r w:rsidR="00BF2A44">
        <w:rPr>
          <w:rFonts w:ascii="Times New Roman" w:hAnsi="Times New Roman" w:cs="Times New Roman"/>
        </w:rPr>
        <w:t xml:space="preserve"> &lt;</w:t>
      </w:r>
      <w:r w:rsidR="00E35E4F">
        <w:rPr>
          <w:rFonts w:ascii="Times New Roman" w:hAnsi="Times New Roman" w:cs="Times New Roman"/>
        </w:rPr>
        <w:t xml:space="preserve"> 0.05 were considered statistically significant. </w:t>
      </w:r>
      <w:r w:rsidR="00497843">
        <w:rPr>
          <w:rFonts w:ascii="Times New Roman" w:hAnsi="Times New Roman" w:cs="Times New Roman"/>
        </w:rPr>
        <w:t xml:space="preserve">The data were analyzed in Python with </w:t>
      </w:r>
      <w:proofErr w:type="spellStart"/>
      <w:r w:rsidR="0093588A">
        <w:rPr>
          <w:rFonts w:ascii="Times New Roman" w:hAnsi="Times New Roman" w:cs="Times New Roman"/>
        </w:rPr>
        <w:t>numpy</w:t>
      </w:r>
      <w:proofErr w:type="spellEnd"/>
      <w:r w:rsidR="0093588A">
        <w:rPr>
          <w:rFonts w:ascii="Times New Roman" w:hAnsi="Times New Roman" w:cs="Times New Roman"/>
        </w:rPr>
        <w:t xml:space="preserve">, pandas, </w:t>
      </w:r>
      <w:proofErr w:type="spellStart"/>
      <w:r w:rsidR="0093588A">
        <w:rPr>
          <w:rFonts w:ascii="Times New Roman" w:hAnsi="Times New Roman" w:cs="Times New Roman"/>
        </w:rPr>
        <w:t>seasborn</w:t>
      </w:r>
      <w:proofErr w:type="spellEnd"/>
      <w:r w:rsidR="0093588A">
        <w:rPr>
          <w:rFonts w:ascii="Times New Roman" w:hAnsi="Times New Roman" w:cs="Times New Roman"/>
        </w:rPr>
        <w:t xml:space="preserve">, </w:t>
      </w:r>
      <w:proofErr w:type="spellStart"/>
      <w:r w:rsidR="0093588A">
        <w:rPr>
          <w:rFonts w:ascii="Times New Roman" w:hAnsi="Times New Roman" w:cs="Times New Roman"/>
        </w:rPr>
        <w:t>skylearn</w:t>
      </w:r>
      <w:proofErr w:type="spellEnd"/>
      <w:r w:rsidR="0093588A">
        <w:rPr>
          <w:rFonts w:ascii="Times New Roman" w:hAnsi="Times New Roman" w:cs="Times New Roman"/>
        </w:rPr>
        <w:t xml:space="preserve">, and </w:t>
      </w:r>
      <w:proofErr w:type="spellStart"/>
      <w:r w:rsidR="0093588A">
        <w:rPr>
          <w:rFonts w:ascii="Times New Roman" w:hAnsi="Times New Roman" w:cs="Times New Roman"/>
        </w:rPr>
        <w:t>scipy</w:t>
      </w:r>
      <w:proofErr w:type="spellEnd"/>
      <w:r w:rsidR="0093588A">
        <w:rPr>
          <w:rFonts w:ascii="Times New Roman" w:hAnsi="Times New Roman" w:cs="Times New Roman"/>
        </w:rPr>
        <w:t xml:space="preserve"> </w:t>
      </w:r>
      <w:r w:rsidR="00497843">
        <w:rPr>
          <w:rFonts w:ascii="Times New Roman" w:hAnsi="Times New Roman" w:cs="Times New Roman"/>
        </w:rPr>
        <w:t xml:space="preserve">packages. </w:t>
      </w:r>
    </w:p>
    <w:p w14:paraId="2507DF82" w14:textId="77777777" w:rsidR="009A228E" w:rsidRDefault="009A228E" w:rsidP="007A4468">
      <w:pPr>
        <w:spacing w:after="0" w:line="360" w:lineRule="auto"/>
        <w:rPr>
          <w:rFonts w:ascii="Times New Roman" w:hAnsi="Times New Roman" w:cs="Times New Roman"/>
        </w:rPr>
      </w:pPr>
    </w:p>
    <w:p w14:paraId="5BD2C190" w14:textId="0AD228A8" w:rsidR="00A04CCB" w:rsidRDefault="00FA6D06" w:rsidP="004D03D8">
      <w:pPr>
        <w:spacing w:after="0" w:line="360" w:lineRule="auto"/>
        <w:jc w:val="both"/>
        <w:rPr>
          <w:rFonts w:ascii="Times New Roman" w:hAnsi="Times New Roman" w:cs="Times New Roman"/>
          <w:b/>
          <w:bCs/>
        </w:rPr>
      </w:pPr>
      <w:r>
        <w:rPr>
          <w:rFonts w:ascii="Times New Roman" w:hAnsi="Times New Roman" w:cs="Times New Roman"/>
          <w:b/>
          <w:bCs/>
        </w:rPr>
        <w:t xml:space="preserve">3.0 </w:t>
      </w:r>
      <w:r w:rsidR="003C1C31" w:rsidRPr="00F0675A">
        <w:rPr>
          <w:rFonts w:ascii="Times New Roman" w:hAnsi="Times New Roman" w:cs="Times New Roman"/>
          <w:b/>
          <w:bCs/>
        </w:rPr>
        <w:t>Results</w:t>
      </w:r>
    </w:p>
    <w:p w14:paraId="3FCA9CEC" w14:textId="3242C679" w:rsidR="00FA6D06" w:rsidRDefault="00FA6D06" w:rsidP="004D03D8">
      <w:pPr>
        <w:spacing w:after="0" w:line="360" w:lineRule="auto"/>
        <w:jc w:val="both"/>
        <w:rPr>
          <w:rFonts w:ascii="Times New Roman" w:hAnsi="Times New Roman" w:cs="Times New Roman"/>
          <w:b/>
          <w:bCs/>
        </w:rPr>
      </w:pPr>
      <w:r>
        <w:rPr>
          <w:rFonts w:ascii="Times New Roman" w:hAnsi="Times New Roman" w:cs="Times New Roman"/>
          <w:b/>
          <w:bCs/>
        </w:rPr>
        <w:t xml:space="preserve">3.1 </w:t>
      </w:r>
      <w:r w:rsidR="00A06E02">
        <w:rPr>
          <w:rFonts w:ascii="Times New Roman" w:hAnsi="Times New Roman" w:cs="Times New Roman"/>
          <w:b/>
          <w:bCs/>
        </w:rPr>
        <w:t>S</w:t>
      </w:r>
      <w:r>
        <w:rPr>
          <w:rFonts w:ascii="Times New Roman" w:hAnsi="Times New Roman" w:cs="Times New Roman"/>
          <w:b/>
          <w:bCs/>
        </w:rPr>
        <w:t>ummary statistics</w:t>
      </w:r>
    </w:p>
    <w:p w14:paraId="2A140958" w14:textId="4C0664C5" w:rsidR="00725E6E" w:rsidRDefault="005004AC" w:rsidP="004D03D8">
      <w:pPr>
        <w:spacing w:after="0" w:line="360" w:lineRule="auto"/>
        <w:jc w:val="both"/>
        <w:rPr>
          <w:rFonts w:ascii="Times New Roman" w:hAnsi="Times New Roman" w:cs="Times New Roman"/>
        </w:rPr>
      </w:pPr>
      <w:r>
        <w:rPr>
          <w:rFonts w:ascii="Times New Roman" w:hAnsi="Times New Roman" w:cs="Times New Roman"/>
        </w:rPr>
        <w:t xml:space="preserve">We used the Elastic net regression to examine the predictive performance of single-source PRS and </w:t>
      </w:r>
      <w:r w:rsidR="00B042B1">
        <w:rPr>
          <w:rFonts w:ascii="Times New Roman" w:hAnsi="Times New Roman" w:cs="Times New Roman"/>
        </w:rPr>
        <w:t xml:space="preserve">integrative. </w:t>
      </w:r>
      <w:r w:rsidR="00725E6E" w:rsidRPr="00725E6E">
        <w:rPr>
          <w:rFonts w:ascii="Times New Roman" w:hAnsi="Times New Roman" w:cs="Times New Roman"/>
        </w:rPr>
        <w:t>Table 1</w:t>
      </w:r>
      <w:r w:rsidR="00B042B1">
        <w:rPr>
          <w:rFonts w:ascii="Times New Roman" w:hAnsi="Times New Roman" w:cs="Times New Roman"/>
        </w:rPr>
        <w:t xml:space="preserve"> shows the summary statistics of the data used for this study.</w:t>
      </w:r>
      <w:r w:rsidR="00725E6E" w:rsidRPr="00725E6E">
        <w:rPr>
          <w:rFonts w:ascii="Times New Roman" w:hAnsi="Times New Roman" w:cs="Times New Roman"/>
        </w:rPr>
        <w:t xml:space="preserve"> </w:t>
      </w:r>
      <w:r w:rsidR="002068D1">
        <w:rPr>
          <w:rFonts w:ascii="Times New Roman" w:hAnsi="Times New Roman" w:cs="Times New Roman"/>
        </w:rPr>
        <w:t xml:space="preserve">The data </w:t>
      </w:r>
      <w:r w:rsidR="00405150">
        <w:rPr>
          <w:rFonts w:ascii="Times New Roman" w:hAnsi="Times New Roman" w:cs="Times New Roman"/>
        </w:rPr>
        <w:t>is</w:t>
      </w:r>
      <w:r w:rsidR="002068D1">
        <w:rPr>
          <w:rFonts w:ascii="Times New Roman" w:hAnsi="Times New Roman" w:cs="Times New Roman"/>
        </w:rPr>
        <w:t xml:space="preserve"> made up of 1624 participants</w:t>
      </w:r>
      <w:r w:rsidR="00113A1B">
        <w:rPr>
          <w:rFonts w:ascii="Times New Roman" w:hAnsi="Times New Roman" w:cs="Times New Roman"/>
        </w:rPr>
        <w:t>,</w:t>
      </w:r>
      <w:r w:rsidR="002068D1">
        <w:rPr>
          <w:rFonts w:ascii="Times New Roman" w:hAnsi="Times New Roman" w:cs="Times New Roman"/>
        </w:rPr>
        <w:t xml:space="preserve"> consisting of 700 males and 924 females.  </w:t>
      </w:r>
      <w:r w:rsidR="00AC756D">
        <w:rPr>
          <w:rFonts w:ascii="Times New Roman" w:hAnsi="Times New Roman" w:cs="Times New Roman"/>
        </w:rPr>
        <w:t>The mean age of the males of 32.78 ± 17.95, while that of the females was 34.22 ±</w:t>
      </w:r>
      <w:r w:rsidR="000E3B9B">
        <w:rPr>
          <w:rFonts w:ascii="Times New Roman" w:hAnsi="Times New Roman" w:cs="Times New Roman"/>
        </w:rPr>
        <w:t>1</w:t>
      </w:r>
      <w:r w:rsidR="00AC756D">
        <w:rPr>
          <w:rFonts w:ascii="Times New Roman" w:hAnsi="Times New Roman" w:cs="Times New Roman"/>
        </w:rPr>
        <w:t>7</w:t>
      </w:r>
      <w:r w:rsidR="000E3B9B">
        <w:rPr>
          <w:rFonts w:ascii="Times New Roman" w:hAnsi="Times New Roman" w:cs="Times New Roman"/>
        </w:rPr>
        <w:t>.</w:t>
      </w:r>
      <w:r w:rsidR="00AC756D">
        <w:rPr>
          <w:rFonts w:ascii="Times New Roman" w:hAnsi="Times New Roman" w:cs="Times New Roman"/>
        </w:rPr>
        <w:t xml:space="preserve">7, which </w:t>
      </w:r>
      <w:r w:rsidR="00BC176B">
        <w:rPr>
          <w:rFonts w:ascii="Times New Roman" w:hAnsi="Times New Roman" w:cs="Times New Roman"/>
        </w:rPr>
        <w:t>was</w:t>
      </w:r>
      <w:r w:rsidR="00AC756D">
        <w:rPr>
          <w:rFonts w:ascii="Times New Roman" w:hAnsi="Times New Roman" w:cs="Times New Roman"/>
        </w:rPr>
        <w:t xml:space="preserve"> not</w:t>
      </w:r>
      <w:r w:rsidR="008C3A38">
        <w:rPr>
          <w:rFonts w:ascii="Times New Roman" w:hAnsi="Times New Roman" w:cs="Times New Roman"/>
        </w:rPr>
        <w:t xml:space="preserve"> </w:t>
      </w:r>
      <w:r w:rsidR="0097284D">
        <w:rPr>
          <w:rFonts w:ascii="Times New Roman" w:hAnsi="Times New Roman" w:cs="Times New Roman"/>
        </w:rPr>
        <w:t xml:space="preserve">a </w:t>
      </w:r>
      <w:r w:rsidR="008C3A38">
        <w:rPr>
          <w:rFonts w:ascii="Times New Roman" w:hAnsi="Times New Roman" w:cs="Times New Roman"/>
        </w:rPr>
        <w:t>significant</w:t>
      </w:r>
      <w:r w:rsidR="001E082F">
        <w:rPr>
          <w:rFonts w:ascii="Times New Roman" w:hAnsi="Times New Roman" w:cs="Times New Roman"/>
        </w:rPr>
        <w:t xml:space="preserve"> </w:t>
      </w:r>
      <w:r w:rsidR="001E082F">
        <w:rPr>
          <w:rFonts w:ascii="Times New Roman" w:hAnsi="Times New Roman" w:cs="Times New Roman"/>
        </w:rPr>
        <w:lastRenderedPageBreak/>
        <w:t>difference</w:t>
      </w:r>
      <w:r w:rsidR="00AC756D">
        <w:rPr>
          <w:rFonts w:ascii="Times New Roman" w:hAnsi="Times New Roman" w:cs="Times New Roman"/>
        </w:rPr>
        <w:t xml:space="preserve">. </w:t>
      </w:r>
      <w:r w:rsidR="001E082F">
        <w:rPr>
          <w:rFonts w:ascii="Times New Roman" w:hAnsi="Times New Roman" w:cs="Times New Roman"/>
        </w:rPr>
        <w:t xml:space="preserve">The </w:t>
      </w:r>
      <w:r w:rsidR="00156944">
        <w:rPr>
          <w:rFonts w:ascii="Times New Roman" w:hAnsi="Times New Roman" w:cs="Times New Roman"/>
        </w:rPr>
        <w:t xml:space="preserve">mean </w:t>
      </w:r>
      <w:r w:rsidR="001E082F">
        <w:rPr>
          <w:rFonts w:ascii="Times New Roman" w:hAnsi="Times New Roman" w:cs="Times New Roman"/>
        </w:rPr>
        <w:t xml:space="preserve">subcutaneous adipose tissue </w:t>
      </w:r>
      <w:r w:rsidR="00156944">
        <w:rPr>
          <w:rFonts w:ascii="Times New Roman" w:hAnsi="Times New Roman" w:cs="Times New Roman"/>
        </w:rPr>
        <w:t xml:space="preserve">(SAT) </w:t>
      </w:r>
      <w:r w:rsidR="00BC176B">
        <w:rPr>
          <w:rFonts w:ascii="Times New Roman" w:hAnsi="Times New Roman" w:cs="Times New Roman"/>
        </w:rPr>
        <w:t>was</w:t>
      </w:r>
      <w:r w:rsidR="00156944">
        <w:rPr>
          <w:rFonts w:ascii="Times New Roman" w:hAnsi="Times New Roman" w:cs="Times New Roman"/>
        </w:rPr>
        <w:t xml:space="preserve"> </w:t>
      </w:r>
      <w:r w:rsidR="001E082F">
        <w:rPr>
          <w:rFonts w:ascii="Times New Roman" w:hAnsi="Times New Roman" w:cs="Times New Roman"/>
        </w:rPr>
        <w:t>statistically</w:t>
      </w:r>
      <w:r w:rsidR="00156944">
        <w:rPr>
          <w:rFonts w:ascii="Times New Roman" w:hAnsi="Times New Roman" w:cs="Times New Roman"/>
        </w:rPr>
        <w:t xml:space="preserve"> significantly different between males and females (</w:t>
      </w:r>
      <w:r w:rsidR="00BC176B">
        <w:rPr>
          <w:rFonts w:ascii="Times New Roman" w:hAnsi="Times New Roman" w:cs="Times New Roman"/>
        </w:rPr>
        <w:t xml:space="preserve">209.80 ± 79.39 vs. 227.00 ± 76.50). </w:t>
      </w:r>
      <w:r w:rsidR="001E082F">
        <w:rPr>
          <w:rFonts w:ascii="Times New Roman" w:hAnsi="Times New Roman" w:cs="Times New Roman"/>
        </w:rPr>
        <w:t xml:space="preserve"> </w:t>
      </w:r>
      <w:r w:rsidR="0097284D">
        <w:rPr>
          <w:rFonts w:ascii="Times New Roman" w:hAnsi="Times New Roman" w:cs="Times New Roman"/>
        </w:rPr>
        <w:t>The</w:t>
      </w:r>
      <w:r w:rsidR="00AA6D17">
        <w:rPr>
          <w:rFonts w:ascii="Times New Roman" w:hAnsi="Times New Roman" w:cs="Times New Roman"/>
        </w:rPr>
        <w:t xml:space="preserve"> following PRS were </w:t>
      </w:r>
      <w:r w:rsidR="0097284D">
        <w:rPr>
          <w:rFonts w:ascii="Times New Roman" w:hAnsi="Times New Roman" w:cs="Times New Roman"/>
        </w:rPr>
        <w:t>different</w:t>
      </w:r>
      <w:r w:rsidR="00AA6D17">
        <w:rPr>
          <w:rFonts w:ascii="Times New Roman" w:hAnsi="Times New Roman" w:cs="Times New Roman"/>
        </w:rPr>
        <w:t xml:space="preserve"> </w:t>
      </w:r>
      <w:r w:rsidR="0097284D">
        <w:rPr>
          <w:rFonts w:ascii="Times New Roman" w:hAnsi="Times New Roman" w:cs="Times New Roman"/>
        </w:rPr>
        <w:t>statistically</w:t>
      </w:r>
      <w:r w:rsidR="00F56D78">
        <w:rPr>
          <w:rFonts w:ascii="Times New Roman" w:hAnsi="Times New Roman" w:cs="Times New Roman"/>
        </w:rPr>
        <w:t xml:space="preserve"> among males and females</w:t>
      </w:r>
      <w:r w:rsidR="0097284D">
        <w:rPr>
          <w:rFonts w:ascii="Times New Roman" w:hAnsi="Times New Roman" w:cs="Times New Roman"/>
        </w:rPr>
        <w:t>:</w:t>
      </w:r>
      <w:r w:rsidR="00AA6D17">
        <w:rPr>
          <w:rFonts w:ascii="Times New Roman" w:hAnsi="Times New Roman" w:cs="Times New Roman"/>
        </w:rPr>
        <w:t xml:space="preserve"> PGS0001</w:t>
      </w:r>
      <w:r w:rsidR="00901C62">
        <w:rPr>
          <w:rFonts w:ascii="Times New Roman" w:hAnsi="Times New Roman" w:cs="Times New Roman"/>
        </w:rPr>
        <w:t>09, PGS000186,</w:t>
      </w:r>
      <w:r w:rsidR="0097284D">
        <w:rPr>
          <w:rFonts w:ascii="Times New Roman" w:hAnsi="Times New Roman" w:cs="Times New Roman"/>
        </w:rPr>
        <w:t xml:space="preserve"> PGS000186</w:t>
      </w:r>
      <w:r w:rsidR="00677B12">
        <w:rPr>
          <w:rFonts w:ascii="Times New Roman" w:hAnsi="Times New Roman" w:cs="Times New Roman"/>
        </w:rPr>
        <w:t>, PGS0002464, PGS0002513, PGS000</w:t>
      </w:r>
      <w:r w:rsidR="00F56D78">
        <w:rPr>
          <w:rFonts w:ascii="Times New Roman" w:hAnsi="Times New Roman" w:cs="Times New Roman"/>
        </w:rPr>
        <w:t xml:space="preserve">2562, PGS0002611. </w:t>
      </w:r>
      <w:r w:rsidR="000751E3">
        <w:rPr>
          <w:rFonts w:ascii="Times New Roman" w:hAnsi="Times New Roman" w:cs="Times New Roman"/>
        </w:rPr>
        <w:t xml:space="preserve">Except PCA2, all the PCAs </w:t>
      </w:r>
      <w:r w:rsidR="00433043">
        <w:rPr>
          <w:rFonts w:ascii="Times New Roman" w:hAnsi="Times New Roman" w:cs="Times New Roman"/>
        </w:rPr>
        <w:t>did</w:t>
      </w:r>
      <w:r w:rsidR="000751E3">
        <w:rPr>
          <w:rFonts w:ascii="Times New Roman" w:hAnsi="Times New Roman" w:cs="Times New Roman"/>
        </w:rPr>
        <w:t xml:space="preserve"> not statistically </w:t>
      </w:r>
      <w:r w:rsidR="00433043">
        <w:rPr>
          <w:rFonts w:ascii="Times New Roman" w:hAnsi="Times New Roman" w:cs="Times New Roman"/>
        </w:rPr>
        <w:t>significant</w:t>
      </w:r>
      <w:r w:rsidR="000751E3">
        <w:rPr>
          <w:rFonts w:ascii="Times New Roman" w:hAnsi="Times New Roman" w:cs="Times New Roman"/>
        </w:rPr>
        <w:t xml:space="preserve"> differ</w:t>
      </w:r>
      <w:r w:rsidR="00433043">
        <w:rPr>
          <w:rFonts w:ascii="Times New Roman" w:hAnsi="Times New Roman" w:cs="Times New Roman"/>
        </w:rPr>
        <w:t xml:space="preserve"> </w:t>
      </w:r>
      <w:r w:rsidR="000751E3">
        <w:rPr>
          <w:rFonts w:ascii="Times New Roman" w:hAnsi="Times New Roman" w:cs="Times New Roman"/>
        </w:rPr>
        <w:t>between males and females.</w:t>
      </w:r>
    </w:p>
    <w:tbl>
      <w:tblPr>
        <w:tblW w:w="8680" w:type="dxa"/>
        <w:tblLook w:val="04A0" w:firstRow="1" w:lastRow="0" w:firstColumn="1" w:lastColumn="0" w:noHBand="0" w:noVBand="1"/>
      </w:tblPr>
      <w:tblGrid>
        <w:gridCol w:w="3040"/>
        <w:gridCol w:w="1176"/>
        <w:gridCol w:w="1795"/>
        <w:gridCol w:w="1795"/>
        <w:gridCol w:w="892"/>
      </w:tblGrid>
      <w:tr w:rsidR="00103785" w:rsidRPr="00103785" w14:paraId="554FEF35" w14:textId="77777777" w:rsidTr="00103785">
        <w:trPr>
          <w:trHeight w:val="600"/>
        </w:trPr>
        <w:tc>
          <w:tcPr>
            <w:tcW w:w="8680" w:type="dxa"/>
            <w:gridSpan w:val="5"/>
            <w:tcBorders>
              <w:top w:val="single" w:sz="4" w:space="0" w:color="auto"/>
              <w:left w:val="nil"/>
              <w:bottom w:val="single" w:sz="4" w:space="0" w:color="auto"/>
              <w:right w:val="nil"/>
            </w:tcBorders>
            <w:shd w:val="clear" w:color="auto" w:fill="auto"/>
            <w:vAlign w:val="bottom"/>
            <w:hideMark/>
          </w:tcPr>
          <w:p w14:paraId="4CA0F125" w14:textId="77777777" w:rsidR="00103785" w:rsidRPr="00103785" w:rsidRDefault="00103785" w:rsidP="00103785">
            <w:pPr>
              <w:spacing w:after="0" w:line="240" w:lineRule="auto"/>
              <w:rPr>
                <w:rFonts w:ascii="Times New Roman" w:eastAsia="Times New Roman" w:hAnsi="Times New Roman" w:cs="Times New Roman"/>
                <w:b/>
                <w:bCs/>
                <w:color w:val="000000"/>
                <w:kern w:val="0"/>
                <w14:ligatures w14:val="none"/>
              </w:rPr>
            </w:pPr>
            <w:r w:rsidRPr="00103785">
              <w:rPr>
                <w:rFonts w:ascii="Times New Roman" w:eastAsia="Times New Roman" w:hAnsi="Times New Roman" w:cs="Times New Roman"/>
                <w:b/>
                <w:bCs/>
                <w:color w:val="000000"/>
                <w:kern w:val="0"/>
                <w14:ligatures w14:val="none"/>
              </w:rPr>
              <w:t>Table 1: Summary statistics of the subcutaneous adipose tissue polygenic risk scores data</w:t>
            </w:r>
          </w:p>
        </w:tc>
      </w:tr>
      <w:tr w:rsidR="00103785" w:rsidRPr="00103785" w14:paraId="7E91794F" w14:textId="77777777" w:rsidTr="00103785">
        <w:trPr>
          <w:trHeight w:val="310"/>
        </w:trPr>
        <w:tc>
          <w:tcPr>
            <w:tcW w:w="3040" w:type="dxa"/>
            <w:tcBorders>
              <w:top w:val="nil"/>
              <w:left w:val="nil"/>
              <w:bottom w:val="nil"/>
              <w:right w:val="nil"/>
            </w:tcBorders>
            <w:shd w:val="clear" w:color="auto" w:fill="auto"/>
            <w:noWrap/>
            <w:vAlign w:val="bottom"/>
            <w:hideMark/>
          </w:tcPr>
          <w:p w14:paraId="7698AB21"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 xml:space="preserve"> </w:t>
            </w:r>
          </w:p>
        </w:tc>
        <w:tc>
          <w:tcPr>
            <w:tcW w:w="1176" w:type="dxa"/>
            <w:tcBorders>
              <w:top w:val="nil"/>
              <w:left w:val="nil"/>
              <w:bottom w:val="nil"/>
              <w:right w:val="nil"/>
            </w:tcBorders>
            <w:shd w:val="clear" w:color="auto" w:fill="auto"/>
            <w:noWrap/>
            <w:vAlign w:val="bottom"/>
            <w:hideMark/>
          </w:tcPr>
          <w:p w14:paraId="59E9F9E3" w14:textId="77777777" w:rsidR="00103785" w:rsidRPr="00103785" w:rsidRDefault="00103785" w:rsidP="00103785">
            <w:pPr>
              <w:spacing w:after="0" w:line="240" w:lineRule="auto"/>
              <w:rPr>
                <w:rFonts w:ascii="Times New Roman" w:eastAsia="Times New Roman" w:hAnsi="Times New Roman" w:cs="Times New Roman"/>
                <w:b/>
                <w:bCs/>
                <w:color w:val="000000"/>
                <w:kern w:val="0"/>
                <w14:ligatures w14:val="none"/>
              </w:rPr>
            </w:pPr>
            <w:r w:rsidRPr="00103785">
              <w:rPr>
                <w:rFonts w:ascii="Times New Roman" w:eastAsia="Times New Roman" w:hAnsi="Times New Roman" w:cs="Times New Roman"/>
                <w:b/>
                <w:bCs/>
                <w:color w:val="000000"/>
                <w:kern w:val="0"/>
                <w14:ligatures w14:val="none"/>
              </w:rPr>
              <w:t>Ancestry</w:t>
            </w:r>
          </w:p>
        </w:tc>
        <w:tc>
          <w:tcPr>
            <w:tcW w:w="1795" w:type="dxa"/>
            <w:tcBorders>
              <w:top w:val="nil"/>
              <w:left w:val="nil"/>
              <w:bottom w:val="nil"/>
              <w:right w:val="nil"/>
            </w:tcBorders>
            <w:shd w:val="clear" w:color="auto" w:fill="auto"/>
            <w:noWrap/>
            <w:vAlign w:val="bottom"/>
            <w:hideMark/>
          </w:tcPr>
          <w:p w14:paraId="00245EB2" w14:textId="77777777" w:rsidR="00103785" w:rsidRPr="00103785" w:rsidRDefault="00103785" w:rsidP="00103785">
            <w:pPr>
              <w:spacing w:after="0" w:line="240" w:lineRule="auto"/>
              <w:rPr>
                <w:rFonts w:ascii="Times New Roman" w:eastAsia="Times New Roman" w:hAnsi="Times New Roman" w:cs="Times New Roman"/>
                <w:b/>
                <w:bCs/>
                <w:color w:val="000000"/>
                <w:kern w:val="0"/>
                <w14:ligatures w14:val="none"/>
              </w:rPr>
            </w:pPr>
            <w:r w:rsidRPr="00103785">
              <w:rPr>
                <w:rFonts w:ascii="Times New Roman" w:eastAsia="Times New Roman" w:hAnsi="Times New Roman" w:cs="Times New Roman"/>
                <w:b/>
                <w:bCs/>
                <w:color w:val="000000"/>
                <w:kern w:val="0"/>
                <w14:ligatures w14:val="none"/>
              </w:rPr>
              <w:t>Male</w:t>
            </w:r>
          </w:p>
        </w:tc>
        <w:tc>
          <w:tcPr>
            <w:tcW w:w="1795" w:type="dxa"/>
            <w:tcBorders>
              <w:top w:val="nil"/>
              <w:left w:val="nil"/>
              <w:bottom w:val="nil"/>
              <w:right w:val="nil"/>
            </w:tcBorders>
            <w:shd w:val="clear" w:color="auto" w:fill="auto"/>
            <w:noWrap/>
            <w:vAlign w:val="bottom"/>
            <w:hideMark/>
          </w:tcPr>
          <w:p w14:paraId="0E51955B" w14:textId="77777777" w:rsidR="00103785" w:rsidRPr="00103785" w:rsidRDefault="00103785" w:rsidP="00103785">
            <w:pPr>
              <w:spacing w:after="0" w:line="240" w:lineRule="auto"/>
              <w:rPr>
                <w:rFonts w:ascii="Times New Roman" w:eastAsia="Times New Roman" w:hAnsi="Times New Roman" w:cs="Times New Roman"/>
                <w:b/>
                <w:bCs/>
                <w:color w:val="000000"/>
                <w:kern w:val="0"/>
                <w14:ligatures w14:val="none"/>
              </w:rPr>
            </w:pPr>
            <w:r w:rsidRPr="00103785">
              <w:rPr>
                <w:rFonts w:ascii="Times New Roman" w:eastAsia="Times New Roman" w:hAnsi="Times New Roman" w:cs="Times New Roman"/>
                <w:b/>
                <w:bCs/>
                <w:color w:val="000000"/>
                <w:kern w:val="0"/>
                <w14:ligatures w14:val="none"/>
              </w:rPr>
              <w:t>Female</w:t>
            </w:r>
          </w:p>
        </w:tc>
        <w:tc>
          <w:tcPr>
            <w:tcW w:w="874" w:type="dxa"/>
            <w:tcBorders>
              <w:top w:val="nil"/>
              <w:left w:val="nil"/>
              <w:bottom w:val="nil"/>
              <w:right w:val="nil"/>
            </w:tcBorders>
            <w:shd w:val="clear" w:color="auto" w:fill="auto"/>
            <w:noWrap/>
            <w:vAlign w:val="bottom"/>
            <w:hideMark/>
          </w:tcPr>
          <w:p w14:paraId="6ADB6A7F" w14:textId="77777777" w:rsidR="00103785" w:rsidRPr="00103785" w:rsidRDefault="00103785" w:rsidP="00103785">
            <w:pPr>
              <w:spacing w:after="0" w:line="240" w:lineRule="auto"/>
              <w:rPr>
                <w:rFonts w:ascii="Times New Roman" w:eastAsia="Times New Roman" w:hAnsi="Times New Roman" w:cs="Times New Roman"/>
                <w:b/>
                <w:bCs/>
                <w:color w:val="000000"/>
                <w:kern w:val="0"/>
                <w14:ligatures w14:val="none"/>
              </w:rPr>
            </w:pPr>
            <w:r w:rsidRPr="00103785">
              <w:rPr>
                <w:rFonts w:ascii="Times New Roman" w:eastAsia="Times New Roman" w:hAnsi="Times New Roman" w:cs="Times New Roman"/>
                <w:b/>
                <w:bCs/>
                <w:color w:val="000000"/>
                <w:kern w:val="0"/>
                <w14:ligatures w14:val="none"/>
              </w:rPr>
              <w:t>p</w:t>
            </w:r>
          </w:p>
        </w:tc>
      </w:tr>
      <w:tr w:rsidR="00103785" w:rsidRPr="00103785" w14:paraId="5A9852A4" w14:textId="77777777" w:rsidTr="00103785">
        <w:trPr>
          <w:trHeight w:val="310"/>
        </w:trPr>
        <w:tc>
          <w:tcPr>
            <w:tcW w:w="3040" w:type="dxa"/>
            <w:tcBorders>
              <w:top w:val="nil"/>
              <w:left w:val="nil"/>
              <w:bottom w:val="nil"/>
              <w:right w:val="nil"/>
            </w:tcBorders>
            <w:shd w:val="clear" w:color="auto" w:fill="auto"/>
            <w:noWrap/>
            <w:vAlign w:val="bottom"/>
            <w:hideMark/>
          </w:tcPr>
          <w:p w14:paraId="2DE7C2C3"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n</w:t>
            </w:r>
          </w:p>
        </w:tc>
        <w:tc>
          <w:tcPr>
            <w:tcW w:w="1176" w:type="dxa"/>
            <w:tcBorders>
              <w:top w:val="nil"/>
              <w:left w:val="nil"/>
              <w:bottom w:val="nil"/>
              <w:right w:val="nil"/>
            </w:tcBorders>
            <w:shd w:val="clear" w:color="auto" w:fill="auto"/>
            <w:noWrap/>
            <w:vAlign w:val="bottom"/>
            <w:hideMark/>
          </w:tcPr>
          <w:p w14:paraId="2F277E72"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192A9975"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700</w:t>
            </w:r>
          </w:p>
        </w:tc>
        <w:tc>
          <w:tcPr>
            <w:tcW w:w="1795" w:type="dxa"/>
            <w:tcBorders>
              <w:top w:val="nil"/>
              <w:left w:val="nil"/>
              <w:bottom w:val="nil"/>
              <w:right w:val="nil"/>
            </w:tcBorders>
            <w:shd w:val="clear" w:color="auto" w:fill="auto"/>
            <w:noWrap/>
            <w:vAlign w:val="bottom"/>
            <w:hideMark/>
          </w:tcPr>
          <w:p w14:paraId="124DE045"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924</w:t>
            </w:r>
          </w:p>
        </w:tc>
        <w:tc>
          <w:tcPr>
            <w:tcW w:w="874" w:type="dxa"/>
            <w:tcBorders>
              <w:top w:val="nil"/>
              <w:left w:val="nil"/>
              <w:bottom w:val="nil"/>
              <w:right w:val="nil"/>
            </w:tcBorders>
            <w:shd w:val="clear" w:color="auto" w:fill="auto"/>
            <w:noWrap/>
            <w:vAlign w:val="bottom"/>
            <w:hideMark/>
          </w:tcPr>
          <w:p w14:paraId="50A16479"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r>
      <w:tr w:rsidR="00103785" w:rsidRPr="00103785" w14:paraId="0F9BF8E9" w14:textId="77777777" w:rsidTr="00103785">
        <w:trPr>
          <w:trHeight w:val="310"/>
        </w:trPr>
        <w:tc>
          <w:tcPr>
            <w:tcW w:w="3040" w:type="dxa"/>
            <w:tcBorders>
              <w:top w:val="nil"/>
              <w:left w:val="nil"/>
              <w:bottom w:val="nil"/>
              <w:right w:val="nil"/>
            </w:tcBorders>
            <w:shd w:val="clear" w:color="auto" w:fill="auto"/>
            <w:noWrap/>
            <w:vAlign w:val="bottom"/>
            <w:hideMark/>
          </w:tcPr>
          <w:p w14:paraId="20A751DE"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age (mean (SD))</w:t>
            </w:r>
          </w:p>
        </w:tc>
        <w:tc>
          <w:tcPr>
            <w:tcW w:w="1176" w:type="dxa"/>
            <w:tcBorders>
              <w:top w:val="nil"/>
              <w:left w:val="nil"/>
              <w:bottom w:val="nil"/>
              <w:right w:val="nil"/>
            </w:tcBorders>
            <w:shd w:val="clear" w:color="auto" w:fill="auto"/>
            <w:noWrap/>
            <w:vAlign w:val="bottom"/>
            <w:hideMark/>
          </w:tcPr>
          <w:p w14:paraId="4DFC87E4"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6BF6124A"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32.76 (18.95)</w:t>
            </w:r>
          </w:p>
        </w:tc>
        <w:tc>
          <w:tcPr>
            <w:tcW w:w="1795" w:type="dxa"/>
            <w:tcBorders>
              <w:top w:val="nil"/>
              <w:left w:val="nil"/>
              <w:bottom w:val="nil"/>
              <w:right w:val="nil"/>
            </w:tcBorders>
            <w:shd w:val="clear" w:color="auto" w:fill="auto"/>
            <w:noWrap/>
            <w:vAlign w:val="bottom"/>
            <w:hideMark/>
          </w:tcPr>
          <w:p w14:paraId="5A288044"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34.22 (17.77)</w:t>
            </w:r>
          </w:p>
        </w:tc>
        <w:tc>
          <w:tcPr>
            <w:tcW w:w="874" w:type="dxa"/>
            <w:tcBorders>
              <w:top w:val="nil"/>
              <w:left w:val="nil"/>
              <w:bottom w:val="nil"/>
              <w:right w:val="nil"/>
            </w:tcBorders>
            <w:shd w:val="clear" w:color="auto" w:fill="auto"/>
            <w:noWrap/>
            <w:vAlign w:val="bottom"/>
            <w:hideMark/>
          </w:tcPr>
          <w:p w14:paraId="5ECD9362"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0.109</w:t>
            </w:r>
          </w:p>
        </w:tc>
      </w:tr>
      <w:tr w:rsidR="00103785" w:rsidRPr="00103785" w14:paraId="25262F08" w14:textId="77777777" w:rsidTr="00103785">
        <w:trPr>
          <w:trHeight w:val="310"/>
        </w:trPr>
        <w:tc>
          <w:tcPr>
            <w:tcW w:w="3040" w:type="dxa"/>
            <w:tcBorders>
              <w:top w:val="nil"/>
              <w:left w:val="nil"/>
              <w:bottom w:val="nil"/>
              <w:right w:val="nil"/>
            </w:tcBorders>
            <w:shd w:val="clear" w:color="auto" w:fill="auto"/>
            <w:noWrap/>
            <w:vAlign w:val="bottom"/>
            <w:hideMark/>
          </w:tcPr>
          <w:p w14:paraId="6DA8C21B"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SAT (mean (SD))</w:t>
            </w:r>
          </w:p>
        </w:tc>
        <w:tc>
          <w:tcPr>
            <w:tcW w:w="1176" w:type="dxa"/>
            <w:tcBorders>
              <w:top w:val="nil"/>
              <w:left w:val="nil"/>
              <w:bottom w:val="nil"/>
              <w:right w:val="nil"/>
            </w:tcBorders>
            <w:shd w:val="clear" w:color="auto" w:fill="auto"/>
            <w:noWrap/>
            <w:vAlign w:val="bottom"/>
            <w:hideMark/>
          </w:tcPr>
          <w:p w14:paraId="7E2B803D"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65E39CDE"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209.80 (79.39)</w:t>
            </w:r>
          </w:p>
        </w:tc>
        <w:tc>
          <w:tcPr>
            <w:tcW w:w="1795" w:type="dxa"/>
            <w:tcBorders>
              <w:top w:val="nil"/>
              <w:left w:val="nil"/>
              <w:bottom w:val="nil"/>
              <w:right w:val="nil"/>
            </w:tcBorders>
            <w:shd w:val="clear" w:color="auto" w:fill="auto"/>
            <w:noWrap/>
            <w:vAlign w:val="bottom"/>
            <w:hideMark/>
          </w:tcPr>
          <w:p w14:paraId="6805E276"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227.00 (76.50)</w:t>
            </w:r>
          </w:p>
        </w:tc>
        <w:tc>
          <w:tcPr>
            <w:tcW w:w="874" w:type="dxa"/>
            <w:tcBorders>
              <w:top w:val="nil"/>
              <w:left w:val="nil"/>
              <w:bottom w:val="nil"/>
              <w:right w:val="nil"/>
            </w:tcBorders>
            <w:shd w:val="clear" w:color="auto" w:fill="auto"/>
            <w:noWrap/>
            <w:vAlign w:val="bottom"/>
            <w:hideMark/>
          </w:tcPr>
          <w:p w14:paraId="44CDC5B3"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&lt;0.001</w:t>
            </w:r>
          </w:p>
        </w:tc>
      </w:tr>
      <w:tr w:rsidR="00103785" w:rsidRPr="00103785" w14:paraId="15A9A821" w14:textId="77777777" w:rsidTr="00103785">
        <w:trPr>
          <w:trHeight w:val="310"/>
        </w:trPr>
        <w:tc>
          <w:tcPr>
            <w:tcW w:w="3040" w:type="dxa"/>
            <w:tcBorders>
              <w:top w:val="nil"/>
              <w:left w:val="nil"/>
              <w:bottom w:val="nil"/>
              <w:right w:val="nil"/>
            </w:tcBorders>
            <w:shd w:val="clear" w:color="auto" w:fill="auto"/>
            <w:noWrap/>
            <w:vAlign w:val="bottom"/>
            <w:hideMark/>
          </w:tcPr>
          <w:p w14:paraId="44E718ED"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PGS000109 (mean (SD))</w:t>
            </w:r>
          </w:p>
        </w:tc>
        <w:tc>
          <w:tcPr>
            <w:tcW w:w="1176" w:type="dxa"/>
            <w:tcBorders>
              <w:top w:val="nil"/>
              <w:left w:val="nil"/>
              <w:bottom w:val="nil"/>
              <w:right w:val="nil"/>
            </w:tcBorders>
            <w:shd w:val="clear" w:color="auto" w:fill="auto"/>
            <w:noWrap/>
            <w:vAlign w:val="bottom"/>
            <w:hideMark/>
          </w:tcPr>
          <w:p w14:paraId="70B41FD3"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4935D8CA"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31CA9008"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430443CB"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0.036</w:t>
            </w:r>
          </w:p>
        </w:tc>
      </w:tr>
      <w:tr w:rsidR="00103785" w:rsidRPr="00103785" w14:paraId="0506CAAF" w14:textId="77777777" w:rsidTr="00103785">
        <w:trPr>
          <w:trHeight w:val="310"/>
        </w:trPr>
        <w:tc>
          <w:tcPr>
            <w:tcW w:w="3040" w:type="dxa"/>
            <w:tcBorders>
              <w:top w:val="nil"/>
              <w:left w:val="nil"/>
              <w:bottom w:val="nil"/>
              <w:right w:val="nil"/>
            </w:tcBorders>
            <w:shd w:val="clear" w:color="auto" w:fill="auto"/>
            <w:noWrap/>
            <w:vAlign w:val="bottom"/>
            <w:hideMark/>
          </w:tcPr>
          <w:p w14:paraId="28A3A440"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PGS000186 (mean (SD))</w:t>
            </w:r>
          </w:p>
        </w:tc>
        <w:tc>
          <w:tcPr>
            <w:tcW w:w="1176" w:type="dxa"/>
            <w:tcBorders>
              <w:top w:val="nil"/>
              <w:left w:val="nil"/>
              <w:bottom w:val="nil"/>
              <w:right w:val="nil"/>
            </w:tcBorders>
            <w:shd w:val="clear" w:color="auto" w:fill="auto"/>
            <w:noWrap/>
            <w:vAlign w:val="bottom"/>
            <w:hideMark/>
          </w:tcPr>
          <w:p w14:paraId="28E0EFD0"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585CB9C1"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0.02 (0.00)</w:t>
            </w:r>
          </w:p>
        </w:tc>
        <w:tc>
          <w:tcPr>
            <w:tcW w:w="1795" w:type="dxa"/>
            <w:tcBorders>
              <w:top w:val="nil"/>
              <w:left w:val="nil"/>
              <w:bottom w:val="nil"/>
              <w:right w:val="nil"/>
            </w:tcBorders>
            <w:shd w:val="clear" w:color="auto" w:fill="auto"/>
            <w:noWrap/>
            <w:vAlign w:val="bottom"/>
            <w:hideMark/>
          </w:tcPr>
          <w:p w14:paraId="784F0DFB"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0.02 (0.00)</w:t>
            </w:r>
          </w:p>
        </w:tc>
        <w:tc>
          <w:tcPr>
            <w:tcW w:w="874" w:type="dxa"/>
            <w:tcBorders>
              <w:top w:val="nil"/>
              <w:left w:val="nil"/>
              <w:bottom w:val="nil"/>
              <w:right w:val="nil"/>
            </w:tcBorders>
            <w:shd w:val="clear" w:color="auto" w:fill="auto"/>
            <w:noWrap/>
            <w:vAlign w:val="bottom"/>
            <w:hideMark/>
          </w:tcPr>
          <w:p w14:paraId="0BD85378"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&lt;0.001</w:t>
            </w:r>
          </w:p>
        </w:tc>
      </w:tr>
      <w:tr w:rsidR="00103785" w:rsidRPr="00103785" w14:paraId="2407329F" w14:textId="77777777" w:rsidTr="00103785">
        <w:trPr>
          <w:trHeight w:val="310"/>
        </w:trPr>
        <w:tc>
          <w:tcPr>
            <w:tcW w:w="3040" w:type="dxa"/>
            <w:tcBorders>
              <w:top w:val="nil"/>
              <w:left w:val="nil"/>
              <w:bottom w:val="nil"/>
              <w:right w:val="nil"/>
            </w:tcBorders>
            <w:shd w:val="clear" w:color="auto" w:fill="auto"/>
            <w:noWrap/>
            <w:vAlign w:val="bottom"/>
            <w:hideMark/>
          </w:tcPr>
          <w:p w14:paraId="709A55DE"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PGS001238 (mean (SD))</w:t>
            </w:r>
          </w:p>
        </w:tc>
        <w:tc>
          <w:tcPr>
            <w:tcW w:w="1176" w:type="dxa"/>
            <w:tcBorders>
              <w:top w:val="nil"/>
              <w:left w:val="nil"/>
              <w:bottom w:val="nil"/>
              <w:right w:val="nil"/>
            </w:tcBorders>
            <w:shd w:val="clear" w:color="auto" w:fill="auto"/>
            <w:noWrap/>
            <w:vAlign w:val="bottom"/>
            <w:hideMark/>
          </w:tcPr>
          <w:p w14:paraId="6BDD0BA0"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1A13DB35"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06CD5141"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0DB2EBA8"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0.985</w:t>
            </w:r>
          </w:p>
        </w:tc>
      </w:tr>
      <w:tr w:rsidR="00103785" w:rsidRPr="00103785" w14:paraId="78BDA13E" w14:textId="77777777" w:rsidTr="00103785">
        <w:trPr>
          <w:trHeight w:val="310"/>
        </w:trPr>
        <w:tc>
          <w:tcPr>
            <w:tcW w:w="3040" w:type="dxa"/>
            <w:tcBorders>
              <w:top w:val="nil"/>
              <w:left w:val="nil"/>
              <w:bottom w:val="nil"/>
              <w:right w:val="nil"/>
            </w:tcBorders>
            <w:shd w:val="clear" w:color="auto" w:fill="auto"/>
            <w:noWrap/>
            <w:vAlign w:val="bottom"/>
            <w:hideMark/>
          </w:tcPr>
          <w:p w14:paraId="432DC625"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PGS001973 (mean (SD))</w:t>
            </w:r>
          </w:p>
        </w:tc>
        <w:tc>
          <w:tcPr>
            <w:tcW w:w="1176" w:type="dxa"/>
            <w:tcBorders>
              <w:top w:val="nil"/>
              <w:left w:val="nil"/>
              <w:bottom w:val="nil"/>
              <w:right w:val="nil"/>
            </w:tcBorders>
            <w:shd w:val="clear" w:color="auto" w:fill="auto"/>
            <w:noWrap/>
            <w:vAlign w:val="bottom"/>
            <w:hideMark/>
          </w:tcPr>
          <w:p w14:paraId="4E173EC0"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6CCF2643"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61FBC25D"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125C4487"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0.386</w:t>
            </w:r>
          </w:p>
        </w:tc>
      </w:tr>
      <w:tr w:rsidR="00103785" w:rsidRPr="00103785" w14:paraId="4FBD0BFA" w14:textId="77777777" w:rsidTr="00103785">
        <w:trPr>
          <w:trHeight w:val="310"/>
        </w:trPr>
        <w:tc>
          <w:tcPr>
            <w:tcW w:w="3040" w:type="dxa"/>
            <w:tcBorders>
              <w:top w:val="nil"/>
              <w:left w:val="nil"/>
              <w:bottom w:val="nil"/>
              <w:right w:val="nil"/>
            </w:tcBorders>
            <w:shd w:val="clear" w:color="auto" w:fill="auto"/>
            <w:noWrap/>
            <w:vAlign w:val="bottom"/>
            <w:hideMark/>
          </w:tcPr>
          <w:p w14:paraId="1DDFBC30"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PGS002191 (mean (SD))</w:t>
            </w:r>
          </w:p>
        </w:tc>
        <w:tc>
          <w:tcPr>
            <w:tcW w:w="1176" w:type="dxa"/>
            <w:tcBorders>
              <w:top w:val="nil"/>
              <w:left w:val="nil"/>
              <w:bottom w:val="nil"/>
              <w:right w:val="nil"/>
            </w:tcBorders>
            <w:shd w:val="clear" w:color="auto" w:fill="auto"/>
            <w:noWrap/>
            <w:vAlign w:val="bottom"/>
            <w:hideMark/>
          </w:tcPr>
          <w:p w14:paraId="2B43503C"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5069DC9F"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08419CE7"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582CF4ED"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0.367</w:t>
            </w:r>
          </w:p>
        </w:tc>
      </w:tr>
      <w:tr w:rsidR="00103785" w:rsidRPr="00103785" w14:paraId="3567CD62" w14:textId="77777777" w:rsidTr="00103785">
        <w:trPr>
          <w:trHeight w:val="310"/>
        </w:trPr>
        <w:tc>
          <w:tcPr>
            <w:tcW w:w="3040" w:type="dxa"/>
            <w:tcBorders>
              <w:top w:val="nil"/>
              <w:left w:val="nil"/>
              <w:bottom w:val="nil"/>
              <w:right w:val="nil"/>
            </w:tcBorders>
            <w:shd w:val="clear" w:color="auto" w:fill="auto"/>
            <w:noWrap/>
            <w:vAlign w:val="bottom"/>
            <w:hideMark/>
          </w:tcPr>
          <w:p w14:paraId="22815488"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PGS002343 (mean (SD))</w:t>
            </w:r>
          </w:p>
        </w:tc>
        <w:tc>
          <w:tcPr>
            <w:tcW w:w="1176" w:type="dxa"/>
            <w:tcBorders>
              <w:top w:val="nil"/>
              <w:left w:val="nil"/>
              <w:bottom w:val="nil"/>
              <w:right w:val="nil"/>
            </w:tcBorders>
            <w:shd w:val="clear" w:color="auto" w:fill="auto"/>
            <w:noWrap/>
            <w:vAlign w:val="bottom"/>
            <w:hideMark/>
          </w:tcPr>
          <w:p w14:paraId="5694AFA9"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2123C076"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739B2F14"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236A05A8"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0.422</w:t>
            </w:r>
          </w:p>
        </w:tc>
      </w:tr>
      <w:tr w:rsidR="00103785" w:rsidRPr="00103785" w14:paraId="4DDE3766" w14:textId="77777777" w:rsidTr="00103785">
        <w:trPr>
          <w:trHeight w:val="310"/>
        </w:trPr>
        <w:tc>
          <w:tcPr>
            <w:tcW w:w="3040" w:type="dxa"/>
            <w:tcBorders>
              <w:top w:val="nil"/>
              <w:left w:val="nil"/>
              <w:bottom w:val="nil"/>
              <w:right w:val="nil"/>
            </w:tcBorders>
            <w:shd w:val="clear" w:color="auto" w:fill="auto"/>
            <w:noWrap/>
            <w:vAlign w:val="bottom"/>
            <w:hideMark/>
          </w:tcPr>
          <w:p w14:paraId="6A3EE9C9"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PGS002373 (mean (SD))</w:t>
            </w:r>
          </w:p>
        </w:tc>
        <w:tc>
          <w:tcPr>
            <w:tcW w:w="1176" w:type="dxa"/>
            <w:tcBorders>
              <w:top w:val="nil"/>
              <w:left w:val="nil"/>
              <w:bottom w:val="nil"/>
              <w:right w:val="nil"/>
            </w:tcBorders>
            <w:shd w:val="clear" w:color="auto" w:fill="auto"/>
            <w:noWrap/>
            <w:vAlign w:val="bottom"/>
            <w:hideMark/>
          </w:tcPr>
          <w:p w14:paraId="0A9BC546"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14EBCE92"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35607D19"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51ABFB8D"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0.643</w:t>
            </w:r>
          </w:p>
        </w:tc>
      </w:tr>
      <w:tr w:rsidR="00103785" w:rsidRPr="00103785" w14:paraId="776FBF4C" w14:textId="77777777" w:rsidTr="00103785">
        <w:trPr>
          <w:trHeight w:val="310"/>
        </w:trPr>
        <w:tc>
          <w:tcPr>
            <w:tcW w:w="3040" w:type="dxa"/>
            <w:tcBorders>
              <w:top w:val="nil"/>
              <w:left w:val="nil"/>
              <w:bottom w:val="nil"/>
              <w:right w:val="nil"/>
            </w:tcBorders>
            <w:shd w:val="clear" w:color="auto" w:fill="auto"/>
            <w:noWrap/>
            <w:vAlign w:val="bottom"/>
            <w:hideMark/>
          </w:tcPr>
          <w:p w14:paraId="61002276"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PGS002415 (mean (SD))</w:t>
            </w:r>
          </w:p>
        </w:tc>
        <w:tc>
          <w:tcPr>
            <w:tcW w:w="1176" w:type="dxa"/>
            <w:tcBorders>
              <w:top w:val="nil"/>
              <w:left w:val="nil"/>
              <w:bottom w:val="nil"/>
              <w:right w:val="nil"/>
            </w:tcBorders>
            <w:shd w:val="clear" w:color="auto" w:fill="auto"/>
            <w:noWrap/>
            <w:vAlign w:val="bottom"/>
            <w:hideMark/>
          </w:tcPr>
          <w:p w14:paraId="5D3703F9"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22A05202"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0.01 (0.00)</w:t>
            </w:r>
          </w:p>
        </w:tc>
        <w:tc>
          <w:tcPr>
            <w:tcW w:w="1795" w:type="dxa"/>
            <w:tcBorders>
              <w:top w:val="nil"/>
              <w:left w:val="nil"/>
              <w:bottom w:val="nil"/>
              <w:right w:val="nil"/>
            </w:tcBorders>
            <w:shd w:val="clear" w:color="auto" w:fill="auto"/>
            <w:noWrap/>
            <w:vAlign w:val="bottom"/>
            <w:hideMark/>
          </w:tcPr>
          <w:p w14:paraId="7B76D570"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0.01 (0.00)</w:t>
            </w:r>
          </w:p>
        </w:tc>
        <w:tc>
          <w:tcPr>
            <w:tcW w:w="874" w:type="dxa"/>
            <w:tcBorders>
              <w:top w:val="nil"/>
              <w:left w:val="nil"/>
              <w:bottom w:val="nil"/>
              <w:right w:val="nil"/>
            </w:tcBorders>
            <w:shd w:val="clear" w:color="auto" w:fill="auto"/>
            <w:noWrap/>
            <w:vAlign w:val="bottom"/>
            <w:hideMark/>
          </w:tcPr>
          <w:p w14:paraId="18E72B2B"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0.12</w:t>
            </w:r>
          </w:p>
        </w:tc>
      </w:tr>
      <w:tr w:rsidR="00103785" w:rsidRPr="00103785" w14:paraId="3A230369" w14:textId="77777777" w:rsidTr="00103785">
        <w:trPr>
          <w:trHeight w:val="310"/>
        </w:trPr>
        <w:tc>
          <w:tcPr>
            <w:tcW w:w="3040" w:type="dxa"/>
            <w:tcBorders>
              <w:top w:val="nil"/>
              <w:left w:val="nil"/>
              <w:bottom w:val="nil"/>
              <w:right w:val="nil"/>
            </w:tcBorders>
            <w:shd w:val="clear" w:color="auto" w:fill="auto"/>
            <w:noWrap/>
            <w:vAlign w:val="bottom"/>
            <w:hideMark/>
          </w:tcPr>
          <w:p w14:paraId="150ACD09"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PGS002464 (mean (SD))</w:t>
            </w:r>
          </w:p>
        </w:tc>
        <w:tc>
          <w:tcPr>
            <w:tcW w:w="1176" w:type="dxa"/>
            <w:tcBorders>
              <w:top w:val="nil"/>
              <w:left w:val="nil"/>
              <w:bottom w:val="nil"/>
              <w:right w:val="nil"/>
            </w:tcBorders>
            <w:shd w:val="clear" w:color="auto" w:fill="auto"/>
            <w:noWrap/>
            <w:vAlign w:val="bottom"/>
            <w:hideMark/>
          </w:tcPr>
          <w:p w14:paraId="5A6880A6"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761C4ADA"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0.01 (0.00)</w:t>
            </w:r>
          </w:p>
        </w:tc>
        <w:tc>
          <w:tcPr>
            <w:tcW w:w="1795" w:type="dxa"/>
            <w:tcBorders>
              <w:top w:val="nil"/>
              <w:left w:val="nil"/>
              <w:bottom w:val="nil"/>
              <w:right w:val="nil"/>
            </w:tcBorders>
            <w:shd w:val="clear" w:color="auto" w:fill="auto"/>
            <w:noWrap/>
            <w:vAlign w:val="bottom"/>
            <w:hideMark/>
          </w:tcPr>
          <w:p w14:paraId="36707246"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0.01 (0.00)</w:t>
            </w:r>
          </w:p>
        </w:tc>
        <w:tc>
          <w:tcPr>
            <w:tcW w:w="874" w:type="dxa"/>
            <w:tcBorders>
              <w:top w:val="nil"/>
              <w:left w:val="nil"/>
              <w:bottom w:val="nil"/>
              <w:right w:val="nil"/>
            </w:tcBorders>
            <w:shd w:val="clear" w:color="auto" w:fill="auto"/>
            <w:noWrap/>
            <w:vAlign w:val="bottom"/>
            <w:hideMark/>
          </w:tcPr>
          <w:p w14:paraId="12DCC29F"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0.014</w:t>
            </w:r>
          </w:p>
        </w:tc>
      </w:tr>
      <w:tr w:rsidR="00103785" w:rsidRPr="00103785" w14:paraId="71298620" w14:textId="77777777" w:rsidTr="00103785">
        <w:trPr>
          <w:trHeight w:val="310"/>
        </w:trPr>
        <w:tc>
          <w:tcPr>
            <w:tcW w:w="3040" w:type="dxa"/>
            <w:tcBorders>
              <w:top w:val="nil"/>
              <w:left w:val="nil"/>
              <w:bottom w:val="nil"/>
              <w:right w:val="nil"/>
            </w:tcBorders>
            <w:shd w:val="clear" w:color="auto" w:fill="auto"/>
            <w:noWrap/>
            <w:vAlign w:val="bottom"/>
            <w:hideMark/>
          </w:tcPr>
          <w:p w14:paraId="6C46AF14"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PGS002513 (mean (SD))</w:t>
            </w:r>
          </w:p>
        </w:tc>
        <w:tc>
          <w:tcPr>
            <w:tcW w:w="1176" w:type="dxa"/>
            <w:tcBorders>
              <w:top w:val="nil"/>
              <w:left w:val="nil"/>
              <w:bottom w:val="nil"/>
              <w:right w:val="nil"/>
            </w:tcBorders>
            <w:shd w:val="clear" w:color="auto" w:fill="auto"/>
            <w:noWrap/>
            <w:vAlign w:val="bottom"/>
            <w:hideMark/>
          </w:tcPr>
          <w:p w14:paraId="6EB78D98"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12BFFFD3"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0.01 (0.00)</w:t>
            </w:r>
          </w:p>
        </w:tc>
        <w:tc>
          <w:tcPr>
            <w:tcW w:w="1795" w:type="dxa"/>
            <w:tcBorders>
              <w:top w:val="nil"/>
              <w:left w:val="nil"/>
              <w:bottom w:val="nil"/>
              <w:right w:val="nil"/>
            </w:tcBorders>
            <w:shd w:val="clear" w:color="auto" w:fill="auto"/>
            <w:noWrap/>
            <w:vAlign w:val="bottom"/>
            <w:hideMark/>
          </w:tcPr>
          <w:p w14:paraId="6AC60203"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0.01 (0.00)</w:t>
            </w:r>
          </w:p>
        </w:tc>
        <w:tc>
          <w:tcPr>
            <w:tcW w:w="874" w:type="dxa"/>
            <w:tcBorders>
              <w:top w:val="nil"/>
              <w:left w:val="nil"/>
              <w:bottom w:val="nil"/>
              <w:right w:val="nil"/>
            </w:tcBorders>
            <w:shd w:val="clear" w:color="auto" w:fill="auto"/>
            <w:noWrap/>
            <w:vAlign w:val="bottom"/>
            <w:hideMark/>
          </w:tcPr>
          <w:p w14:paraId="49482E6A"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0.034</w:t>
            </w:r>
          </w:p>
        </w:tc>
      </w:tr>
      <w:tr w:rsidR="00103785" w:rsidRPr="00103785" w14:paraId="34AC5A74" w14:textId="77777777" w:rsidTr="00103785">
        <w:trPr>
          <w:trHeight w:val="310"/>
        </w:trPr>
        <w:tc>
          <w:tcPr>
            <w:tcW w:w="3040" w:type="dxa"/>
            <w:tcBorders>
              <w:top w:val="nil"/>
              <w:left w:val="nil"/>
              <w:bottom w:val="nil"/>
              <w:right w:val="nil"/>
            </w:tcBorders>
            <w:shd w:val="clear" w:color="auto" w:fill="auto"/>
            <w:noWrap/>
            <w:vAlign w:val="bottom"/>
            <w:hideMark/>
          </w:tcPr>
          <w:p w14:paraId="610B6FDC"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PGS002562 (mean (SD))</w:t>
            </w:r>
          </w:p>
        </w:tc>
        <w:tc>
          <w:tcPr>
            <w:tcW w:w="1176" w:type="dxa"/>
            <w:tcBorders>
              <w:top w:val="nil"/>
              <w:left w:val="nil"/>
              <w:bottom w:val="nil"/>
              <w:right w:val="nil"/>
            </w:tcBorders>
            <w:shd w:val="clear" w:color="auto" w:fill="auto"/>
            <w:noWrap/>
            <w:vAlign w:val="bottom"/>
            <w:hideMark/>
          </w:tcPr>
          <w:p w14:paraId="0ECF3D0A"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3F65749C"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3237658E"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123FCD1C"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0.007</w:t>
            </w:r>
          </w:p>
        </w:tc>
      </w:tr>
      <w:tr w:rsidR="00103785" w:rsidRPr="00103785" w14:paraId="65431DCE" w14:textId="77777777" w:rsidTr="00103785">
        <w:trPr>
          <w:trHeight w:val="310"/>
        </w:trPr>
        <w:tc>
          <w:tcPr>
            <w:tcW w:w="3040" w:type="dxa"/>
            <w:tcBorders>
              <w:top w:val="nil"/>
              <w:left w:val="nil"/>
              <w:bottom w:val="nil"/>
              <w:right w:val="nil"/>
            </w:tcBorders>
            <w:shd w:val="clear" w:color="auto" w:fill="auto"/>
            <w:noWrap/>
            <w:vAlign w:val="bottom"/>
            <w:hideMark/>
          </w:tcPr>
          <w:p w14:paraId="5316DF38"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PGS002611 (mean (SD))</w:t>
            </w:r>
          </w:p>
        </w:tc>
        <w:tc>
          <w:tcPr>
            <w:tcW w:w="1176" w:type="dxa"/>
            <w:tcBorders>
              <w:top w:val="nil"/>
              <w:left w:val="nil"/>
              <w:bottom w:val="nil"/>
              <w:right w:val="nil"/>
            </w:tcBorders>
            <w:shd w:val="clear" w:color="auto" w:fill="auto"/>
            <w:noWrap/>
            <w:vAlign w:val="bottom"/>
            <w:hideMark/>
          </w:tcPr>
          <w:p w14:paraId="2F7E4155"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199D397D"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3FB3418F"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5AE6D9EC"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0.003</w:t>
            </w:r>
          </w:p>
        </w:tc>
      </w:tr>
      <w:tr w:rsidR="00103785" w:rsidRPr="00103785" w14:paraId="4A9A5620" w14:textId="77777777" w:rsidTr="00103785">
        <w:trPr>
          <w:trHeight w:val="310"/>
        </w:trPr>
        <w:tc>
          <w:tcPr>
            <w:tcW w:w="3040" w:type="dxa"/>
            <w:tcBorders>
              <w:top w:val="nil"/>
              <w:left w:val="nil"/>
              <w:bottom w:val="nil"/>
              <w:right w:val="nil"/>
            </w:tcBorders>
            <w:shd w:val="clear" w:color="auto" w:fill="auto"/>
            <w:noWrap/>
            <w:vAlign w:val="bottom"/>
            <w:hideMark/>
          </w:tcPr>
          <w:p w14:paraId="5ADB5754"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PGS002660 (mean (SD))</w:t>
            </w:r>
          </w:p>
        </w:tc>
        <w:tc>
          <w:tcPr>
            <w:tcW w:w="1176" w:type="dxa"/>
            <w:tcBorders>
              <w:top w:val="nil"/>
              <w:left w:val="nil"/>
              <w:bottom w:val="nil"/>
              <w:right w:val="nil"/>
            </w:tcBorders>
            <w:shd w:val="clear" w:color="auto" w:fill="auto"/>
            <w:noWrap/>
            <w:vAlign w:val="bottom"/>
            <w:hideMark/>
          </w:tcPr>
          <w:p w14:paraId="2BB21625"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6A08611B"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5E823694"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4474A993"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0.089</w:t>
            </w:r>
          </w:p>
        </w:tc>
      </w:tr>
      <w:tr w:rsidR="00103785" w:rsidRPr="00103785" w14:paraId="215B650C" w14:textId="77777777" w:rsidTr="00103785">
        <w:trPr>
          <w:trHeight w:val="310"/>
        </w:trPr>
        <w:tc>
          <w:tcPr>
            <w:tcW w:w="3040" w:type="dxa"/>
            <w:tcBorders>
              <w:top w:val="nil"/>
              <w:left w:val="nil"/>
              <w:bottom w:val="nil"/>
              <w:right w:val="nil"/>
            </w:tcBorders>
            <w:shd w:val="clear" w:color="auto" w:fill="auto"/>
            <w:noWrap/>
            <w:vAlign w:val="bottom"/>
            <w:hideMark/>
          </w:tcPr>
          <w:p w14:paraId="1DE6EEC8"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PGS002709 (mean (SD))</w:t>
            </w:r>
          </w:p>
        </w:tc>
        <w:tc>
          <w:tcPr>
            <w:tcW w:w="1176" w:type="dxa"/>
            <w:tcBorders>
              <w:top w:val="nil"/>
              <w:left w:val="nil"/>
              <w:bottom w:val="nil"/>
              <w:right w:val="nil"/>
            </w:tcBorders>
            <w:shd w:val="clear" w:color="auto" w:fill="auto"/>
            <w:noWrap/>
            <w:vAlign w:val="bottom"/>
            <w:hideMark/>
          </w:tcPr>
          <w:p w14:paraId="3F632A60"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5A5D75CC"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4E7CF38B"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2A97EC92"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0.109</w:t>
            </w:r>
          </w:p>
        </w:tc>
      </w:tr>
      <w:tr w:rsidR="00103785" w:rsidRPr="00103785" w14:paraId="5FF2CF75" w14:textId="77777777" w:rsidTr="00103785">
        <w:trPr>
          <w:trHeight w:val="310"/>
        </w:trPr>
        <w:tc>
          <w:tcPr>
            <w:tcW w:w="3040" w:type="dxa"/>
            <w:tcBorders>
              <w:top w:val="nil"/>
              <w:left w:val="nil"/>
              <w:bottom w:val="nil"/>
              <w:right w:val="nil"/>
            </w:tcBorders>
            <w:shd w:val="clear" w:color="auto" w:fill="auto"/>
            <w:noWrap/>
            <w:vAlign w:val="bottom"/>
            <w:hideMark/>
          </w:tcPr>
          <w:p w14:paraId="4A404630"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PGS003546 (mean (SD))</w:t>
            </w:r>
          </w:p>
        </w:tc>
        <w:tc>
          <w:tcPr>
            <w:tcW w:w="1176" w:type="dxa"/>
            <w:tcBorders>
              <w:top w:val="nil"/>
              <w:left w:val="nil"/>
              <w:bottom w:val="nil"/>
              <w:right w:val="nil"/>
            </w:tcBorders>
            <w:shd w:val="clear" w:color="auto" w:fill="auto"/>
            <w:noWrap/>
            <w:vAlign w:val="bottom"/>
            <w:hideMark/>
          </w:tcPr>
          <w:p w14:paraId="1ED18E8F"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6856C5BC"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63ECA991"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09320B94"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0.278</w:t>
            </w:r>
          </w:p>
        </w:tc>
      </w:tr>
      <w:tr w:rsidR="00103785" w:rsidRPr="00103785" w14:paraId="3292A18F" w14:textId="77777777" w:rsidTr="00103785">
        <w:trPr>
          <w:trHeight w:val="310"/>
        </w:trPr>
        <w:tc>
          <w:tcPr>
            <w:tcW w:w="3040" w:type="dxa"/>
            <w:tcBorders>
              <w:top w:val="nil"/>
              <w:left w:val="nil"/>
              <w:bottom w:val="nil"/>
              <w:right w:val="nil"/>
            </w:tcBorders>
            <w:shd w:val="clear" w:color="auto" w:fill="auto"/>
            <w:noWrap/>
            <w:vAlign w:val="bottom"/>
            <w:hideMark/>
          </w:tcPr>
          <w:p w14:paraId="010D992B"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PGS003932 (mean (SD))</w:t>
            </w:r>
          </w:p>
        </w:tc>
        <w:tc>
          <w:tcPr>
            <w:tcW w:w="1176" w:type="dxa"/>
            <w:tcBorders>
              <w:top w:val="nil"/>
              <w:left w:val="nil"/>
              <w:bottom w:val="nil"/>
              <w:right w:val="nil"/>
            </w:tcBorders>
            <w:shd w:val="clear" w:color="auto" w:fill="auto"/>
            <w:noWrap/>
            <w:vAlign w:val="bottom"/>
            <w:hideMark/>
          </w:tcPr>
          <w:p w14:paraId="01B9BC0D"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4D6FDF64"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57D9EC28"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5E45B08B"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0.418</w:t>
            </w:r>
          </w:p>
        </w:tc>
      </w:tr>
      <w:tr w:rsidR="00103785" w:rsidRPr="00103785" w14:paraId="33FA6507" w14:textId="77777777" w:rsidTr="00103785">
        <w:trPr>
          <w:trHeight w:val="310"/>
        </w:trPr>
        <w:tc>
          <w:tcPr>
            <w:tcW w:w="3040" w:type="dxa"/>
            <w:tcBorders>
              <w:top w:val="nil"/>
              <w:left w:val="nil"/>
              <w:bottom w:val="nil"/>
              <w:right w:val="nil"/>
            </w:tcBorders>
            <w:shd w:val="clear" w:color="auto" w:fill="auto"/>
            <w:noWrap/>
            <w:vAlign w:val="bottom"/>
            <w:hideMark/>
          </w:tcPr>
          <w:p w14:paraId="3E4CB55A"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PGS004352 (mean (SD))</w:t>
            </w:r>
          </w:p>
        </w:tc>
        <w:tc>
          <w:tcPr>
            <w:tcW w:w="1176" w:type="dxa"/>
            <w:tcBorders>
              <w:top w:val="nil"/>
              <w:left w:val="nil"/>
              <w:bottom w:val="nil"/>
              <w:right w:val="nil"/>
            </w:tcBorders>
            <w:shd w:val="clear" w:color="auto" w:fill="auto"/>
            <w:noWrap/>
            <w:vAlign w:val="bottom"/>
            <w:hideMark/>
          </w:tcPr>
          <w:p w14:paraId="1FD625B3"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7570FBFF"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0A8059C7"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7900EFBF"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0.127</w:t>
            </w:r>
          </w:p>
        </w:tc>
      </w:tr>
      <w:tr w:rsidR="00103785" w:rsidRPr="00103785" w14:paraId="23F692ED" w14:textId="77777777" w:rsidTr="00103785">
        <w:trPr>
          <w:trHeight w:val="310"/>
        </w:trPr>
        <w:tc>
          <w:tcPr>
            <w:tcW w:w="3040" w:type="dxa"/>
            <w:tcBorders>
              <w:top w:val="nil"/>
              <w:left w:val="nil"/>
              <w:bottom w:val="nil"/>
              <w:right w:val="nil"/>
            </w:tcBorders>
            <w:shd w:val="clear" w:color="auto" w:fill="auto"/>
            <w:noWrap/>
            <w:vAlign w:val="bottom"/>
            <w:hideMark/>
          </w:tcPr>
          <w:p w14:paraId="28029416"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PGS004582 (mean (SD))</w:t>
            </w:r>
          </w:p>
        </w:tc>
        <w:tc>
          <w:tcPr>
            <w:tcW w:w="1176" w:type="dxa"/>
            <w:tcBorders>
              <w:top w:val="nil"/>
              <w:left w:val="nil"/>
              <w:bottom w:val="nil"/>
              <w:right w:val="nil"/>
            </w:tcBorders>
            <w:shd w:val="clear" w:color="auto" w:fill="auto"/>
            <w:noWrap/>
            <w:vAlign w:val="bottom"/>
            <w:hideMark/>
          </w:tcPr>
          <w:p w14:paraId="05F7E1F8"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11A48FA2"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7126F797"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7EF54F77"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0.587</w:t>
            </w:r>
          </w:p>
        </w:tc>
      </w:tr>
      <w:tr w:rsidR="00103785" w:rsidRPr="00103785" w14:paraId="6B2AE3B0" w14:textId="77777777" w:rsidTr="00103785">
        <w:trPr>
          <w:trHeight w:val="310"/>
        </w:trPr>
        <w:tc>
          <w:tcPr>
            <w:tcW w:w="3040" w:type="dxa"/>
            <w:tcBorders>
              <w:top w:val="nil"/>
              <w:left w:val="nil"/>
              <w:bottom w:val="nil"/>
              <w:right w:val="nil"/>
            </w:tcBorders>
            <w:shd w:val="clear" w:color="auto" w:fill="auto"/>
            <w:noWrap/>
            <w:vAlign w:val="bottom"/>
            <w:hideMark/>
          </w:tcPr>
          <w:p w14:paraId="456F49F7"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PGS004583 (mean (SD))</w:t>
            </w:r>
          </w:p>
        </w:tc>
        <w:tc>
          <w:tcPr>
            <w:tcW w:w="1176" w:type="dxa"/>
            <w:tcBorders>
              <w:top w:val="nil"/>
              <w:left w:val="nil"/>
              <w:bottom w:val="nil"/>
              <w:right w:val="nil"/>
            </w:tcBorders>
            <w:shd w:val="clear" w:color="auto" w:fill="auto"/>
            <w:noWrap/>
            <w:vAlign w:val="bottom"/>
            <w:hideMark/>
          </w:tcPr>
          <w:p w14:paraId="59756797"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0813E40D"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7E20722D"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3DC9360A"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0.917</w:t>
            </w:r>
          </w:p>
        </w:tc>
      </w:tr>
      <w:tr w:rsidR="00103785" w:rsidRPr="00103785" w14:paraId="065CDCF5" w14:textId="77777777" w:rsidTr="00103785">
        <w:trPr>
          <w:trHeight w:val="310"/>
        </w:trPr>
        <w:tc>
          <w:tcPr>
            <w:tcW w:w="3040" w:type="dxa"/>
            <w:tcBorders>
              <w:top w:val="nil"/>
              <w:left w:val="nil"/>
              <w:bottom w:val="nil"/>
              <w:right w:val="nil"/>
            </w:tcBorders>
            <w:shd w:val="clear" w:color="auto" w:fill="auto"/>
            <w:noWrap/>
            <w:vAlign w:val="bottom"/>
            <w:hideMark/>
          </w:tcPr>
          <w:p w14:paraId="676DD0C5"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PGS004584 (mean (SD))</w:t>
            </w:r>
          </w:p>
        </w:tc>
        <w:tc>
          <w:tcPr>
            <w:tcW w:w="1176" w:type="dxa"/>
            <w:tcBorders>
              <w:top w:val="nil"/>
              <w:left w:val="nil"/>
              <w:bottom w:val="nil"/>
              <w:right w:val="nil"/>
            </w:tcBorders>
            <w:shd w:val="clear" w:color="auto" w:fill="auto"/>
            <w:noWrap/>
            <w:vAlign w:val="bottom"/>
            <w:hideMark/>
          </w:tcPr>
          <w:p w14:paraId="7AEEFCE4"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3D68A32D"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0.03 (0.01)</w:t>
            </w:r>
          </w:p>
        </w:tc>
        <w:tc>
          <w:tcPr>
            <w:tcW w:w="1795" w:type="dxa"/>
            <w:tcBorders>
              <w:top w:val="nil"/>
              <w:left w:val="nil"/>
              <w:bottom w:val="nil"/>
              <w:right w:val="nil"/>
            </w:tcBorders>
            <w:shd w:val="clear" w:color="auto" w:fill="auto"/>
            <w:noWrap/>
            <w:vAlign w:val="bottom"/>
            <w:hideMark/>
          </w:tcPr>
          <w:p w14:paraId="7248C1FF"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0.03 (0.01)</w:t>
            </w:r>
          </w:p>
        </w:tc>
        <w:tc>
          <w:tcPr>
            <w:tcW w:w="874" w:type="dxa"/>
            <w:tcBorders>
              <w:top w:val="nil"/>
              <w:left w:val="nil"/>
              <w:bottom w:val="nil"/>
              <w:right w:val="nil"/>
            </w:tcBorders>
            <w:shd w:val="clear" w:color="auto" w:fill="auto"/>
            <w:noWrap/>
            <w:vAlign w:val="bottom"/>
            <w:hideMark/>
          </w:tcPr>
          <w:p w14:paraId="6C474CDE"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0.025</w:t>
            </w:r>
          </w:p>
        </w:tc>
      </w:tr>
      <w:tr w:rsidR="00103785" w:rsidRPr="00103785" w14:paraId="1307586A" w14:textId="77777777" w:rsidTr="00103785">
        <w:trPr>
          <w:trHeight w:val="310"/>
        </w:trPr>
        <w:tc>
          <w:tcPr>
            <w:tcW w:w="3040" w:type="dxa"/>
            <w:tcBorders>
              <w:top w:val="nil"/>
              <w:left w:val="nil"/>
              <w:bottom w:val="nil"/>
              <w:right w:val="nil"/>
            </w:tcBorders>
            <w:shd w:val="clear" w:color="auto" w:fill="auto"/>
            <w:noWrap/>
            <w:vAlign w:val="bottom"/>
            <w:hideMark/>
          </w:tcPr>
          <w:p w14:paraId="339563AB"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PGS004811 (mean (SD))</w:t>
            </w:r>
          </w:p>
        </w:tc>
        <w:tc>
          <w:tcPr>
            <w:tcW w:w="1176" w:type="dxa"/>
            <w:tcBorders>
              <w:top w:val="nil"/>
              <w:left w:val="nil"/>
              <w:bottom w:val="nil"/>
              <w:right w:val="nil"/>
            </w:tcBorders>
            <w:shd w:val="clear" w:color="auto" w:fill="auto"/>
            <w:noWrap/>
            <w:vAlign w:val="bottom"/>
            <w:hideMark/>
          </w:tcPr>
          <w:p w14:paraId="051D6799"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541C0F34"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538027B0"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767F770E"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0.935</w:t>
            </w:r>
          </w:p>
        </w:tc>
      </w:tr>
      <w:tr w:rsidR="00103785" w:rsidRPr="00103785" w14:paraId="40BA31C8" w14:textId="77777777" w:rsidTr="00103785">
        <w:trPr>
          <w:trHeight w:val="310"/>
        </w:trPr>
        <w:tc>
          <w:tcPr>
            <w:tcW w:w="3040" w:type="dxa"/>
            <w:tcBorders>
              <w:top w:val="nil"/>
              <w:left w:val="nil"/>
              <w:bottom w:val="nil"/>
              <w:right w:val="nil"/>
            </w:tcBorders>
            <w:shd w:val="clear" w:color="auto" w:fill="auto"/>
            <w:noWrap/>
            <w:vAlign w:val="bottom"/>
            <w:hideMark/>
          </w:tcPr>
          <w:p w14:paraId="1BD78598"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PGS004812 (mean (SD))</w:t>
            </w:r>
          </w:p>
        </w:tc>
        <w:tc>
          <w:tcPr>
            <w:tcW w:w="1176" w:type="dxa"/>
            <w:tcBorders>
              <w:top w:val="nil"/>
              <w:left w:val="nil"/>
              <w:bottom w:val="nil"/>
              <w:right w:val="nil"/>
            </w:tcBorders>
            <w:shd w:val="clear" w:color="auto" w:fill="auto"/>
            <w:noWrap/>
            <w:vAlign w:val="bottom"/>
            <w:hideMark/>
          </w:tcPr>
          <w:p w14:paraId="362CDCB4"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721BBFFA"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2DA0CAD0"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0C91641C"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0.732</w:t>
            </w:r>
          </w:p>
        </w:tc>
      </w:tr>
      <w:tr w:rsidR="00103785" w:rsidRPr="00103785" w14:paraId="0C94B93E" w14:textId="77777777" w:rsidTr="00103785">
        <w:trPr>
          <w:trHeight w:val="310"/>
        </w:trPr>
        <w:tc>
          <w:tcPr>
            <w:tcW w:w="3040" w:type="dxa"/>
            <w:tcBorders>
              <w:top w:val="nil"/>
              <w:left w:val="nil"/>
              <w:bottom w:val="nil"/>
              <w:right w:val="nil"/>
            </w:tcBorders>
            <w:shd w:val="clear" w:color="auto" w:fill="auto"/>
            <w:noWrap/>
            <w:vAlign w:val="bottom"/>
            <w:hideMark/>
          </w:tcPr>
          <w:p w14:paraId="4214948E"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PGS004813 (mean (SD))</w:t>
            </w:r>
          </w:p>
        </w:tc>
        <w:tc>
          <w:tcPr>
            <w:tcW w:w="1176" w:type="dxa"/>
            <w:tcBorders>
              <w:top w:val="nil"/>
              <w:left w:val="nil"/>
              <w:bottom w:val="nil"/>
              <w:right w:val="nil"/>
            </w:tcBorders>
            <w:shd w:val="clear" w:color="auto" w:fill="auto"/>
            <w:noWrap/>
            <w:vAlign w:val="bottom"/>
            <w:hideMark/>
          </w:tcPr>
          <w:p w14:paraId="2A93EFB1"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085F268E"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4556D37A"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2EFBCA82"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0.767</w:t>
            </w:r>
          </w:p>
        </w:tc>
      </w:tr>
      <w:tr w:rsidR="00103785" w:rsidRPr="00103785" w14:paraId="54457D76" w14:textId="77777777" w:rsidTr="00103785">
        <w:trPr>
          <w:trHeight w:val="310"/>
        </w:trPr>
        <w:tc>
          <w:tcPr>
            <w:tcW w:w="3040" w:type="dxa"/>
            <w:tcBorders>
              <w:top w:val="nil"/>
              <w:left w:val="nil"/>
              <w:bottom w:val="nil"/>
              <w:right w:val="nil"/>
            </w:tcBorders>
            <w:shd w:val="clear" w:color="auto" w:fill="auto"/>
            <w:noWrap/>
            <w:vAlign w:val="bottom"/>
            <w:hideMark/>
          </w:tcPr>
          <w:p w14:paraId="40933519"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PGS004814 (mean (SD))</w:t>
            </w:r>
          </w:p>
        </w:tc>
        <w:tc>
          <w:tcPr>
            <w:tcW w:w="1176" w:type="dxa"/>
            <w:tcBorders>
              <w:top w:val="nil"/>
              <w:left w:val="nil"/>
              <w:bottom w:val="nil"/>
              <w:right w:val="nil"/>
            </w:tcBorders>
            <w:shd w:val="clear" w:color="auto" w:fill="auto"/>
            <w:noWrap/>
            <w:vAlign w:val="bottom"/>
            <w:hideMark/>
          </w:tcPr>
          <w:p w14:paraId="6A68D50C"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52C22CD0"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1795" w:type="dxa"/>
            <w:tcBorders>
              <w:top w:val="nil"/>
              <w:left w:val="nil"/>
              <w:bottom w:val="nil"/>
              <w:right w:val="nil"/>
            </w:tcBorders>
            <w:shd w:val="clear" w:color="auto" w:fill="auto"/>
            <w:noWrap/>
            <w:vAlign w:val="bottom"/>
            <w:hideMark/>
          </w:tcPr>
          <w:p w14:paraId="7E3E0046"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(0.00)</w:t>
            </w:r>
          </w:p>
        </w:tc>
        <w:tc>
          <w:tcPr>
            <w:tcW w:w="874" w:type="dxa"/>
            <w:tcBorders>
              <w:top w:val="nil"/>
              <w:left w:val="nil"/>
              <w:bottom w:val="nil"/>
              <w:right w:val="nil"/>
            </w:tcBorders>
            <w:shd w:val="clear" w:color="auto" w:fill="auto"/>
            <w:noWrap/>
            <w:vAlign w:val="bottom"/>
            <w:hideMark/>
          </w:tcPr>
          <w:p w14:paraId="2B9D8008"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0.732</w:t>
            </w:r>
          </w:p>
        </w:tc>
      </w:tr>
      <w:tr w:rsidR="00103785" w:rsidRPr="00103785" w14:paraId="27AAD78A" w14:textId="77777777" w:rsidTr="00103785">
        <w:trPr>
          <w:trHeight w:val="310"/>
        </w:trPr>
        <w:tc>
          <w:tcPr>
            <w:tcW w:w="3040" w:type="dxa"/>
            <w:tcBorders>
              <w:top w:val="nil"/>
              <w:left w:val="nil"/>
              <w:bottom w:val="nil"/>
              <w:right w:val="nil"/>
            </w:tcBorders>
            <w:shd w:val="clear" w:color="auto" w:fill="auto"/>
            <w:noWrap/>
            <w:vAlign w:val="bottom"/>
            <w:hideMark/>
          </w:tcPr>
          <w:p w14:paraId="08EAE772"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PC1 (mean (SD))</w:t>
            </w:r>
          </w:p>
        </w:tc>
        <w:tc>
          <w:tcPr>
            <w:tcW w:w="1176" w:type="dxa"/>
            <w:tcBorders>
              <w:top w:val="nil"/>
              <w:left w:val="nil"/>
              <w:bottom w:val="nil"/>
              <w:right w:val="nil"/>
            </w:tcBorders>
            <w:shd w:val="clear" w:color="auto" w:fill="auto"/>
            <w:noWrap/>
            <w:vAlign w:val="bottom"/>
            <w:hideMark/>
          </w:tcPr>
          <w:p w14:paraId="36BDB025"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261B49F8"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(0.02)</w:t>
            </w:r>
          </w:p>
        </w:tc>
        <w:tc>
          <w:tcPr>
            <w:tcW w:w="1795" w:type="dxa"/>
            <w:tcBorders>
              <w:top w:val="nil"/>
              <w:left w:val="nil"/>
              <w:bottom w:val="nil"/>
              <w:right w:val="nil"/>
            </w:tcBorders>
            <w:shd w:val="clear" w:color="auto" w:fill="auto"/>
            <w:noWrap/>
            <w:vAlign w:val="bottom"/>
            <w:hideMark/>
          </w:tcPr>
          <w:p w14:paraId="7FF1705A"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(0.01)</w:t>
            </w:r>
          </w:p>
        </w:tc>
        <w:tc>
          <w:tcPr>
            <w:tcW w:w="874" w:type="dxa"/>
            <w:tcBorders>
              <w:top w:val="nil"/>
              <w:left w:val="nil"/>
              <w:bottom w:val="nil"/>
              <w:right w:val="nil"/>
            </w:tcBorders>
            <w:shd w:val="clear" w:color="auto" w:fill="auto"/>
            <w:noWrap/>
            <w:vAlign w:val="bottom"/>
            <w:hideMark/>
          </w:tcPr>
          <w:p w14:paraId="6C7034EA"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0.517</w:t>
            </w:r>
          </w:p>
        </w:tc>
      </w:tr>
      <w:tr w:rsidR="00103785" w:rsidRPr="00103785" w14:paraId="441BE043" w14:textId="77777777" w:rsidTr="00103785">
        <w:trPr>
          <w:trHeight w:val="310"/>
        </w:trPr>
        <w:tc>
          <w:tcPr>
            <w:tcW w:w="3040" w:type="dxa"/>
            <w:tcBorders>
              <w:top w:val="nil"/>
              <w:left w:val="nil"/>
              <w:bottom w:val="nil"/>
              <w:right w:val="nil"/>
            </w:tcBorders>
            <w:shd w:val="clear" w:color="auto" w:fill="auto"/>
            <w:noWrap/>
            <w:vAlign w:val="bottom"/>
            <w:hideMark/>
          </w:tcPr>
          <w:p w14:paraId="601B9D93"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PC2 (mean (SD))</w:t>
            </w:r>
          </w:p>
        </w:tc>
        <w:tc>
          <w:tcPr>
            <w:tcW w:w="1176" w:type="dxa"/>
            <w:tcBorders>
              <w:top w:val="nil"/>
              <w:left w:val="nil"/>
              <w:bottom w:val="nil"/>
              <w:right w:val="nil"/>
            </w:tcBorders>
            <w:shd w:val="clear" w:color="auto" w:fill="auto"/>
            <w:noWrap/>
            <w:vAlign w:val="bottom"/>
            <w:hideMark/>
          </w:tcPr>
          <w:p w14:paraId="1E790571"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23D28F41"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(0.02)</w:t>
            </w:r>
          </w:p>
        </w:tc>
        <w:tc>
          <w:tcPr>
            <w:tcW w:w="1795" w:type="dxa"/>
            <w:tcBorders>
              <w:top w:val="nil"/>
              <w:left w:val="nil"/>
              <w:bottom w:val="nil"/>
              <w:right w:val="nil"/>
            </w:tcBorders>
            <w:shd w:val="clear" w:color="auto" w:fill="auto"/>
            <w:noWrap/>
            <w:vAlign w:val="bottom"/>
            <w:hideMark/>
          </w:tcPr>
          <w:p w14:paraId="5FCE63DD"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(0.01)</w:t>
            </w:r>
          </w:p>
        </w:tc>
        <w:tc>
          <w:tcPr>
            <w:tcW w:w="874" w:type="dxa"/>
            <w:tcBorders>
              <w:top w:val="nil"/>
              <w:left w:val="nil"/>
              <w:bottom w:val="nil"/>
              <w:right w:val="nil"/>
            </w:tcBorders>
            <w:shd w:val="clear" w:color="auto" w:fill="auto"/>
            <w:noWrap/>
            <w:vAlign w:val="bottom"/>
            <w:hideMark/>
          </w:tcPr>
          <w:p w14:paraId="0BD9F86B"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0.029</w:t>
            </w:r>
          </w:p>
        </w:tc>
      </w:tr>
      <w:tr w:rsidR="00103785" w:rsidRPr="00103785" w14:paraId="1F336D7F" w14:textId="77777777" w:rsidTr="00103785">
        <w:trPr>
          <w:trHeight w:val="310"/>
        </w:trPr>
        <w:tc>
          <w:tcPr>
            <w:tcW w:w="3040" w:type="dxa"/>
            <w:tcBorders>
              <w:top w:val="nil"/>
              <w:left w:val="nil"/>
              <w:bottom w:val="nil"/>
              <w:right w:val="nil"/>
            </w:tcBorders>
            <w:shd w:val="clear" w:color="auto" w:fill="auto"/>
            <w:noWrap/>
            <w:vAlign w:val="bottom"/>
            <w:hideMark/>
          </w:tcPr>
          <w:p w14:paraId="7C773770"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PC3 (mean (SD))</w:t>
            </w:r>
          </w:p>
        </w:tc>
        <w:tc>
          <w:tcPr>
            <w:tcW w:w="1176" w:type="dxa"/>
            <w:tcBorders>
              <w:top w:val="nil"/>
              <w:left w:val="nil"/>
              <w:bottom w:val="nil"/>
              <w:right w:val="nil"/>
            </w:tcBorders>
            <w:shd w:val="clear" w:color="auto" w:fill="auto"/>
            <w:noWrap/>
            <w:vAlign w:val="bottom"/>
            <w:hideMark/>
          </w:tcPr>
          <w:p w14:paraId="0496C05F"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265EB995"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(0.01)</w:t>
            </w:r>
          </w:p>
        </w:tc>
        <w:tc>
          <w:tcPr>
            <w:tcW w:w="1795" w:type="dxa"/>
            <w:tcBorders>
              <w:top w:val="nil"/>
              <w:left w:val="nil"/>
              <w:bottom w:val="nil"/>
              <w:right w:val="nil"/>
            </w:tcBorders>
            <w:shd w:val="clear" w:color="auto" w:fill="auto"/>
            <w:noWrap/>
            <w:vAlign w:val="bottom"/>
            <w:hideMark/>
          </w:tcPr>
          <w:p w14:paraId="1B023E08"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(0.01)</w:t>
            </w:r>
          </w:p>
        </w:tc>
        <w:tc>
          <w:tcPr>
            <w:tcW w:w="874" w:type="dxa"/>
            <w:tcBorders>
              <w:top w:val="nil"/>
              <w:left w:val="nil"/>
              <w:bottom w:val="nil"/>
              <w:right w:val="nil"/>
            </w:tcBorders>
            <w:shd w:val="clear" w:color="auto" w:fill="auto"/>
            <w:noWrap/>
            <w:vAlign w:val="bottom"/>
            <w:hideMark/>
          </w:tcPr>
          <w:p w14:paraId="40127586"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0.844</w:t>
            </w:r>
          </w:p>
        </w:tc>
      </w:tr>
      <w:tr w:rsidR="00103785" w:rsidRPr="00103785" w14:paraId="61A701D3" w14:textId="77777777" w:rsidTr="00103785">
        <w:trPr>
          <w:trHeight w:val="310"/>
        </w:trPr>
        <w:tc>
          <w:tcPr>
            <w:tcW w:w="3040" w:type="dxa"/>
            <w:tcBorders>
              <w:top w:val="nil"/>
              <w:left w:val="nil"/>
              <w:bottom w:val="nil"/>
              <w:right w:val="nil"/>
            </w:tcBorders>
            <w:shd w:val="clear" w:color="auto" w:fill="auto"/>
            <w:noWrap/>
            <w:vAlign w:val="bottom"/>
            <w:hideMark/>
          </w:tcPr>
          <w:p w14:paraId="12FC767C"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PC4 (mean (SD))</w:t>
            </w:r>
          </w:p>
        </w:tc>
        <w:tc>
          <w:tcPr>
            <w:tcW w:w="1176" w:type="dxa"/>
            <w:tcBorders>
              <w:top w:val="nil"/>
              <w:left w:val="nil"/>
              <w:bottom w:val="nil"/>
              <w:right w:val="nil"/>
            </w:tcBorders>
            <w:shd w:val="clear" w:color="auto" w:fill="auto"/>
            <w:noWrap/>
            <w:vAlign w:val="bottom"/>
            <w:hideMark/>
          </w:tcPr>
          <w:p w14:paraId="7A5A2240"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6EE0DBB8"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(0.01)</w:t>
            </w:r>
          </w:p>
        </w:tc>
        <w:tc>
          <w:tcPr>
            <w:tcW w:w="1795" w:type="dxa"/>
            <w:tcBorders>
              <w:top w:val="nil"/>
              <w:left w:val="nil"/>
              <w:bottom w:val="nil"/>
              <w:right w:val="nil"/>
            </w:tcBorders>
            <w:shd w:val="clear" w:color="auto" w:fill="auto"/>
            <w:noWrap/>
            <w:vAlign w:val="bottom"/>
            <w:hideMark/>
          </w:tcPr>
          <w:p w14:paraId="435A2664"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(0.01)</w:t>
            </w:r>
          </w:p>
        </w:tc>
        <w:tc>
          <w:tcPr>
            <w:tcW w:w="874" w:type="dxa"/>
            <w:tcBorders>
              <w:top w:val="nil"/>
              <w:left w:val="nil"/>
              <w:bottom w:val="nil"/>
              <w:right w:val="nil"/>
            </w:tcBorders>
            <w:shd w:val="clear" w:color="auto" w:fill="auto"/>
            <w:noWrap/>
            <w:vAlign w:val="bottom"/>
            <w:hideMark/>
          </w:tcPr>
          <w:p w14:paraId="747FB09A"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0.558</w:t>
            </w:r>
          </w:p>
        </w:tc>
      </w:tr>
      <w:tr w:rsidR="00103785" w:rsidRPr="00103785" w14:paraId="70BC0B2A" w14:textId="77777777" w:rsidTr="00103785">
        <w:trPr>
          <w:trHeight w:val="310"/>
        </w:trPr>
        <w:tc>
          <w:tcPr>
            <w:tcW w:w="3040" w:type="dxa"/>
            <w:tcBorders>
              <w:top w:val="nil"/>
              <w:left w:val="nil"/>
              <w:bottom w:val="nil"/>
              <w:right w:val="nil"/>
            </w:tcBorders>
            <w:shd w:val="clear" w:color="auto" w:fill="auto"/>
            <w:noWrap/>
            <w:vAlign w:val="bottom"/>
            <w:hideMark/>
          </w:tcPr>
          <w:p w14:paraId="5EFDDB7C"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PC5 (mean (SD))</w:t>
            </w:r>
          </w:p>
        </w:tc>
        <w:tc>
          <w:tcPr>
            <w:tcW w:w="1176" w:type="dxa"/>
            <w:tcBorders>
              <w:top w:val="nil"/>
              <w:left w:val="nil"/>
              <w:bottom w:val="nil"/>
              <w:right w:val="nil"/>
            </w:tcBorders>
            <w:shd w:val="clear" w:color="auto" w:fill="auto"/>
            <w:noWrap/>
            <w:vAlign w:val="bottom"/>
            <w:hideMark/>
          </w:tcPr>
          <w:p w14:paraId="4BDA0A19"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06C24A0F"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(0.01)</w:t>
            </w:r>
          </w:p>
        </w:tc>
        <w:tc>
          <w:tcPr>
            <w:tcW w:w="1795" w:type="dxa"/>
            <w:tcBorders>
              <w:top w:val="nil"/>
              <w:left w:val="nil"/>
              <w:bottom w:val="nil"/>
              <w:right w:val="nil"/>
            </w:tcBorders>
            <w:shd w:val="clear" w:color="auto" w:fill="auto"/>
            <w:noWrap/>
            <w:vAlign w:val="bottom"/>
            <w:hideMark/>
          </w:tcPr>
          <w:p w14:paraId="669FE748"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(0.01)</w:t>
            </w:r>
          </w:p>
        </w:tc>
        <w:tc>
          <w:tcPr>
            <w:tcW w:w="874" w:type="dxa"/>
            <w:tcBorders>
              <w:top w:val="nil"/>
              <w:left w:val="nil"/>
              <w:bottom w:val="nil"/>
              <w:right w:val="nil"/>
            </w:tcBorders>
            <w:shd w:val="clear" w:color="auto" w:fill="auto"/>
            <w:noWrap/>
            <w:vAlign w:val="bottom"/>
            <w:hideMark/>
          </w:tcPr>
          <w:p w14:paraId="1F789A16"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0.496</w:t>
            </w:r>
          </w:p>
        </w:tc>
      </w:tr>
      <w:tr w:rsidR="00103785" w:rsidRPr="00103785" w14:paraId="6871B983" w14:textId="77777777" w:rsidTr="00103785">
        <w:trPr>
          <w:trHeight w:val="310"/>
        </w:trPr>
        <w:tc>
          <w:tcPr>
            <w:tcW w:w="3040" w:type="dxa"/>
            <w:tcBorders>
              <w:top w:val="nil"/>
              <w:left w:val="nil"/>
              <w:bottom w:val="nil"/>
              <w:right w:val="nil"/>
            </w:tcBorders>
            <w:shd w:val="clear" w:color="auto" w:fill="auto"/>
            <w:noWrap/>
            <w:vAlign w:val="bottom"/>
            <w:hideMark/>
          </w:tcPr>
          <w:p w14:paraId="79054DE7"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lastRenderedPageBreak/>
              <w:t>PC6 (mean (SD))</w:t>
            </w:r>
          </w:p>
        </w:tc>
        <w:tc>
          <w:tcPr>
            <w:tcW w:w="1176" w:type="dxa"/>
            <w:tcBorders>
              <w:top w:val="nil"/>
              <w:left w:val="nil"/>
              <w:bottom w:val="nil"/>
              <w:right w:val="nil"/>
            </w:tcBorders>
            <w:shd w:val="clear" w:color="auto" w:fill="auto"/>
            <w:noWrap/>
            <w:vAlign w:val="bottom"/>
            <w:hideMark/>
          </w:tcPr>
          <w:p w14:paraId="5B8A9CAA"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6FA90870"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(0.02)</w:t>
            </w:r>
          </w:p>
        </w:tc>
        <w:tc>
          <w:tcPr>
            <w:tcW w:w="1795" w:type="dxa"/>
            <w:tcBorders>
              <w:top w:val="nil"/>
              <w:left w:val="nil"/>
              <w:bottom w:val="nil"/>
              <w:right w:val="nil"/>
            </w:tcBorders>
            <w:shd w:val="clear" w:color="auto" w:fill="auto"/>
            <w:noWrap/>
            <w:vAlign w:val="bottom"/>
            <w:hideMark/>
          </w:tcPr>
          <w:p w14:paraId="42B592FE"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(0.02)</w:t>
            </w:r>
          </w:p>
        </w:tc>
        <w:tc>
          <w:tcPr>
            <w:tcW w:w="874" w:type="dxa"/>
            <w:tcBorders>
              <w:top w:val="nil"/>
              <w:left w:val="nil"/>
              <w:bottom w:val="nil"/>
              <w:right w:val="nil"/>
            </w:tcBorders>
            <w:shd w:val="clear" w:color="auto" w:fill="auto"/>
            <w:noWrap/>
            <w:vAlign w:val="bottom"/>
            <w:hideMark/>
          </w:tcPr>
          <w:p w14:paraId="4AD5001A"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0.452</w:t>
            </w:r>
          </w:p>
        </w:tc>
      </w:tr>
      <w:tr w:rsidR="00103785" w:rsidRPr="00103785" w14:paraId="52093A7B" w14:textId="77777777" w:rsidTr="00103785">
        <w:trPr>
          <w:trHeight w:val="310"/>
        </w:trPr>
        <w:tc>
          <w:tcPr>
            <w:tcW w:w="3040" w:type="dxa"/>
            <w:tcBorders>
              <w:top w:val="nil"/>
              <w:left w:val="nil"/>
              <w:bottom w:val="nil"/>
              <w:right w:val="nil"/>
            </w:tcBorders>
            <w:shd w:val="clear" w:color="auto" w:fill="auto"/>
            <w:noWrap/>
            <w:vAlign w:val="bottom"/>
            <w:hideMark/>
          </w:tcPr>
          <w:p w14:paraId="6DE6CF26"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PC7 (mean (SD))</w:t>
            </w:r>
          </w:p>
        </w:tc>
        <w:tc>
          <w:tcPr>
            <w:tcW w:w="1176" w:type="dxa"/>
            <w:tcBorders>
              <w:top w:val="nil"/>
              <w:left w:val="nil"/>
              <w:bottom w:val="nil"/>
              <w:right w:val="nil"/>
            </w:tcBorders>
            <w:shd w:val="clear" w:color="auto" w:fill="auto"/>
            <w:noWrap/>
            <w:vAlign w:val="bottom"/>
            <w:hideMark/>
          </w:tcPr>
          <w:p w14:paraId="4AA5C89C"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550DE069"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(0.01)</w:t>
            </w:r>
          </w:p>
        </w:tc>
        <w:tc>
          <w:tcPr>
            <w:tcW w:w="1795" w:type="dxa"/>
            <w:tcBorders>
              <w:top w:val="nil"/>
              <w:left w:val="nil"/>
              <w:bottom w:val="nil"/>
              <w:right w:val="nil"/>
            </w:tcBorders>
            <w:shd w:val="clear" w:color="auto" w:fill="auto"/>
            <w:noWrap/>
            <w:vAlign w:val="bottom"/>
            <w:hideMark/>
          </w:tcPr>
          <w:p w14:paraId="106710E3"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(0.01)</w:t>
            </w:r>
          </w:p>
        </w:tc>
        <w:tc>
          <w:tcPr>
            <w:tcW w:w="874" w:type="dxa"/>
            <w:tcBorders>
              <w:top w:val="nil"/>
              <w:left w:val="nil"/>
              <w:bottom w:val="nil"/>
              <w:right w:val="nil"/>
            </w:tcBorders>
            <w:shd w:val="clear" w:color="auto" w:fill="auto"/>
            <w:noWrap/>
            <w:vAlign w:val="bottom"/>
            <w:hideMark/>
          </w:tcPr>
          <w:p w14:paraId="5CFF87CA"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0.495</w:t>
            </w:r>
          </w:p>
        </w:tc>
      </w:tr>
      <w:tr w:rsidR="00103785" w:rsidRPr="00103785" w14:paraId="513A5954" w14:textId="77777777" w:rsidTr="00103785">
        <w:trPr>
          <w:trHeight w:val="310"/>
        </w:trPr>
        <w:tc>
          <w:tcPr>
            <w:tcW w:w="3040" w:type="dxa"/>
            <w:tcBorders>
              <w:top w:val="nil"/>
              <w:left w:val="nil"/>
              <w:bottom w:val="nil"/>
              <w:right w:val="nil"/>
            </w:tcBorders>
            <w:shd w:val="clear" w:color="auto" w:fill="auto"/>
            <w:noWrap/>
            <w:vAlign w:val="bottom"/>
            <w:hideMark/>
          </w:tcPr>
          <w:p w14:paraId="47156251"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PC8 (mean (SD))</w:t>
            </w:r>
          </w:p>
        </w:tc>
        <w:tc>
          <w:tcPr>
            <w:tcW w:w="1176" w:type="dxa"/>
            <w:tcBorders>
              <w:top w:val="nil"/>
              <w:left w:val="nil"/>
              <w:bottom w:val="nil"/>
              <w:right w:val="nil"/>
            </w:tcBorders>
            <w:shd w:val="clear" w:color="auto" w:fill="auto"/>
            <w:noWrap/>
            <w:vAlign w:val="bottom"/>
            <w:hideMark/>
          </w:tcPr>
          <w:p w14:paraId="1A698AE7"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5E0292B6"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(0.02)</w:t>
            </w:r>
          </w:p>
        </w:tc>
        <w:tc>
          <w:tcPr>
            <w:tcW w:w="1795" w:type="dxa"/>
            <w:tcBorders>
              <w:top w:val="nil"/>
              <w:left w:val="nil"/>
              <w:bottom w:val="nil"/>
              <w:right w:val="nil"/>
            </w:tcBorders>
            <w:shd w:val="clear" w:color="auto" w:fill="auto"/>
            <w:noWrap/>
            <w:vAlign w:val="bottom"/>
            <w:hideMark/>
          </w:tcPr>
          <w:p w14:paraId="23C3454F"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(0.01)</w:t>
            </w:r>
          </w:p>
        </w:tc>
        <w:tc>
          <w:tcPr>
            <w:tcW w:w="874" w:type="dxa"/>
            <w:tcBorders>
              <w:top w:val="nil"/>
              <w:left w:val="nil"/>
              <w:bottom w:val="nil"/>
              <w:right w:val="nil"/>
            </w:tcBorders>
            <w:shd w:val="clear" w:color="auto" w:fill="auto"/>
            <w:noWrap/>
            <w:vAlign w:val="bottom"/>
            <w:hideMark/>
          </w:tcPr>
          <w:p w14:paraId="15469E7A"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0.443</w:t>
            </w:r>
          </w:p>
        </w:tc>
      </w:tr>
      <w:tr w:rsidR="00103785" w:rsidRPr="00103785" w14:paraId="0315ED9C" w14:textId="77777777" w:rsidTr="00103785">
        <w:trPr>
          <w:trHeight w:val="310"/>
        </w:trPr>
        <w:tc>
          <w:tcPr>
            <w:tcW w:w="3040" w:type="dxa"/>
            <w:tcBorders>
              <w:top w:val="nil"/>
              <w:left w:val="nil"/>
              <w:bottom w:val="nil"/>
              <w:right w:val="nil"/>
            </w:tcBorders>
            <w:shd w:val="clear" w:color="auto" w:fill="auto"/>
            <w:noWrap/>
            <w:vAlign w:val="bottom"/>
            <w:hideMark/>
          </w:tcPr>
          <w:p w14:paraId="4681CF65"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PC9 (mean (SD))</w:t>
            </w:r>
          </w:p>
        </w:tc>
        <w:tc>
          <w:tcPr>
            <w:tcW w:w="1176" w:type="dxa"/>
            <w:tcBorders>
              <w:top w:val="nil"/>
              <w:left w:val="nil"/>
              <w:bottom w:val="nil"/>
              <w:right w:val="nil"/>
            </w:tcBorders>
            <w:shd w:val="clear" w:color="auto" w:fill="auto"/>
            <w:noWrap/>
            <w:vAlign w:val="bottom"/>
            <w:hideMark/>
          </w:tcPr>
          <w:p w14:paraId="7CFE3466"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p>
        </w:tc>
        <w:tc>
          <w:tcPr>
            <w:tcW w:w="1795" w:type="dxa"/>
            <w:tcBorders>
              <w:top w:val="nil"/>
              <w:left w:val="nil"/>
              <w:bottom w:val="nil"/>
              <w:right w:val="nil"/>
            </w:tcBorders>
            <w:shd w:val="clear" w:color="auto" w:fill="auto"/>
            <w:noWrap/>
            <w:vAlign w:val="bottom"/>
            <w:hideMark/>
          </w:tcPr>
          <w:p w14:paraId="3F2D1DAC"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(0.01)</w:t>
            </w:r>
          </w:p>
        </w:tc>
        <w:tc>
          <w:tcPr>
            <w:tcW w:w="1795" w:type="dxa"/>
            <w:tcBorders>
              <w:top w:val="nil"/>
              <w:left w:val="nil"/>
              <w:bottom w:val="nil"/>
              <w:right w:val="nil"/>
            </w:tcBorders>
            <w:shd w:val="clear" w:color="auto" w:fill="auto"/>
            <w:noWrap/>
            <w:vAlign w:val="bottom"/>
            <w:hideMark/>
          </w:tcPr>
          <w:p w14:paraId="40D829A0"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(0.01)</w:t>
            </w:r>
          </w:p>
        </w:tc>
        <w:tc>
          <w:tcPr>
            <w:tcW w:w="874" w:type="dxa"/>
            <w:tcBorders>
              <w:top w:val="nil"/>
              <w:left w:val="nil"/>
              <w:bottom w:val="nil"/>
              <w:right w:val="nil"/>
            </w:tcBorders>
            <w:shd w:val="clear" w:color="auto" w:fill="auto"/>
            <w:noWrap/>
            <w:vAlign w:val="bottom"/>
            <w:hideMark/>
          </w:tcPr>
          <w:p w14:paraId="3FC1A64F"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0.737</w:t>
            </w:r>
          </w:p>
        </w:tc>
      </w:tr>
      <w:tr w:rsidR="00103785" w:rsidRPr="00103785" w14:paraId="59AD8F10" w14:textId="77777777" w:rsidTr="00103785">
        <w:trPr>
          <w:trHeight w:val="310"/>
        </w:trPr>
        <w:tc>
          <w:tcPr>
            <w:tcW w:w="3040" w:type="dxa"/>
            <w:tcBorders>
              <w:top w:val="nil"/>
              <w:left w:val="nil"/>
              <w:bottom w:val="single" w:sz="4" w:space="0" w:color="auto"/>
              <w:right w:val="nil"/>
            </w:tcBorders>
            <w:shd w:val="clear" w:color="auto" w:fill="auto"/>
            <w:noWrap/>
            <w:vAlign w:val="bottom"/>
            <w:hideMark/>
          </w:tcPr>
          <w:p w14:paraId="7B492307"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PC10 (mean (SD))</w:t>
            </w:r>
          </w:p>
        </w:tc>
        <w:tc>
          <w:tcPr>
            <w:tcW w:w="1176" w:type="dxa"/>
            <w:tcBorders>
              <w:top w:val="nil"/>
              <w:left w:val="nil"/>
              <w:bottom w:val="single" w:sz="4" w:space="0" w:color="auto"/>
              <w:right w:val="nil"/>
            </w:tcBorders>
            <w:shd w:val="clear" w:color="auto" w:fill="auto"/>
            <w:noWrap/>
            <w:vAlign w:val="bottom"/>
            <w:hideMark/>
          </w:tcPr>
          <w:p w14:paraId="3FD1CDF0"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 </w:t>
            </w:r>
          </w:p>
        </w:tc>
        <w:tc>
          <w:tcPr>
            <w:tcW w:w="1795" w:type="dxa"/>
            <w:tcBorders>
              <w:top w:val="nil"/>
              <w:left w:val="nil"/>
              <w:bottom w:val="single" w:sz="4" w:space="0" w:color="auto"/>
              <w:right w:val="nil"/>
            </w:tcBorders>
            <w:shd w:val="clear" w:color="auto" w:fill="auto"/>
            <w:noWrap/>
            <w:vAlign w:val="bottom"/>
            <w:hideMark/>
          </w:tcPr>
          <w:p w14:paraId="6ED64D78"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(0.01)</w:t>
            </w:r>
          </w:p>
        </w:tc>
        <w:tc>
          <w:tcPr>
            <w:tcW w:w="1795" w:type="dxa"/>
            <w:tcBorders>
              <w:top w:val="nil"/>
              <w:left w:val="nil"/>
              <w:bottom w:val="single" w:sz="4" w:space="0" w:color="auto"/>
              <w:right w:val="nil"/>
            </w:tcBorders>
            <w:shd w:val="clear" w:color="auto" w:fill="auto"/>
            <w:noWrap/>
            <w:vAlign w:val="bottom"/>
            <w:hideMark/>
          </w:tcPr>
          <w:p w14:paraId="2E66FA44"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0.00 (0.01)</w:t>
            </w:r>
          </w:p>
        </w:tc>
        <w:tc>
          <w:tcPr>
            <w:tcW w:w="874" w:type="dxa"/>
            <w:tcBorders>
              <w:top w:val="nil"/>
              <w:left w:val="nil"/>
              <w:bottom w:val="single" w:sz="4" w:space="0" w:color="auto"/>
              <w:right w:val="nil"/>
            </w:tcBorders>
            <w:shd w:val="clear" w:color="auto" w:fill="auto"/>
            <w:noWrap/>
            <w:vAlign w:val="bottom"/>
            <w:hideMark/>
          </w:tcPr>
          <w:p w14:paraId="3F9BDE57" w14:textId="77777777" w:rsidR="00103785" w:rsidRPr="00103785" w:rsidRDefault="00103785" w:rsidP="00103785">
            <w:pPr>
              <w:spacing w:after="0" w:line="240" w:lineRule="auto"/>
              <w:rPr>
                <w:rFonts w:ascii="Times New Roman" w:eastAsia="Times New Roman" w:hAnsi="Times New Roman" w:cs="Times New Roman"/>
                <w:color w:val="000000"/>
                <w:kern w:val="0"/>
                <w14:ligatures w14:val="none"/>
              </w:rPr>
            </w:pPr>
            <w:r w:rsidRPr="00103785">
              <w:rPr>
                <w:rFonts w:ascii="Times New Roman" w:eastAsia="Times New Roman" w:hAnsi="Times New Roman" w:cs="Times New Roman"/>
                <w:color w:val="000000"/>
                <w:kern w:val="0"/>
                <w14:ligatures w14:val="none"/>
              </w:rPr>
              <w:t>0.811</w:t>
            </w:r>
          </w:p>
        </w:tc>
      </w:tr>
    </w:tbl>
    <w:p w14:paraId="213EDAA8" w14:textId="77777777" w:rsidR="00103785" w:rsidRPr="00725E6E" w:rsidRDefault="00103785" w:rsidP="004D03D8">
      <w:pPr>
        <w:spacing w:after="0" w:line="360" w:lineRule="auto"/>
        <w:jc w:val="both"/>
        <w:rPr>
          <w:rFonts w:ascii="Times New Roman" w:hAnsi="Times New Roman" w:cs="Times New Roman"/>
        </w:rPr>
      </w:pPr>
    </w:p>
    <w:p w14:paraId="6A4A5428" w14:textId="7C79AF93" w:rsidR="00A04CCB" w:rsidRPr="00E46742" w:rsidRDefault="00A04CCB" w:rsidP="001D0E2F">
      <w:pPr>
        <w:spacing w:after="0" w:line="360" w:lineRule="auto"/>
        <w:rPr>
          <w:rFonts w:ascii="Times New Roman" w:hAnsi="Times New Roman" w:cs="Times New Roman"/>
          <w:b/>
          <w:bCs/>
        </w:rPr>
      </w:pPr>
      <w:r>
        <w:rPr>
          <w:rFonts w:ascii="Times New Roman" w:hAnsi="Times New Roman" w:cs="Times New Roman"/>
        </w:rPr>
        <w:t xml:space="preserve"> </w:t>
      </w:r>
    </w:p>
    <w:p w14:paraId="38B5915E" w14:textId="64B292C2" w:rsidR="00E964D7" w:rsidRPr="00E46742" w:rsidRDefault="00E964D7" w:rsidP="001D0E2F">
      <w:pPr>
        <w:spacing w:after="0" w:line="360" w:lineRule="auto"/>
        <w:rPr>
          <w:rFonts w:ascii="Times New Roman" w:hAnsi="Times New Roman" w:cs="Times New Roman"/>
          <w:b/>
          <w:bCs/>
        </w:rPr>
      </w:pPr>
      <w:r w:rsidRPr="00E46742">
        <w:rPr>
          <w:rFonts w:ascii="Times New Roman" w:hAnsi="Times New Roman" w:cs="Times New Roman"/>
          <w:b/>
          <w:bCs/>
        </w:rPr>
        <w:t>Distribution of SAT levels among males and females by age groups</w:t>
      </w:r>
    </w:p>
    <w:p w14:paraId="0AEF1E56" w14:textId="1B147928" w:rsidR="00E964D7" w:rsidRDefault="00E46742" w:rsidP="001D0E2F">
      <w:pPr>
        <w:spacing w:after="0" w:line="360" w:lineRule="auto"/>
        <w:rPr>
          <w:rFonts w:ascii="Times New Roman" w:hAnsi="Times New Roman" w:cs="Times New Roman"/>
        </w:rPr>
      </w:pPr>
      <w:r>
        <w:rPr>
          <w:rFonts w:ascii="Times New Roman" w:hAnsi="Times New Roman" w:cs="Times New Roman"/>
        </w:rPr>
        <w:t>Figure 1 shows the distribution of SAT levels among males and females</w:t>
      </w:r>
      <w:r w:rsidR="00B955CF">
        <w:rPr>
          <w:rFonts w:ascii="Times New Roman" w:hAnsi="Times New Roman" w:cs="Times New Roman"/>
        </w:rPr>
        <w:t xml:space="preserve">. The results that </w:t>
      </w:r>
      <w:r w:rsidR="001D0E2F">
        <w:rPr>
          <w:rFonts w:ascii="Times New Roman" w:hAnsi="Times New Roman" w:cs="Times New Roman"/>
        </w:rPr>
        <w:t>the mean SAT was higher among all the ages than females.</w:t>
      </w:r>
    </w:p>
    <w:p w14:paraId="7F4F64EF" w14:textId="1B9176C6" w:rsidR="00D122CB" w:rsidRDefault="00D122CB" w:rsidP="00A04CCB">
      <w:pPr>
        <w:rPr>
          <w:rFonts w:ascii="Times New Roman" w:hAnsi="Times New Roman" w:cs="Times New Roman"/>
        </w:rPr>
      </w:pPr>
      <w:r>
        <w:rPr>
          <w:noProof/>
        </w:rPr>
        <w:drawing>
          <wp:inline distT="0" distB="0" distL="0" distR="0" wp14:anchorId="2153C030" wp14:editId="5E552F7F">
            <wp:extent cx="5943600" cy="2950845"/>
            <wp:effectExtent l="0" t="0" r="0" b="1905"/>
            <wp:docPr id="2227532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50845"/>
                    </a:xfrm>
                    <a:prstGeom prst="rect">
                      <a:avLst/>
                    </a:prstGeom>
                    <a:noFill/>
                    <a:ln>
                      <a:noFill/>
                    </a:ln>
                  </pic:spPr>
                </pic:pic>
              </a:graphicData>
            </a:graphic>
          </wp:inline>
        </w:drawing>
      </w:r>
    </w:p>
    <w:p w14:paraId="621629D1" w14:textId="7FF19990" w:rsidR="00943AB6" w:rsidRPr="006D45CB" w:rsidRDefault="00943AB6" w:rsidP="00943AB6">
      <w:pPr>
        <w:spacing w:after="0" w:line="360" w:lineRule="auto"/>
        <w:rPr>
          <w:rFonts w:ascii="Times New Roman" w:hAnsi="Times New Roman" w:cs="Times New Roman"/>
          <w:b/>
          <w:bCs/>
        </w:rPr>
      </w:pPr>
      <w:r w:rsidRPr="006D45CB">
        <w:rPr>
          <w:rFonts w:ascii="Times New Roman" w:hAnsi="Times New Roman" w:cs="Times New Roman"/>
          <w:b/>
          <w:bCs/>
        </w:rPr>
        <w:t>Fig. 1: Distribution of SAT levels by age groups and sex.</w:t>
      </w:r>
    </w:p>
    <w:p w14:paraId="7E827A0A" w14:textId="77777777" w:rsidR="00943AB6" w:rsidRDefault="00943AB6" w:rsidP="00A04CCB">
      <w:pPr>
        <w:rPr>
          <w:rFonts w:ascii="Times New Roman" w:hAnsi="Times New Roman" w:cs="Times New Roman"/>
          <w:b/>
          <w:bCs/>
        </w:rPr>
      </w:pPr>
    </w:p>
    <w:p w14:paraId="36BC06CF" w14:textId="553572D0" w:rsidR="006E70EC" w:rsidRDefault="006E70EC" w:rsidP="008D424F">
      <w:pPr>
        <w:spacing w:after="0" w:line="360" w:lineRule="auto"/>
        <w:rPr>
          <w:rFonts w:ascii="Times New Roman" w:hAnsi="Times New Roman" w:cs="Times New Roman"/>
          <w:b/>
          <w:bCs/>
        </w:rPr>
      </w:pPr>
      <w:r w:rsidRPr="008A5E89">
        <w:rPr>
          <w:rFonts w:ascii="Times New Roman" w:hAnsi="Times New Roman" w:cs="Times New Roman"/>
          <w:b/>
          <w:bCs/>
        </w:rPr>
        <w:t>3.2 Comparative analysis of the predictive performance of</w:t>
      </w:r>
      <w:r w:rsidR="00472341">
        <w:rPr>
          <w:rFonts w:ascii="Times New Roman" w:hAnsi="Times New Roman" w:cs="Times New Roman"/>
          <w:b/>
          <w:bCs/>
        </w:rPr>
        <w:t xml:space="preserve"> </w:t>
      </w:r>
      <w:r w:rsidR="00D263CB">
        <w:rPr>
          <w:rFonts w:ascii="Times New Roman" w:hAnsi="Times New Roman" w:cs="Times New Roman"/>
          <w:b/>
          <w:bCs/>
        </w:rPr>
        <w:t xml:space="preserve">single-sourced PRS and </w:t>
      </w:r>
      <w:r w:rsidRPr="008A5E89">
        <w:rPr>
          <w:rFonts w:ascii="Times New Roman" w:hAnsi="Times New Roman" w:cs="Times New Roman"/>
          <w:b/>
          <w:bCs/>
        </w:rPr>
        <w:t xml:space="preserve"> </w:t>
      </w:r>
    </w:p>
    <w:p w14:paraId="24BBCDA7" w14:textId="69376CC8" w:rsidR="00580083" w:rsidRPr="001519FE" w:rsidRDefault="00580083" w:rsidP="008D424F">
      <w:pPr>
        <w:spacing w:after="0" w:line="360" w:lineRule="auto"/>
        <w:rPr>
          <w:rFonts w:ascii="Times New Roman" w:hAnsi="Times New Roman" w:cs="Times New Roman"/>
        </w:rPr>
      </w:pPr>
      <w:r w:rsidRPr="001519FE">
        <w:rPr>
          <w:rFonts w:ascii="Times New Roman" w:hAnsi="Times New Roman" w:cs="Times New Roman"/>
        </w:rPr>
        <w:t xml:space="preserve">Figure 2 shows the predictive performance of </w:t>
      </w:r>
      <w:proofErr w:type="spellStart"/>
      <w:r w:rsidRPr="001519FE">
        <w:rPr>
          <w:rFonts w:ascii="Times New Roman" w:hAnsi="Times New Roman" w:cs="Times New Roman"/>
        </w:rPr>
        <w:t>PRSmix</w:t>
      </w:r>
      <w:proofErr w:type="spellEnd"/>
      <w:r w:rsidRPr="001519FE">
        <w:rPr>
          <w:rFonts w:ascii="Times New Roman" w:hAnsi="Times New Roman" w:cs="Times New Roman"/>
        </w:rPr>
        <w:t xml:space="preserve"> and the single-sourced PGSs.</w:t>
      </w:r>
      <w:r w:rsidR="00A65D55">
        <w:rPr>
          <w:rFonts w:ascii="Times New Roman" w:hAnsi="Times New Roman" w:cs="Times New Roman"/>
        </w:rPr>
        <w:t xml:space="preserve"> The data show</w:t>
      </w:r>
      <w:r w:rsidR="00A67FE3">
        <w:rPr>
          <w:rFonts w:ascii="Times New Roman" w:hAnsi="Times New Roman" w:cs="Times New Roman"/>
        </w:rPr>
        <w:t>ed</w:t>
      </w:r>
      <w:r w:rsidR="00A65D55">
        <w:rPr>
          <w:rFonts w:ascii="Times New Roman" w:hAnsi="Times New Roman" w:cs="Times New Roman"/>
        </w:rPr>
        <w:t xml:space="preserve"> that PGS002660 recorded the highest performance</w:t>
      </w:r>
      <w:r w:rsidR="00A67FE3">
        <w:rPr>
          <w:rFonts w:ascii="Times New Roman" w:hAnsi="Times New Roman" w:cs="Times New Roman"/>
        </w:rPr>
        <w:t xml:space="preserve"> with an R2 OF 0.0</w:t>
      </w:r>
      <w:r w:rsidR="00E008B0">
        <w:rPr>
          <w:rFonts w:ascii="Times New Roman" w:hAnsi="Times New Roman" w:cs="Times New Roman"/>
        </w:rPr>
        <w:t xml:space="preserve">57 and the </w:t>
      </w:r>
      <w:proofErr w:type="spellStart"/>
      <w:r w:rsidR="00E008B0">
        <w:rPr>
          <w:rFonts w:ascii="Times New Roman" w:hAnsi="Times New Roman" w:cs="Times New Roman"/>
        </w:rPr>
        <w:t>PRSmix</w:t>
      </w:r>
      <w:proofErr w:type="spellEnd"/>
      <w:r w:rsidR="00E008B0">
        <w:rPr>
          <w:rFonts w:ascii="Times New Roman" w:hAnsi="Times New Roman" w:cs="Times New Roman"/>
        </w:rPr>
        <w:t xml:space="preserve"> -0.0029</w:t>
      </w:r>
    </w:p>
    <w:p w14:paraId="4FF54565" w14:textId="39F9DED6" w:rsidR="00CF6B90" w:rsidRDefault="005A4048" w:rsidP="00CF6B90">
      <w:pPr>
        <w:rPr>
          <w:rFonts w:ascii="Times New Roman" w:hAnsi="Times New Roman" w:cs="Times New Roman"/>
        </w:rPr>
      </w:pPr>
      <w:r>
        <w:rPr>
          <w:noProof/>
        </w:rPr>
        <w:lastRenderedPageBreak/>
        <w:drawing>
          <wp:inline distT="0" distB="0" distL="0" distR="0" wp14:anchorId="65071148" wp14:editId="2F712896">
            <wp:extent cx="5943600" cy="4151630"/>
            <wp:effectExtent l="0" t="0" r="0" b="1270"/>
            <wp:docPr id="1107729640" name="Picture 5" descr="A graph with blue and 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729640" name="Picture 5" descr="A graph with blue and red bars&#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151630"/>
                    </a:xfrm>
                    <a:prstGeom prst="rect">
                      <a:avLst/>
                    </a:prstGeom>
                    <a:noFill/>
                    <a:ln>
                      <a:noFill/>
                    </a:ln>
                  </pic:spPr>
                </pic:pic>
              </a:graphicData>
            </a:graphic>
          </wp:inline>
        </w:drawing>
      </w:r>
    </w:p>
    <w:p w14:paraId="6BA7230E" w14:textId="56868869" w:rsidR="00CF6B90" w:rsidRDefault="00807044" w:rsidP="00850FC5">
      <w:pPr>
        <w:spacing w:after="0" w:line="360" w:lineRule="auto"/>
        <w:rPr>
          <w:rFonts w:ascii="Times New Roman" w:hAnsi="Times New Roman" w:cs="Times New Roman"/>
          <w:b/>
          <w:bCs/>
        </w:rPr>
      </w:pPr>
      <w:r w:rsidRPr="00120325">
        <w:rPr>
          <w:rFonts w:ascii="Times New Roman" w:hAnsi="Times New Roman" w:cs="Times New Roman"/>
          <w:b/>
          <w:bCs/>
        </w:rPr>
        <w:t xml:space="preserve">Fig. </w:t>
      </w:r>
      <w:r w:rsidR="000F22F7" w:rsidRPr="00120325">
        <w:rPr>
          <w:rFonts w:ascii="Times New Roman" w:hAnsi="Times New Roman" w:cs="Times New Roman"/>
          <w:b/>
          <w:bCs/>
        </w:rPr>
        <w:t>2</w:t>
      </w:r>
      <w:r w:rsidRPr="00120325">
        <w:rPr>
          <w:rFonts w:ascii="Times New Roman" w:hAnsi="Times New Roman" w:cs="Times New Roman"/>
          <w:b/>
          <w:bCs/>
        </w:rPr>
        <w:t xml:space="preserve">: Comparative analysis of predictive performance of single-sourced PRS and integrative PRS using the Elastic net </w:t>
      </w:r>
      <w:r w:rsidR="0051494D" w:rsidRPr="00120325">
        <w:rPr>
          <w:rFonts w:ascii="Times New Roman" w:hAnsi="Times New Roman" w:cs="Times New Roman"/>
          <w:b/>
          <w:bCs/>
        </w:rPr>
        <w:t>regression</w:t>
      </w:r>
      <w:r w:rsidRPr="00120325">
        <w:rPr>
          <w:rFonts w:ascii="Times New Roman" w:hAnsi="Times New Roman" w:cs="Times New Roman"/>
          <w:b/>
          <w:bCs/>
        </w:rPr>
        <w:t xml:space="preserve"> model.</w:t>
      </w:r>
    </w:p>
    <w:p w14:paraId="593219B4" w14:textId="77777777" w:rsidR="00B17366" w:rsidRPr="00120325" w:rsidRDefault="00B17366" w:rsidP="00850FC5">
      <w:pPr>
        <w:spacing w:after="0" w:line="360" w:lineRule="auto"/>
        <w:rPr>
          <w:rFonts w:ascii="Times New Roman" w:hAnsi="Times New Roman" w:cs="Times New Roman"/>
          <w:b/>
          <w:bCs/>
        </w:rPr>
      </w:pPr>
    </w:p>
    <w:p w14:paraId="22D23A25" w14:textId="77777777" w:rsidR="00901295" w:rsidRPr="007C2D50" w:rsidRDefault="00A26749" w:rsidP="00850FC5">
      <w:pPr>
        <w:spacing w:after="0" w:line="360" w:lineRule="auto"/>
        <w:rPr>
          <w:rFonts w:ascii="Times New Roman" w:hAnsi="Times New Roman" w:cs="Times New Roman"/>
        </w:rPr>
      </w:pPr>
      <w:r w:rsidRPr="00AE08E3">
        <w:rPr>
          <w:rFonts w:ascii="Times New Roman" w:hAnsi="Times New Roman" w:cs="Times New Roman"/>
          <w:b/>
          <w:bCs/>
        </w:rPr>
        <w:t>Co</w:t>
      </w:r>
      <w:r w:rsidR="00422C8E" w:rsidRPr="00AE08E3">
        <w:rPr>
          <w:rFonts w:ascii="Times New Roman" w:hAnsi="Times New Roman" w:cs="Times New Roman"/>
          <w:b/>
          <w:bCs/>
        </w:rPr>
        <w:t xml:space="preserve">rrelation </w:t>
      </w:r>
      <w:r w:rsidR="00872A48" w:rsidRPr="00AE08E3">
        <w:rPr>
          <w:rFonts w:ascii="Times New Roman" w:hAnsi="Times New Roman" w:cs="Times New Roman"/>
          <w:b/>
          <w:bCs/>
        </w:rPr>
        <w:t>analysis for the PGS scores</w:t>
      </w:r>
    </w:p>
    <w:p w14:paraId="60A52B7D" w14:textId="57ABCC27" w:rsidR="00A26749" w:rsidRDefault="00901295" w:rsidP="00850FC5">
      <w:pPr>
        <w:spacing w:after="0" w:line="360" w:lineRule="auto"/>
        <w:rPr>
          <w:rFonts w:ascii="Times New Roman" w:hAnsi="Times New Roman" w:cs="Times New Roman"/>
        </w:rPr>
      </w:pPr>
      <w:r w:rsidRPr="007C2D50">
        <w:rPr>
          <w:rFonts w:ascii="Times New Roman" w:hAnsi="Times New Roman" w:cs="Times New Roman"/>
        </w:rPr>
        <w:t xml:space="preserve">Fig. shows the </w:t>
      </w:r>
      <w:r w:rsidR="00961F20" w:rsidRPr="007C2D50">
        <w:rPr>
          <w:rFonts w:ascii="Times New Roman" w:hAnsi="Times New Roman" w:cs="Times New Roman"/>
        </w:rPr>
        <w:t xml:space="preserve">correlation heatmap of the top 10 PGS scores </w:t>
      </w:r>
      <w:r w:rsidR="007C2D50">
        <w:rPr>
          <w:rFonts w:ascii="Times New Roman" w:hAnsi="Times New Roman" w:cs="Times New Roman"/>
        </w:rPr>
        <w:t>used</w:t>
      </w:r>
      <w:r w:rsidR="00961F20" w:rsidRPr="007C2D50">
        <w:rPr>
          <w:rFonts w:ascii="Times New Roman" w:hAnsi="Times New Roman" w:cs="Times New Roman"/>
        </w:rPr>
        <w:t xml:space="preserve"> for the PRS mix analysis.</w:t>
      </w:r>
      <w:r w:rsidR="00850FC5">
        <w:rPr>
          <w:rFonts w:ascii="Times New Roman" w:hAnsi="Times New Roman" w:cs="Times New Roman"/>
        </w:rPr>
        <w:t xml:space="preserve"> The heatmap revealed that the PGS</w:t>
      </w:r>
      <w:r w:rsidR="00392A23">
        <w:rPr>
          <w:rFonts w:ascii="Times New Roman" w:hAnsi="Times New Roman" w:cs="Times New Roman"/>
        </w:rPr>
        <w:t xml:space="preserve">s </w:t>
      </w:r>
      <w:r w:rsidR="00A4768D">
        <w:rPr>
          <w:rFonts w:ascii="Times New Roman" w:hAnsi="Times New Roman" w:cs="Times New Roman"/>
        </w:rPr>
        <w:t xml:space="preserve">were </w:t>
      </w:r>
      <w:r w:rsidR="001C256C">
        <w:rPr>
          <w:rFonts w:ascii="Times New Roman" w:hAnsi="Times New Roman" w:cs="Times New Roman"/>
        </w:rPr>
        <w:t>poorly</w:t>
      </w:r>
      <w:r w:rsidR="00850FC5">
        <w:rPr>
          <w:rFonts w:ascii="Times New Roman" w:hAnsi="Times New Roman" w:cs="Times New Roman"/>
        </w:rPr>
        <w:t xml:space="preserve"> corre</w:t>
      </w:r>
      <w:r w:rsidR="00AF5355">
        <w:rPr>
          <w:rFonts w:ascii="Times New Roman" w:hAnsi="Times New Roman" w:cs="Times New Roman"/>
        </w:rPr>
        <w:t>la</w:t>
      </w:r>
      <w:r w:rsidR="00850FC5">
        <w:rPr>
          <w:rFonts w:ascii="Times New Roman" w:hAnsi="Times New Roman" w:cs="Times New Roman"/>
        </w:rPr>
        <w:t>t</w:t>
      </w:r>
      <w:r w:rsidR="00392A23">
        <w:rPr>
          <w:rFonts w:ascii="Times New Roman" w:hAnsi="Times New Roman" w:cs="Times New Roman"/>
        </w:rPr>
        <w:t>ed</w:t>
      </w:r>
      <w:r w:rsidR="00850FC5">
        <w:rPr>
          <w:rFonts w:ascii="Times New Roman" w:hAnsi="Times New Roman" w:cs="Times New Roman"/>
        </w:rPr>
        <w:t xml:space="preserve"> with SAT</w:t>
      </w:r>
      <w:r w:rsidR="002E1AD8">
        <w:rPr>
          <w:rFonts w:ascii="Times New Roman" w:hAnsi="Times New Roman" w:cs="Times New Roman"/>
        </w:rPr>
        <w:t>.</w:t>
      </w:r>
      <w:r w:rsidR="00562923">
        <w:rPr>
          <w:rFonts w:ascii="Times New Roman" w:hAnsi="Times New Roman" w:cs="Times New Roman"/>
        </w:rPr>
        <w:t xml:space="preserve"> </w:t>
      </w:r>
      <w:r w:rsidR="003D4FFE">
        <w:rPr>
          <w:rFonts w:ascii="Times New Roman" w:hAnsi="Times New Roman" w:cs="Times New Roman"/>
        </w:rPr>
        <w:t>PGS002660 recorded the</w:t>
      </w:r>
      <w:r w:rsidR="002C277A">
        <w:rPr>
          <w:rFonts w:ascii="Times New Roman" w:hAnsi="Times New Roman" w:cs="Times New Roman"/>
        </w:rPr>
        <w:t xml:space="preserve"> highest correlation with SAT</w:t>
      </w:r>
      <w:r w:rsidR="003D4FFE">
        <w:rPr>
          <w:rFonts w:ascii="Times New Roman" w:hAnsi="Times New Roman" w:cs="Times New Roman"/>
        </w:rPr>
        <w:t>,</w:t>
      </w:r>
      <w:r w:rsidR="002C277A">
        <w:rPr>
          <w:rFonts w:ascii="Times New Roman" w:hAnsi="Times New Roman" w:cs="Times New Roman"/>
        </w:rPr>
        <w:t xml:space="preserve"> with a correlation score of 0.19</w:t>
      </w:r>
      <w:r w:rsidR="00A4768D">
        <w:rPr>
          <w:rFonts w:ascii="Times New Roman" w:hAnsi="Times New Roman" w:cs="Times New Roman"/>
        </w:rPr>
        <w:t>,</w:t>
      </w:r>
      <w:r w:rsidR="00392A23">
        <w:rPr>
          <w:rFonts w:ascii="Times New Roman" w:hAnsi="Times New Roman" w:cs="Times New Roman"/>
        </w:rPr>
        <w:t xml:space="preserve"> and PGS</w:t>
      </w:r>
      <w:r w:rsidR="00A4768D">
        <w:rPr>
          <w:rFonts w:ascii="Times New Roman" w:hAnsi="Times New Roman" w:cs="Times New Roman"/>
        </w:rPr>
        <w:t>004583 recorded the poorest correlation coefficient (0.01)</w:t>
      </w:r>
      <w:r w:rsidR="002C277A">
        <w:rPr>
          <w:rFonts w:ascii="Times New Roman" w:hAnsi="Times New Roman" w:cs="Times New Roman"/>
        </w:rPr>
        <w:t xml:space="preserve">. </w:t>
      </w:r>
      <w:r w:rsidR="002E1AD8">
        <w:rPr>
          <w:rFonts w:ascii="Times New Roman" w:hAnsi="Times New Roman" w:cs="Times New Roman"/>
        </w:rPr>
        <w:t xml:space="preserve"> </w:t>
      </w:r>
    </w:p>
    <w:p w14:paraId="2ADF67F0" w14:textId="28D0B767" w:rsidR="00BE335A" w:rsidRPr="00AE08E3" w:rsidRDefault="00BE335A" w:rsidP="00850FC5">
      <w:pPr>
        <w:spacing w:after="0" w:line="360" w:lineRule="auto"/>
        <w:rPr>
          <w:rFonts w:ascii="Times New Roman" w:hAnsi="Times New Roman" w:cs="Times New Roman"/>
          <w:b/>
          <w:bCs/>
        </w:rPr>
      </w:pPr>
      <w:r>
        <w:rPr>
          <w:noProof/>
        </w:rPr>
        <w:lastRenderedPageBreak/>
        <w:drawing>
          <wp:inline distT="0" distB="0" distL="0" distR="0" wp14:anchorId="1E6BF8D2" wp14:editId="63C10A05">
            <wp:extent cx="5943600" cy="5119370"/>
            <wp:effectExtent l="0" t="0" r="0" b="5080"/>
            <wp:docPr id="17568926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119370"/>
                    </a:xfrm>
                    <a:prstGeom prst="rect">
                      <a:avLst/>
                    </a:prstGeom>
                    <a:noFill/>
                    <a:ln>
                      <a:noFill/>
                    </a:ln>
                  </pic:spPr>
                </pic:pic>
              </a:graphicData>
            </a:graphic>
          </wp:inline>
        </w:drawing>
      </w:r>
    </w:p>
    <w:p w14:paraId="21A9596D" w14:textId="2CF59547" w:rsidR="008F17C7" w:rsidRDefault="008F17C7" w:rsidP="008F17C7">
      <w:pPr>
        <w:rPr>
          <w:rFonts w:ascii="Times New Roman" w:hAnsi="Times New Roman" w:cs="Times New Roman"/>
        </w:rPr>
      </w:pPr>
      <w:r>
        <w:rPr>
          <w:rFonts w:ascii="Times New Roman" w:hAnsi="Times New Roman" w:cs="Times New Roman"/>
        </w:rPr>
        <w:t>Fig. 3: Comparative analysis of predictive performance of single-sourced PRS and integrative PRS using the Elastic net regression model.</w:t>
      </w:r>
    </w:p>
    <w:p w14:paraId="364ABA52" w14:textId="5D6B9834" w:rsidR="00004E76" w:rsidRPr="00EE17E4" w:rsidRDefault="00004E76" w:rsidP="003B17D3">
      <w:pPr>
        <w:spacing w:after="0" w:line="360" w:lineRule="auto"/>
        <w:rPr>
          <w:rFonts w:ascii="Times New Roman" w:hAnsi="Times New Roman" w:cs="Times New Roman"/>
          <w:b/>
          <w:bCs/>
        </w:rPr>
      </w:pPr>
    </w:p>
    <w:p w14:paraId="6FB6600F" w14:textId="112D8735" w:rsidR="00004E76" w:rsidRDefault="00EE17E4" w:rsidP="003B17D3">
      <w:pPr>
        <w:spacing w:after="0" w:line="360" w:lineRule="auto"/>
        <w:rPr>
          <w:rFonts w:ascii="Times New Roman" w:hAnsi="Times New Roman" w:cs="Times New Roman"/>
          <w:b/>
          <w:bCs/>
        </w:rPr>
      </w:pPr>
      <w:r w:rsidRPr="00EE17E4">
        <w:rPr>
          <w:rFonts w:ascii="Times New Roman" w:hAnsi="Times New Roman" w:cs="Times New Roman"/>
          <w:b/>
          <w:bCs/>
        </w:rPr>
        <w:t xml:space="preserve">Predictive weights of </w:t>
      </w:r>
      <w:proofErr w:type="spellStart"/>
      <w:r w:rsidRPr="00EE17E4">
        <w:rPr>
          <w:rFonts w:ascii="Times New Roman" w:hAnsi="Times New Roman" w:cs="Times New Roman"/>
          <w:b/>
          <w:bCs/>
        </w:rPr>
        <w:t>PRSmix</w:t>
      </w:r>
      <w:proofErr w:type="spellEnd"/>
      <w:r w:rsidRPr="00EE17E4">
        <w:rPr>
          <w:rFonts w:ascii="Times New Roman" w:hAnsi="Times New Roman" w:cs="Times New Roman"/>
          <w:b/>
          <w:bCs/>
        </w:rPr>
        <w:t xml:space="preserve"> and the individual PGS</w:t>
      </w:r>
    </w:p>
    <w:p w14:paraId="4A3C1D4E" w14:textId="69A39E23" w:rsidR="009A1B16" w:rsidRPr="009A1B16" w:rsidRDefault="009A1B16" w:rsidP="003B17D3">
      <w:pPr>
        <w:spacing w:after="0" w:line="360" w:lineRule="auto"/>
        <w:rPr>
          <w:rFonts w:ascii="Times New Roman" w:hAnsi="Times New Roman" w:cs="Times New Roman"/>
        </w:rPr>
      </w:pPr>
      <w:r w:rsidRPr="009A1B16">
        <w:rPr>
          <w:rFonts w:ascii="Times New Roman" w:hAnsi="Times New Roman" w:cs="Times New Roman"/>
        </w:rPr>
        <w:t xml:space="preserve">Figure 4 shows the predictive weights of the </w:t>
      </w:r>
      <w:r w:rsidR="00DB3156">
        <w:rPr>
          <w:rFonts w:ascii="Times New Roman" w:hAnsi="Times New Roman" w:cs="Times New Roman"/>
        </w:rPr>
        <w:t>performance of the individual PRS</w:t>
      </w:r>
      <w:r w:rsidR="003B17D3">
        <w:rPr>
          <w:rFonts w:ascii="Times New Roman" w:hAnsi="Times New Roman" w:cs="Times New Roman"/>
        </w:rPr>
        <w:t>.</w:t>
      </w:r>
      <w:r w:rsidR="006F62F2">
        <w:rPr>
          <w:rFonts w:ascii="Times New Roman" w:hAnsi="Times New Roman" w:cs="Times New Roman"/>
        </w:rPr>
        <w:t xml:space="preserve"> </w:t>
      </w:r>
      <w:proofErr w:type="gramStart"/>
      <w:r w:rsidR="006F62F2">
        <w:rPr>
          <w:rFonts w:ascii="Times New Roman" w:hAnsi="Times New Roman" w:cs="Times New Roman"/>
        </w:rPr>
        <w:t>Whiles</w:t>
      </w:r>
      <w:proofErr w:type="gramEnd"/>
      <w:r w:rsidR="006F62F2">
        <w:rPr>
          <w:rFonts w:ascii="Times New Roman" w:hAnsi="Times New Roman" w:cs="Times New Roman"/>
        </w:rPr>
        <w:t xml:space="preserve"> all the PGS had a positive weight, PGS004584 recorded a negative weight.</w:t>
      </w:r>
    </w:p>
    <w:p w14:paraId="472E8F48" w14:textId="059FAE5F" w:rsidR="00004E76" w:rsidRDefault="00004E76" w:rsidP="00004E76">
      <w:pPr>
        <w:rPr>
          <w:rFonts w:ascii="Times New Roman" w:hAnsi="Times New Roman" w:cs="Times New Roman"/>
        </w:rPr>
      </w:pPr>
    </w:p>
    <w:p w14:paraId="00656F03" w14:textId="77777777" w:rsidR="00103BEA" w:rsidRDefault="00103BEA" w:rsidP="00004E76">
      <w:pPr>
        <w:rPr>
          <w:rFonts w:ascii="Times New Roman" w:hAnsi="Times New Roman" w:cs="Times New Roman"/>
        </w:rPr>
      </w:pPr>
    </w:p>
    <w:p w14:paraId="2EA2356A" w14:textId="4E60845B" w:rsidR="00004E76" w:rsidRDefault="00004E76" w:rsidP="00004E76">
      <w:pPr>
        <w:rPr>
          <w:rFonts w:ascii="Times New Roman" w:hAnsi="Times New Roman" w:cs="Times New Roman"/>
        </w:rPr>
      </w:pPr>
      <w:r>
        <w:rPr>
          <w:rFonts w:ascii="Arial" w:hAnsi="Arial" w:cs="Arial"/>
          <w:noProof/>
          <w:color w:val="000000"/>
          <w:sz w:val="22"/>
          <w:szCs w:val="22"/>
          <w:bdr w:val="none" w:sz="0" w:space="0" w:color="auto" w:frame="1"/>
        </w:rPr>
        <w:lastRenderedPageBreak/>
        <w:drawing>
          <wp:inline distT="0" distB="0" distL="0" distR="0" wp14:anchorId="4FCD2707" wp14:editId="730EA14F">
            <wp:extent cx="5943600" cy="3492500"/>
            <wp:effectExtent l="0" t="0" r="0" b="0"/>
            <wp:docPr id="649089775" name="Picture 3" descr="A graph of weight lo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089775" name="Picture 3" descr="A graph of weight loss&#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92500"/>
                    </a:xfrm>
                    <a:prstGeom prst="rect">
                      <a:avLst/>
                    </a:prstGeom>
                    <a:noFill/>
                    <a:ln>
                      <a:noFill/>
                    </a:ln>
                  </pic:spPr>
                </pic:pic>
              </a:graphicData>
            </a:graphic>
          </wp:inline>
        </w:drawing>
      </w:r>
    </w:p>
    <w:p w14:paraId="50997BE1" w14:textId="7014D45E" w:rsidR="00103BEA" w:rsidRDefault="00103BEA" w:rsidP="00103BEA">
      <w:pPr>
        <w:rPr>
          <w:rFonts w:ascii="Times New Roman" w:hAnsi="Times New Roman" w:cs="Times New Roman"/>
        </w:rPr>
      </w:pPr>
      <w:r>
        <w:rPr>
          <w:rFonts w:ascii="Times New Roman" w:hAnsi="Times New Roman" w:cs="Times New Roman"/>
        </w:rPr>
        <w:t xml:space="preserve">Fig. </w:t>
      </w:r>
      <w:r w:rsidR="0027746B">
        <w:rPr>
          <w:rFonts w:ascii="Times New Roman" w:hAnsi="Times New Roman" w:cs="Times New Roman"/>
        </w:rPr>
        <w:t>4</w:t>
      </w:r>
      <w:r>
        <w:rPr>
          <w:rFonts w:ascii="Times New Roman" w:hAnsi="Times New Roman" w:cs="Times New Roman"/>
        </w:rPr>
        <w:t xml:space="preserve">: Comparative analysis of predictive </w:t>
      </w:r>
      <w:r w:rsidR="0027746B">
        <w:rPr>
          <w:rFonts w:ascii="Times New Roman" w:hAnsi="Times New Roman" w:cs="Times New Roman"/>
        </w:rPr>
        <w:t xml:space="preserve">weights </w:t>
      </w:r>
      <w:r>
        <w:rPr>
          <w:rFonts w:ascii="Times New Roman" w:hAnsi="Times New Roman" w:cs="Times New Roman"/>
        </w:rPr>
        <w:t>of single-sourced PRS and integrative PRS using the Elastic net regression model.</w:t>
      </w:r>
    </w:p>
    <w:p w14:paraId="18A0E7CD" w14:textId="77777777" w:rsidR="00103BEA" w:rsidRDefault="00103BEA" w:rsidP="006E3057">
      <w:pPr>
        <w:spacing w:after="0" w:line="360" w:lineRule="auto"/>
        <w:jc w:val="both"/>
        <w:rPr>
          <w:rFonts w:ascii="Times New Roman" w:hAnsi="Times New Roman" w:cs="Times New Roman"/>
          <w:b/>
          <w:bCs/>
        </w:rPr>
      </w:pPr>
    </w:p>
    <w:p w14:paraId="2C07F27E" w14:textId="291EAB5D" w:rsidR="000E2A6F" w:rsidRPr="00E536B7" w:rsidRDefault="000E2A6F" w:rsidP="006E3057">
      <w:pPr>
        <w:spacing w:after="0" w:line="360" w:lineRule="auto"/>
        <w:jc w:val="both"/>
        <w:rPr>
          <w:rFonts w:ascii="Times New Roman" w:hAnsi="Times New Roman" w:cs="Times New Roman"/>
          <w:b/>
          <w:bCs/>
        </w:rPr>
      </w:pPr>
      <w:r w:rsidRPr="00E536B7">
        <w:rPr>
          <w:rFonts w:ascii="Times New Roman" w:hAnsi="Times New Roman" w:cs="Times New Roman"/>
          <w:b/>
          <w:bCs/>
        </w:rPr>
        <w:t xml:space="preserve">Discussion </w:t>
      </w:r>
    </w:p>
    <w:p w14:paraId="42494F3E" w14:textId="7B1E8BDE" w:rsidR="004F01C1" w:rsidRPr="00E536B7" w:rsidRDefault="006F41FD" w:rsidP="006E3057">
      <w:pPr>
        <w:spacing w:after="0" w:line="360" w:lineRule="auto"/>
        <w:jc w:val="both"/>
        <w:rPr>
          <w:rFonts w:ascii="Times New Roman" w:hAnsi="Times New Roman" w:cs="Times New Roman"/>
        </w:rPr>
      </w:pPr>
      <w:r w:rsidRPr="00E536B7">
        <w:rPr>
          <w:rFonts w:ascii="Times New Roman" w:hAnsi="Times New Roman" w:cs="Times New Roman"/>
        </w:rPr>
        <w:t xml:space="preserve">We set out to examine the predictive performance of </w:t>
      </w:r>
      <w:r w:rsidR="00A81E38" w:rsidRPr="00E536B7">
        <w:rPr>
          <w:rFonts w:ascii="Times New Roman" w:hAnsi="Times New Roman" w:cs="Times New Roman"/>
        </w:rPr>
        <w:t xml:space="preserve">integrative </w:t>
      </w:r>
      <w:r w:rsidRPr="00E536B7">
        <w:rPr>
          <w:rFonts w:ascii="Times New Roman" w:hAnsi="Times New Roman" w:cs="Times New Roman"/>
        </w:rPr>
        <w:t>PR</w:t>
      </w:r>
      <w:r w:rsidR="008F6E61" w:rsidRPr="00E536B7">
        <w:rPr>
          <w:rFonts w:ascii="Times New Roman" w:hAnsi="Times New Roman" w:cs="Times New Roman"/>
        </w:rPr>
        <w:t>S</w:t>
      </w:r>
      <w:r w:rsidR="00A81E38" w:rsidRPr="00E536B7">
        <w:rPr>
          <w:rFonts w:ascii="Times New Roman" w:hAnsi="Times New Roman" w:cs="Times New Roman"/>
        </w:rPr>
        <w:t xml:space="preserve"> and </w:t>
      </w:r>
      <w:r w:rsidR="001A3FB5" w:rsidRPr="00E536B7">
        <w:rPr>
          <w:rFonts w:ascii="Times New Roman" w:hAnsi="Times New Roman" w:cs="Times New Roman"/>
        </w:rPr>
        <w:t>single-sourced</w:t>
      </w:r>
      <w:r w:rsidR="00A81E38" w:rsidRPr="00E536B7">
        <w:rPr>
          <w:rFonts w:ascii="Times New Roman" w:hAnsi="Times New Roman" w:cs="Times New Roman"/>
        </w:rPr>
        <w:t xml:space="preserve"> PRS</w:t>
      </w:r>
      <w:r w:rsidR="001A3FB5" w:rsidRPr="00E536B7">
        <w:rPr>
          <w:rFonts w:ascii="Times New Roman" w:hAnsi="Times New Roman" w:cs="Times New Roman"/>
        </w:rPr>
        <w:t xml:space="preserve"> </w:t>
      </w:r>
      <w:r w:rsidR="00900B3E" w:rsidRPr="00E536B7">
        <w:rPr>
          <w:rFonts w:ascii="Times New Roman" w:hAnsi="Times New Roman" w:cs="Times New Roman"/>
        </w:rPr>
        <w:t>in</w:t>
      </w:r>
      <w:r w:rsidR="001A3FB5" w:rsidRPr="00E536B7">
        <w:rPr>
          <w:rFonts w:ascii="Times New Roman" w:hAnsi="Times New Roman" w:cs="Times New Roman"/>
        </w:rPr>
        <w:t xml:space="preserve"> predicting SAT levels </w:t>
      </w:r>
      <w:r w:rsidR="008C76CD" w:rsidRPr="00E536B7">
        <w:rPr>
          <w:rFonts w:ascii="Times New Roman" w:hAnsi="Times New Roman" w:cs="Times New Roman"/>
        </w:rPr>
        <w:t>in an</w:t>
      </w:r>
      <w:r w:rsidR="001A3FB5" w:rsidRPr="00E536B7">
        <w:rPr>
          <w:rFonts w:ascii="Times New Roman" w:hAnsi="Times New Roman" w:cs="Times New Roman"/>
        </w:rPr>
        <w:t xml:space="preserve"> </w:t>
      </w:r>
      <w:r w:rsidR="00900B3E" w:rsidRPr="00E536B7">
        <w:rPr>
          <w:rFonts w:ascii="Times New Roman" w:hAnsi="Times New Roman" w:cs="Times New Roman"/>
        </w:rPr>
        <w:t>African</w:t>
      </w:r>
      <w:r w:rsidR="001A3FB5" w:rsidRPr="00E536B7">
        <w:rPr>
          <w:rFonts w:ascii="Times New Roman" w:hAnsi="Times New Roman" w:cs="Times New Roman"/>
        </w:rPr>
        <w:t xml:space="preserve"> population.</w:t>
      </w:r>
      <w:r w:rsidR="004F01C1" w:rsidRPr="00E536B7">
        <w:rPr>
          <w:rFonts w:ascii="Times New Roman" w:hAnsi="Times New Roman" w:cs="Times New Roman"/>
        </w:rPr>
        <w:t xml:space="preserve"> Variations in SAT distribution and volume are strongly influenced by genetic factors and are implicated in a range of cardiometabolic outcomes, including obesity, insulin resistance, and cardiovascular disease </w:t>
      </w:r>
      <w:r w:rsidR="004F01C1" w:rsidRPr="00E536B7">
        <w:rPr>
          <w:rFonts w:ascii="Times New Roman" w:hAnsi="Times New Roman" w:cs="Times New Roman"/>
        </w:rPr>
        <w:fldChar w:fldCharType="begin" w:fldLock="1"/>
      </w:r>
      <w:r w:rsidR="004F01C1" w:rsidRPr="00E536B7">
        <w:rPr>
          <w:rFonts w:ascii="Times New Roman" w:hAnsi="Times New Roman" w:cs="Times New Roman"/>
        </w:rPr>
        <w:instrText>ADDIN CSL_CITATION {"citationItems":[{"id":"ITEM-1","itemData":{"DOI":"10.1111/dom.13641","ISBN":"1047951118","abstract":"Background and Aims—Cardiovascular disease (CVD) is among the leading causes of morbidity and mortality worldwide. Traditional risk factors predict 75-80% of an individual's risk of incident CVD. However, the role of early life experiences in future disease risk is gaining attention. The Barker hypothesis proposes fetal origins of adult disease, with consistent evidence demonstrating the deleterious consequences of birth weight outside the normal range. In this study, we investigate the role of birth weight in CVD risk prediction. Methods and Results—The Women's Health Initiative (WHI) represents a large national cohort of post-menopausal women with 63 815 participants included in this analysis. Univariable proportional hazards regression analyses evaluated the association of 4 self-reported birth weight categories against 3 CVD outcome definitions, which included indicators of coronary heart disease, ischemic stroke, coronary revascularization, carotid artery disease and peripheral arterial disease. The role of birth weight was also evaluated for prediction of CVD events in the presence of traditional risk factors using 3 existing CVD risk prediction equations: one body mass index (BMI)-based and two laboratory-based models. Low birth weight (LBW) (&lt; 6 lbs.) was significantly associated with all CVD outcome definitions in univariable analyses (HR=1.086, p=0.009). LBW was a significant covariate in the BMI-based model (HR=1.128, p&lt;0.0001) but not in the lipid-based models. Conclusion—LBW (&lt;6 lbs.) is independently associated with CVD outcomes in the WHI cohort. This finding supports the role of the prenatal and postnatal environment in contributing to the development of adult chronic disease.","author":[{"dropping-particle":"","family":"Sanghera","given":"K. D.","non-dropping-particle":"","parse-names":false,"suffix":""},{"dropping-particle":"","family":"Bejar","given":"C.","non-dropping-particle":"","parse-names":false,"suffix":""},{"dropping-particle":"","family":"Sharma","given":"S.","non-dropping-particle":"","parse-names":false,"suffix":""},{"dropping-particle":"","family":"Gupta","given":"R.","non-dropping-particle":"","parse-names":false,"suffix":""},{"dropping-particle":"","family":"Blackett","given":"R. P.","non-dropping-particle":"","parse-names":false,"suffix":""}],"container-title":"Physiology &amp; behavior","id":"ITEM-1","issue":"5","issued":{"date-parts":[["2019"]]},"page":"1088–1100","title":"Obesity genetics and cardiometabolic health: potential for risk prediction","type":"article-journal","volume":"21"},"uris":["http://www.mendeley.com/documents/?uuid=84ca6174-2d70-4b8c-8598-b4b4d1f66316"]},{"id":"ITEM-2","itemData":{"DOI":"10.3390/ijms26073233","ISSN":"14220067","abstract":"Cold exposure is a regulatory biological functions in animals. The interaction of thermogenesis and energy metabolism in brown adipose tissue (BAT) is important for metabolic regulation in cold stress. Brown adipocytes (BAs) produce uncoupling protein 1 (UCP1) in mitochondria, activating non-shivering thermogenesis (NST) by uncoupling fuel combustion from ATP production in response to cold stimuli. To elucidate the mechanisms underlying thermogenesis and energy metabolism in BAT under cold stress, we explored how cold exposure triggers the activation of BAT thermogenesis and regulates overall energy metabolism. First, we briefly outline the precursor composition and function of BA. Second, we explore the roles of the cAMP- protein kinase A (PKA) and adenosine monophosphate-activated protein kinase (AMPK) signaling pathways in thermogenesis and energy metabolism in BA during cold stress. Then, we analyze the mechanism by which BA regulates mitochondria homeostasis and energy balance during cold stress. This research reveals potential therapeutic targets, such as PKA, AMPK, UCP1 and PGC-1α, which can be used to develop innovative strategies for treating metabolic diseases. Furthermore, it provides theoretical support for optimizing cold stress response strategies, including the pharmacological activation of BAT and the genetic modulation of thermogenic pathways, to improve energy homeostasis in livestock.","author":[{"dropping-particle":"","family":"Zhang","given":"Xuekai","non-dropping-particle":"","parse-names":false,"suffix":""},{"dropping-particle":"","family":"Xiao","given":"Jin","non-dropping-particle":"","parse-names":false,"suffix":""},{"dropping-particle":"","family":"Jiang","given":"Min","non-dropping-particle":"","parse-names":false,"suffix":""},{"dropping-particle":"","family":"Phillips","given":"Clive J.C.","non-dropping-particle":"","parse-names":false,"suffix":""},{"dropping-particle":"","family":"Shi","given":"Binlin","non-dropping-particle":"","parse-names":false,"suffix":""}],"container-title":"International Journal of Molecular Sciences","id":"ITEM-2","issue":"7","issued":{"date-parts":[["2025"]]},"page":"1-23","title":"Thermogenesis and Energy Metabolism in Brown Adipose Tissue in Animals Experiencing Cold Stress","type":"article-journal","volume":"26"},"uris":["http://www.mendeley.com/documents/?uuid=7035bfc7-82ab-4679-b70f-43b899f167d0"]}],"mendeley":{"formattedCitation":"(Sanghera et al., 2019; Zhang et al., 2025)","plainTextFormattedCitation":"(Sanghera et al., 2019; Zhang et al., 2025)","previouslyFormattedCitation":"(Sanghera et al., 2019; Zhang et al., 2025)"},"properties":{"noteIndex":0},"schema":"https://github.com/citation-style-language/schema/raw/master/csl-citation.json"}</w:instrText>
      </w:r>
      <w:r w:rsidR="004F01C1" w:rsidRPr="00E536B7">
        <w:rPr>
          <w:rFonts w:ascii="Times New Roman" w:hAnsi="Times New Roman" w:cs="Times New Roman"/>
        </w:rPr>
        <w:fldChar w:fldCharType="separate"/>
      </w:r>
      <w:r w:rsidR="004F01C1" w:rsidRPr="00E536B7">
        <w:rPr>
          <w:rFonts w:ascii="Times New Roman" w:hAnsi="Times New Roman" w:cs="Times New Roman"/>
          <w:noProof/>
        </w:rPr>
        <w:t>(Sanghera et al., 2019; Zhang et al., 2025)</w:t>
      </w:r>
      <w:r w:rsidR="004F01C1" w:rsidRPr="00E536B7">
        <w:rPr>
          <w:rFonts w:ascii="Times New Roman" w:hAnsi="Times New Roman" w:cs="Times New Roman"/>
        </w:rPr>
        <w:fldChar w:fldCharType="end"/>
      </w:r>
      <w:r w:rsidR="004F01C1" w:rsidRPr="00E536B7">
        <w:rPr>
          <w:rFonts w:ascii="Times New Roman" w:hAnsi="Times New Roman" w:cs="Times New Roman"/>
        </w:rPr>
        <w:t>. Understanding the genetic architecture underlying the SAT is therefore vital for both biological insight and risk stratification in metabolic disorders.</w:t>
      </w:r>
      <w:r w:rsidR="006E3057" w:rsidRPr="00E536B7">
        <w:rPr>
          <w:rFonts w:ascii="Times New Roman" w:hAnsi="Times New Roman" w:cs="Times New Roman"/>
        </w:rPr>
        <w:t xml:space="preserve"> Despite the growing availability and sophistication of PRS tools, limited work has systematically evaluated whether integrative methods provide meaningful improvements over single-source approaches in predicting SAT traits. </w:t>
      </w:r>
    </w:p>
    <w:p w14:paraId="45F630A2" w14:textId="1A98293E" w:rsidR="004C4011" w:rsidRDefault="004C4011" w:rsidP="00D552A8">
      <w:pPr>
        <w:spacing w:after="0" w:line="360" w:lineRule="auto"/>
        <w:jc w:val="both"/>
        <w:rPr>
          <w:rFonts w:ascii="Times New Roman" w:hAnsi="Times New Roman" w:cs="Times New Roman"/>
        </w:rPr>
      </w:pPr>
      <w:r w:rsidRPr="00E536B7">
        <w:rPr>
          <w:rFonts w:ascii="Times New Roman" w:hAnsi="Times New Roman" w:cs="Times New Roman"/>
        </w:rPr>
        <w:t xml:space="preserve">This study found that </w:t>
      </w:r>
      <w:r w:rsidR="003E08B6" w:rsidRPr="00E536B7">
        <w:rPr>
          <w:rFonts w:ascii="Times New Roman" w:hAnsi="Times New Roman" w:cs="Times New Roman"/>
        </w:rPr>
        <w:t xml:space="preserve">the PGS scores were poorly </w:t>
      </w:r>
      <w:r w:rsidR="00236327" w:rsidRPr="00E536B7">
        <w:rPr>
          <w:rFonts w:ascii="Times New Roman" w:hAnsi="Times New Roman" w:cs="Times New Roman"/>
        </w:rPr>
        <w:t>correlated</w:t>
      </w:r>
      <w:r w:rsidR="003E08B6" w:rsidRPr="00E536B7">
        <w:rPr>
          <w:rFonts w:ascii="Times New Roman" w:hAnsi="Times New Roman" w:cs="Times New Roman"/>
        </w:rPr>
        <w:t xml:space="preserve"> with the SAT level</w:t>
      </w:r>
      <w:r w:rsidR="00236327" w:rsidRPr="00E536B7">
        <w:rPr>
          <w:rFonts w:ascii="Times New Roman" w:hAnsi="Times New Roman" w:cs="Times New Roman"/>
        </w:rPr>
        <w:t>.</w:t>
      </w:r>
      <w:r w:rsidR="008E5ABF" w:rsidRPr="00E536B7">
        <w:rPr>
          <w:rFonts w:ascii="Times New Roman" w:hAnsi="Times New Roman" w:cs="Times New Roman"/>
        </w:rPr>
        <w:t xml:space="preserve"> </w:t>
      </w:r>
      <w:r w:rsidR="00534A41" w:rsidRPr="00E536B7">
        <w:rPr>
          <w:rFonts w:ascii="Times New Roman" w:hAnsi="Times New Roman" w:cs="Times New Roman"/>
        </w:rPr>
        <w:t xml:space="preserve">This is contrary to the reported literature. </w:t>
      </w:r>
      <w:r w:rsidR="00D552A8" w:rsidRPr="00E536B7">
        <w:rPr>
          <w:rFonts w:ascii="Times New Roman" w:hAnsi="Times New Roman" w:cs="Times New Roman"/>
        </w:rPr>
        <w:t>In</w:t>
      </w:r>
      <w:r w:rsidR="00870463" w:rsidRPr="00E536B7">
        <w:rPr>
          <w:rFonts w:ascii="Times New Roman" w:hAnsi="Times New Roman" w:cs="Times New Roman"/>
        </w:rPr>
        <w:t xml:space="preserve"> </w:t>
      </w:r>
      <w:r w:rsidR="009A400E" w:rsidRPr="00E536B7">
        <w:rPr>
          <w:rFonts w:ascii="Times New Roman" w:hAnsi="Times New Roman" w:cs="Times New Roman"/>
        </w:rPr>
        <w:t xml:space="preserve">a </w:t>
      </w:r>
      <w:r w:rsidR="00870463" w:rsidRPr="00E536B7">
        <w:rPr>
          <w:rFonts w:ascii="Times New Roman" w:hAnsi="Times New Roman" w:cs="Times New Roman"/>
        </w:rPr>
        <w:t>cross-sectional</w:t>
      </w:r>
      <w:r w:rsidR="00D552A8" w:rsidRPr="00E536B7">
        <w:rPr>
          <w:rFonts w:ascii="Times New Roman" w:hAnsi="Times New Roman" w:cs="Times New Roman"/>
        </w:rPr>
        <w:t xml:space="preserve"> study by</w:t>
      </w:r>
      <w:r w:rsidR="00870463" w:rsidRPr="00E536B7">
        <w:rPr>
          <w:rFonts w:ascii="Times New Roman" w:hAnsi="Times New Roman" w:cs="Times New Roman"/>
        </w:rPr>
        <w:t xml:space="preserve"> </w:t>
      </w:r>
      <w:r w:rsidR="00CB7ED9" w:rsidRPr="00E536B7">
        <w:rPr>
          <w:rFonts w:ascii="Times New Roman" w:hAnsi="Times New Roman" w:cs="Times New Roman"/>
        </w:rPr>
        <w:fldChar w:fldCharType="begin" w:fldLock="1"/>
      </w:r>
      <w:r w:rsidR="003F6CBC">
        <w:rPr>
          <w:rFonts w:ascii="Times New Roman" w:hAnsi="Times New Roman" w:cs="Times New Roman"/>
        </w:rPr>
        <w:instrText>ADDIN CSL_CITATION {"citationItems":[{"id":"ITEM-1","itemData":{"DOI":"10.1002/oby.22294","ISSN":"1930739X","PMID":"30260089","abstract":"Objective: This study was undertaken to investigate the associations of platelet indices with body fat, including body fat mass and fat distribution. Methods: A total of 3,327 individuals aged 18 to 80 were enrolled. Body fat was assessed by dual-energy x-ray absorptiometry. Blood samples were collected to measure platelet indices (platelet count [PLT], plateletcrit [PCT], mean platelet volume, platelet distribution width, and platelet large cell ratio). Adjusted multivariate linear regression models were used to identify the associations of platelet indices with body fat. Results: PLT was positively associated with BMI, waist circumference, waist-hip ratio, total fat mass percentage, trunk fat mass percentage, android fat mass percentage, and android to gynoid fat ratio but negatively associated with gynoid fat mass percentage, total lean mass percentage, and skeletal muscle mass index. Similar associations were found between PCT and body fat. However, no significant associations were found between the other three platelet indices and body fat. Conclusions: Both PLT and PCT were associated with body fat, and the associations depended on fat location. Because PCT is mainly influenced by PLT, these associations suggest that platelet quantity is more closely related to body fat mass and fat distribution.","author":[{"dropping-particle":"","family":"Han","given":"Shuang","non-dropping-particle":"","parse-names":false,"suffix":""},{"dropping-particle":"","family":"Gan","given":"Da","non-dropping-particle":"","parse-names":false,"suffix":""},{"dropping-particle":"","family":"Wang","given":"Guowei","non-dropping-particle":"","parse-names":false,"suffix":""},{"dropping-particle":"","family":"Ru","given":"Yuan","non-dropping-particle":"","parse-names":false,"suffix":""},{"dropping-particle":"","family":"Huang","given":"Chao","non-dropping-particle":"","parse-names":false,"suffix":""},{"dropping-particle":"","family":"Lin","given":"Jie","non-dropping-particle":"","parse-names":false,"suffix":""},{"dropping-particle":"","family":"Zhang","given":"Liang","non-dropping-particle":"","parse-names":false,"suffix":""},{"dropping-particle":"","family":"Meng","given":"Zhuoxian","non-dropping-particle":"","parse-names":false,"suffix":""},{"dropping-particle":"","family":"Zhu","given":"Shankuan","non-dropping-particle":"","parse-names":false,"suffix":""}],"container-title":"Obesity","id":"ITEM-1","issue":"10","issued":{"date-parts":[["2018"]]},"page":"1637-1643","title":"Associations of Platelet Indices with Body Fat Mass and Fat Distribution","type":"article-journal","volume":"26"},"uris":["http://www.mendeley.com/documents/?uuid=038a6b13-d51b-4dfe-8977-f0c931ddb12a"]}],"mendeley":{"formattedCitation":"(Han et al., 2018)","manualFormatting":"Han et al., (2018)","plainTextFormattedCitation":"(Han et al., 2018)","previouslyFormattedCitation":"(Han et al., 2018)"},"properties":{"noteIndex":0},"schema":"https://github.com/citation-style-language/schema/raw/master/csl-citation.json"}</w:instrText>
      </w:r>
      <w:r w:rsidR="00CB7ED9" w:rsidRPr="00E536B7">
        <w:rPr>
          <w:rFonts w:ascii="Times New Roman" w:hAnsi="Times New Roman" w:cs="Times New Roman"/>
        </w:rPr>
        <w:fldChar w:fldCharType="separate"/>
      </w:r>
      <w:r w:rsidR="00CB7ED9" w:rsidRPr="00E536B7">
        <w:rPr>
          <w:rFonts w:ascii="Times New Roman" w:hAnsi="Times New Roman" w:cs="Times New Roman"/>
          <w:noProof/>
        </w:rPr>
        <w:t>Han et al., (2018)</w:t>
      </w:r>
      <w:r w:rsidR="00CB7ED9" w:rsidRPr="00E536B7">
        <w:rPr>
          <w:rFonts w:ascii="Times New Roman" w:hAnsi="Times New Roman" w:cs="Times New Roman"/>
        </w:rPr>
        <w:fldChar w:fldCharType="end"/>
      </w:r>
      <w:r w:rsidR="008F525E">
        <w:rPr>
          <w:rFonts w:ascii="Times New Roman" w:hAnsi="Times New Roman" w:cs="Times New Roman"/>
        </w:rPr>
        <w:t xml:space="preserve"> </w:t>
      </w:r>
      <w:r w:rsidR="00870463" w:rsidRPr="00E536B7">
        <w:rPr>
          <w:rFonts w:ascii="Times New Roman" w:hAnsi="Times New Roman" w:cs="Times New Roman"/>
        </w:rPr>
        <w:t>b</w:t>
      </w:r>
      <w:r w:rsidR="00D552A8" w:rsidRPr="00E536B7">
        <w:rPr>
          <w:rFonts w:ascii="Times New Roman" w:hAnsi="Times New Roman" w:cs="Times New Roman"/>
        </w:rPr>
        <w:t xml:space="preserve">oth </w:t>
      </w:r>
      <w:r w:rsidR="008F525E">
        <w:rPr>
          <w:rFonts w:ascii="Times New Roman" w:hAnsi="Times New Roman" w:cs="Times New Roman"/>
        </w:rPr>
        <w:t>platelet count (</w:t>
      </w:r>
      <w:r w:rsidR="00D552A8" w:rsidRPr="00E536B7">
        <w:rPr>
          <w:rFonts w:ascii="Times New Roman" w:hAnsi="Times New Roman" w:cs="Times New Roman"/>
        </w:rPr>
        <w:t>PLT</w:t>
      </w:r>
      <w:r w:rsidR="008F525E">
        <w:rPr>
          <w:rFonts w:ascii="Times New Roman" w:hAnsi="Times New Roman" w:cs="Times New Roman"/>
        </w:rPr>
        <w:t>)</w:t>
      </w:r>
      <w:r w:rsidR="00D552A8" w:rsidRPr="00E536B7">
        <w:rPr>
          <w:rFonts w:ascii="Times New Roman" w:hAnsi="Times New Roman" w:cs="Times New Roman"/>
        </w:rPr>
        <w:t xml:space="preserve"> and </w:t>
      </w:r>
      <w:r w:rsidR="008F525E">
        <w:rPr>
          <w:rFonts w:ascii="Times New Roman" w:hAnsi="Times New Roman" w:cs="Times New Roman"/>
        </w:rPr>
        <w:t xml:space="preserve">platelet crit </w:t>
      </w:r>
      <w:r w:rsidR="00D552A8" w:rsidRPr="00E536B7">
        <w:rPr>
          <w:rFonts w:ascii="Times New Roman" w:hAnsi="Times New Roman" w:cs="Times New Roman"/>
        </w:rPr>
        <w:t>PCT were associated with body fat, and the associations depended on fat location.</w:t>
      </w:r>
      <w:r w:rsidR="00870463" w:rsidRPr="00E536B7">
        <w:rPr>
          <w:rFonts w:ascii="Times New Roman" w:hAnsi="Times New Roman" w:cs="Times New Roman"/>
        </w:rPr>
        <w:t xml:space="preserve"> </w:t>
      </w:r>
      <w:r w:rsidR="00D552A8" w:rsidRPr="00D552A8">
        <w:rPr>
          <w:rFonts w:ascii="Times New Roman" w:hAnsi="Times New Roman" w:cs="Times New Roman"/>
        </w:rPr>
        <w:t>Because PCT is mainly influenced by PLT, these associations suggest that platelet quantity is more closely related to</w:t>
      </w:r>
      <w:r w:rsidR="00870463" w:rsidRPr="00E536B7">
        <w:rPr>
          <w:rFonts w:ascii="Times New Roman" w:hAnsi="Times New Roman" w:cs="Times New Roman"/>
        </w:rPr>
        <w:t xml:space="preserve"> </w:t>
      </w:r>
      <w:r w:rsidR="00D552A8" w:rsidRPr="00E536B7">
        <w:rPr>
          <w:rFonts w:ascii="Times New Roman" w:hAnsi="Times New Roman" w:cs="Times New Roman"/>
        </w:rPr>
        <w:t>body fat mass and fat distribution</w:t>
      </w:r>
      <w:r w:rsidR="00CF3652">
        <w:rPr>
          <w:rFonts w:ascii="Times New Roman" w:hAnsi="Times New Roman" w:cs="Times New Roman"/>
        </w:rPr>
        <w:t>.</w:t>
      </w:r>
    </w:p>
    <w:p w14:paraId="40AA57F7" w14:textId="127AA97C" w:rsidR="00BB2C1B" w:rsidRDefault="00BB2C1B" w:rsidP="00D552A8">
      <w:pPr>
        <w:spacing w:after="0" w:line="360" w:lineRule="auto"/>
        <w:jc w:val="both"/>
        <w:rPr>
          <w:rFonts w:ascii="Times New Roman" w:hAnsi="Times New Roman" w:cs="Times New Roman"/>
        </w:rPr>
      </w:pPr>
      <w:r>
        <w:rPr>
          <w:rFonts w:ascii="Times New Roman" w:hAnsi="Times New Roman" w:cs="Times New Roman"/>
        </w:rPr>
        <w:lastRenderedPageBreak/>
        <w:t xml:space="preserve">The analysis revealed that the </w:t>
      </w:r>
      <w:proofErr w:type="spellStart"/>
      <w:r>
        <w:rPr>
          <w:rFonts w:ascii="Times New Roman" w:hAnsi="Times New Roman" w:cs="Times New Roman"/>
        </w:rPr>
        <w:t>PRSmix</w:t>
      </w:r>
      <w:proofErr w:type="spellEnd"/>
      <w:r>
        <w:rPr>
          <w:rFonts w:ascii="Times New Roman" w:hAnsi="Times New Roman" w:cs="Times New Roman"/>
        </w:rPr>
        <w:t xml:space="preserve"> using the elastic net regression for </w:t>
      </w:r>
      <w:r w:rsidR="001B75D8">
        <w:rPr>
          <w:rFonts w:ascii="Times New Roman" w:hAnsi="Times New Roman" w:cs="Times New Roman"/>
        </w:rPr>
        <w:t xml:space="preserve">SAT in </w:t>
      </w:r>
      <w:r w:rsidR="00EB3C40">
        <w:rPr>
          <w:rFonts w:ascii="Times New Roman" w:hAnsi="Times New Roman" w:cs="Times New Roman"/>
        </w:rPr>
        <w:t xml:space="preserve">the </w:t>
      </w:r>
      <w:r w:rsidR="001B75D8">
        <w:rPr>
          <w:rFonts w:ascii="Times New Roman" w:hAnsi="Times New Roman" w:cs="Times New Roman"/>
        </w:rPr>
        <w:t xml:space="preserve">African population was poorly performing compared to the </w:t>
      </w:r>
      <w:r w:rsidR="00EB3C40">
        <w:rPr>
          <w:rFonts w:ascii="Times New Roman" w:hAnsi="Times New Roman" w:cs="Times New Roman"/>
        </w:rPr>
        <w:t>individuals'</w:t>
      </w:r>
      <w:r w:rsidR="001B75D8">
        <w:rPr>
          <w:rFonts w:ascii="Times New Roman" w:hAnsi="Times New Roman" w:cs="Times New Roman"/>
        </w:rPr>
        <w:t xml:space="preserve"> PGSs. This finding confirms the correlation results</w:t>
      </w:r>
      <w:r w:rsidR="00EB3C40">
        <w:rPr>
          <w:rFonts w:ascii="Times New Roman" w:hAnsi="Times New Roman" w:cs="Times New Roman"/>
        </w:rPr>
        <w:t>,</w:t>
      </w:r>
      <w:r w:rsidR="001B75D8">
        <w:rPr>
          <w:rFonts w:ascii="Times New Roman" w:hAnsi="Times New Roman" w:cs="Times New Roman"/>
        </w:rPr>
        <w:t xml:space="preserve"> which showed that the individual PGS were poorly correlated with </w:t>
      </w:r>
      <w:r w:rsidR="00EB3C40">
        <w:rPr>
          <w:rFonts w:ascii="Times New Roman" w:hAnsi="Times New Roman" w:cs="Times New Roman"/>
        </w:rPr>
        <w:t>SAT.</w:t>
      </w:r>
    </w:p>
    <w:p w14:paraId="1E2EE890" w14:textId="615ABF0D" w:rsidR="003C1C31" w:rsidRPr="00F86262" w:rsidRDefault="003C1C31" w:rsidP="00FE2024">
      <w:pPr>
        <w:spacing w:after="0" w:line="360" w:lineRule="auto"/>
        <w:jc w:val="both"/>
        <w:rPr>
          <w:rFonts w:ascii="Times New Roman" w:hAnsi="Times New Roman" w:cs="Times New Roman"/>
          <w:b/>
          <w:bCs/>
        </w:rPr>
      </w:pPr>
      <w:r w:rsidRPr="00F86262">
        <w:rPr>
          <w:rFonts w:ascii="Times New Roman" w:hAnsi="Times New Roman" w:cs="Times New Roman"/>
          <w:b/>
          <w:bCs/>
        </w:rPr>
        <w:t>Limitations</w:t>
      </w:r>
    </w:p>
    <w:p w14:paraId="5BCED9BB" w14:textId="11B55E51" w:rsidR="00072DC7" w:rsidRDefault="00C22BA8" w:rsidP="00B4787A">
      <w:pPr>
        <w:spacing w:after="0" w:line="360" w:lineRule="auto"/>
        <w:jc w:val="both"/>
        <w:rPr>
          <w:rFonts w:ascii="Times New Roman" w:hAnsi="Times New Roman" w:cs="Times New Roman"/>
        </w:rPr>
      </w:pPr>
      <w:r>
        <w:rPr>
          <w:rFonts w:ascii="Times New Roman" w:hAnsi="Times New Roman" w:cs="Times New Roman"/>
        </w:rPr>
        <w:t>PRS construction relies on publicly available GWAS summary statistics</w:t>
      </w:r>
      <w:r w:rsidR="00C55116">
        <w:rPr>
          <w:rFonts w:ascii="Times New Roman" w:hAnsi="Times New Roman" w:cs="Times New Roman"/>
        </w:rPr>
        <w:t>,</w:t>
      </w:r>
      <w:r>
        <w:rPr>
          <w:rFonts w:ascii="Times New Roman" w:hAnsi="Times New Roman" w:cs="Times New Roman"/>
        </w:rPr>
        <w:t xml:space="preserve"> which may be </w:t>
      </w:r>
      <w:r w:rsidR="00C55116">
        <w:rPr>
          <w:rFonts w:ascii="Times New Roman" w:hAnsi="Times New Roman" w:cs="Times New Roman"/>
        </w:rPr>
        <w:t>biased</w:t>
      </w:r>
      <w:r>
        <w:rPr>
          <w:rFonts w:ascii="Times New Roman" w:hAnsi="Times New Roman" w:cs="Times New Roman"/>
        </w:rPr>
        <w:t xml:space="preserve">, </w:t>
      </w:r>
      <w:r w:rsidR="00F0065A">
        <w:rPr>
          <w:rFonts w:ascii="Times New Roman" w:hAnsi="Times New Roman" w:cs="Times New Roman"/>
        </w:rPr>
        <w:t>are heterogeneous</w:t>
      </w:r>
      <w:r w:rsidR="00C55116">
        <w:rPr>
          <w:rFonts w:ascii="Times New Roman" w:hAnsi="Times New Roman" w:cs="Times New Roman"/>
        </w:rPr>
        <w:t>,</w:t>
      </w:r>
      <w:r w:rsidR="00F0065A">
        <w:rPr>
          <w:rFonts w:ascii="Times New Roman" w:hAnsi="Times New Roman" w:cs="Times New Roman"/>
        </w:rPr>
        <w:t xml:space="preserve"> and have different phenotypic </w:t>
      </w:r>
      <w:r w:rsidR="00C55116">
        <w:rPr>
          <w:rFonts w:ascii="Times New Roman" w:hAnsi="Times New Roman" w:cs="Times New Roman"/>
        </w:rPr>
        <w:t>definitions,</w:t>
      </w:r>
      <w:r w:rsidR="00F0065A">
        <w:rPr>
          <w:rFonts w:ascii="Times New Roman" w:hAnsi="Times New Roman" w:cs="Times New Roman"/>
        </w:rPr>
        <w:t xml:space="preserve"> which may affect the accuracy and comparability of the derived scores.</w:t>
      </w:r>
      <w:r w:rsidR="00072DC7">
        <w:rPr>
          <w:rFonts w:ascii="Times New Roman" w:hAnsi="Times New Roman" w:cs="Times New Roman"/>
        </w:rPr>
        <w:t xml:space="preserve"> Subcutaneous adipose tissue measurements </w:t>
      </w:r>
      <w:r w:rsidR="00A96B89">
        <w:rPr>
          <w:rFonts w:ascii="Times New Roman" w:hAnsi="Times New Roman" w:cs="Times New Roman"/>
        </w:rPr>
        <w:t>employ</w:t>
      </w:r>
      <w:r w:rsidR="00072DC7">
        <w:rPr>
          <w:rFonts w:ascii="Times New Roman" w:hAnsi="Times New Roman" w:cs="Times New Roman"/>
        </w:rPr>
        <w:t xml:space="preserve"> </w:t>
      </w:r>
      <w:r w:rsidR="00B149ED">
        <w:rPr>
          <w:rFonts w:ascii="Times New Roman" w:hAnsi="Times New Roman" w:cs="Times New Roman"/>
        </w:rPr>
        <w:t>imaging-based</w:t>
      </w:r>
      <w:r w:rsidR="00072DC7">
        <w:rPr>
          <w:rFonts w:ascii="Times New Roman" w:hAnsi="Times New Roman" w:cs="Times New Roman"/>
        </w:rPr>
        <w:t xml:space="preserve"> techniques </w:t>
      </w:r>
      <w:r w:rsidR="00B149ED">
        <w:rPr>
          <w:rFonts w:ascii="Times New Roman" w:hAnsi="Times New Roman" w:cs="Times New Roman"/>
        </w:rPr>
        <w:t>(</w:t>
      </w:r>
      <w:r w:rsidR="00072DC7">
        <w:rPr>
          <w:rFonts w:ascii="Times New Roman" w:hAnsi="Times New Roman" w:cs="Times New Roman"/>
        </w:rPr>
        <w:t>MRI, DXA, CT)</w:t>
      </w:r>
      <w:r w:rsidR="00685915">
        <w:rPr>
          <w:rFonts w:ascii="Times New Roman" w:hAnsi="Times New Roman" w:cs="Times New Roman"/>
        </w:rPr>
        <w:t xml:space="preserve"> and measurement using different </w:t>
      </w:r>
      <w:r w:rsidR="00A96B89">
        <w:rPr>
          <w:rFonts w:ascii="Times New Roman" w:hAnsi="Times New Roman" w:cs="Times New Roman"/>
        </w:rPr>
        <w:t>protocols</w:t>
      </w:r>
      <w:r w:rsidR="00D1180B">
        <w:rPr>
          <w:rFonts w:ascii="Times New Roman" w:hAnsi="Times New Roman" w:cs="Times New Roman"/>
        </w:rPr>
        <w:t>,</w:t>
      </w:r>
      <w:r w:rsidR="00A96B89">
        <w:rPr>
          <w:rFonts w:ascii="Times New Roman" w:hAnsi="Times New Roman" w:cs="Times New Roman"/>
        </w:rPr>
        <w:t xml:space="preserve"> which can introduce heterogeneity that impacts PRS performance.</w:t>
      </w:r>
    </w:p>
    <w:p w14:paraId="2E93B9B1" w14:textId="77777777" w:rsidR="003F6CBC" w:rsidRDefault="003F6CBC" w:rsidP="00B4787A">
      <w:pPr>
        <w:spacing w:after="0" w:line="360" w:lineRule="auto"/>
        <w:jc w:val="both"/>
        <w:rPr>
          <w:rFonts w:ascii="Times New Roman" w:hAnsi="Times New Roman" w:cs="Times New Roman"/>
        </w:rPr>
      </w:pPr>
    </w:p>
    <w:p w14:paraId="655639E3" w14:textId="0826B554" w:rsidR="00042DCE" w:rsidRPr="00042DCE" w:rsidRDefault="00042DCE" w:rsidP="00B4787A">
      <w:pPr>
        <w:spacing w:after="0" w:line="360" w:lineRule="auto"/>
        <w:jc w:val="both"/>
        <w:rPr>
          <w:rFonts w:ascii="Times New Roman" w:hAnsi="Times New Roman" w:cs="Times New Roman"/>
          <w:b/>
          <w:bCs/>
        </w:rPr>
      </w:pPr>
      <w:r w:rsidRPr="00042DCE">
        <w:rPr>
          <w:rFonts w:ascii="Times New Roman" w:hAnsi="Times New Roman" w:cs="Times New Roman"/>
          <w:b/>
          <w:bCs/>
        </w:rPr>
        <w:t>Recommendation</w:t>
      </w:r>
    </w:p>
    <w:p w14:paraId="2C4F5768" w14:textId="318D582F" w:rsidR="00042DCE" w:rsidRPr="00042DCE" w:rsidRDefault="00042DCE" w:rsidP="00042DCE">
      <w:pPr>
        <w:spacing w:after="0" w:line="360" w:lineRule="auto"/>
        <w:jc w:val="both"/>
        <w:rPr>
          <w:rFonts w:ascii="Times New Roman" w:hAnsi="Times New Roman" w:cs="Times New Roman"/>
        </w:rPr>
      </w:pPr>
      <w:r w:rsidRPr="00042DCE">
        <w:rPr>
          <w:rFonts w:ascii="Times New Roman" w:hAnsi="Times New Roman" w:cs="Times New Roman"/>
        </w:rPr>
        <w:t>More research is needed to fully elucidate the molecular mechanisms underlying the interaction between platelets and body fat, particularly subcutaneous fat.</w:t>
      </w:r>
      <w:r>
        <w:rPr>
          <w:rFonts w:ascii="Times New Roman" w:hAnsi="Times New Roman" w:cs="Times New Roman"/>
        </w:rPr>
        <w:t xml:space="preserve"> </w:t>
      </w:r>
      <w:r w:rsidR="00DB7261">
        <w:rPr>
          <w:rFonts w:ascii="Times New Roman" w:hAnsi="Times New Roman" w:cs="Times New Roman"/>
        </w:rPr>
        <w:t>African-specific</w:t>
      </w:r>
      <w:r w:rsidR="00FE2024">
        <w:rPr>
          <w:rFonts w:ascii="Times New Roman" w:hAnsi="Times New Roman" w:cs="Times New Roman"/>
        </w:rPr>
        <w:t xml:space="preserve"> PRS are required to study the portability, applicability, </w:t>
      </w:r>
      <w:r w:rsidR="00DB7261">
        <w:rPr>
          <w:rFonts w:ascii="Times New Roman" w:hAnsi="Times New Roman" w:cs="Times New Roman"/>
        </w:rPr>
        <w:t xml:space="preserve">and clinical utility of PRS. </w:t>
      </w:r>
      <w:r w:rsidRPr="00042DCE">
        <w:rPr>
          <w:rFonts w:ascii="Times New Roman" w:hAnsi="Times New Roman" w:cs="Times New Roman"/>
        </w:rPr>
        <w:t>Longitudinal studies incorporating platelet polygenic scores are needed to understand the causal relationships between platelet function, fat accumulation, and disease development. </w:t>
      </w:r>
    </w:p>
    <w:p w14:paraId="27DD29AA" w14:textId="77777777" w:rsidR="00042DCE" w:rsidRDefault="00042DCE" w:rsidP="00B4787A">
      <w:pPr>
        <w:spacing w:after="0" w:line="360" w:lineRule="auto"/>
        <w:jc w:val="both"/>
        <w:rPr>
          <w:rFonts w:ascii="Times New Roman" w:hAnsi="Times New Roman" w:cs="Times New Roman"/>
        </w:rPr>
      </w:pPr>
    </w:p>
    <w:p w14:paraId="089CAAFE" w14:textId="42C20996" w:rsidR="003C1C31" w:rsidRDefault="003C1C31" w:rsidP="00F0065A">
      <w:pPr>
        <w:rPr>
          <w:rFonts w:ascii="Times New Roman" w:hAnsi="Times New Roman" w:cs="Times New Roman"/>
          <w:b/>
          <w:bCs/>
        </w:rPr>
      </w:pPr>
      <w:r w:rsidRPr="00B4787A">
        <w:rPr>
          <w:rFonts w:ascii="Times New Roman" w:hAnsi="Times New Roman" w:cs="Times New Roman"/>
          <w:b/>
          <w:bCs/>
        </w:rPr>
        <w:t>Conclusions</w:t>
      </w:r>
    </w:p>
    <w:p w14:paraId="41EFAAC0" w14:textId="3DD97914" w:rsidR="00876DFF" w:rsidRPr="003F6CBC" w:rsidRDefault="0088106A" w:rsidP="003F6CBC">
      <w:pPr>
        <w:spacing w:after="0" w:line="360" w:lineRule="auto"/>
        <w:jc w:val="both"/>
        <w:rPr>
          <w:rFonts w:ascii="Times New Roman" w:hAnsi="Times New Roman" w:cs="Times New Roman"/>
        </w:rPr>
      </w:pPr>
      <w:r w:rsidRPr="001918A2">
        <w:rPr>
          <w:rFonts w:ascii="Times New Roman" w:hAnsi="Times New Roman" w:cs="Times New Roman"/>
        </w:rPr>
        <w:t xml:space="preserve">Genetic predisposition to </w:t>
      </w:r>
      <w:r>
        <w:rPr>
          <w:rFonts w:ascii="Times New Roman" w:hAnsi="Times New Roman" w:cs="Times New Roman"/>
        </w:rPr>
        <w:t xml:space="preserve">SAT was found to be </w:t>
      </w:r>
      <w:r w:rsidRPr="001918A2">
        <w:rPr>
          <w:rFonts w:ascii="Times New Roman" w:hAnsi="Times New Roman" w:cs="Times New Roman"/>
        </w:rPr>
        <w:t xml:space="preserve">significantly associated with </w:t>
      </w:r>
      <w:r>
        <w:rPr>
          <w:rFonts w:ascii="Times New Roman" w:hAnsi="Times New Roman" w:cs="Times New Roman"/>
        </w:rPr>
        <w:t>SAT levels among Africans</w:t>
      </w:r>
      <w:r w:rsidRPr="001918A2">
        <w:rPr>
          <w:rFonts w:ascii="Times New Roman" w:hAnsi="Times New Roman" w:cs="Times New Roman"/>
        </w:rPr>
        <w:t xml:space="preserve">. </w:t>
      </w:r>
      <w:r>
        <w:rPr>
          <w:rFonts w:ascii="Times New Roman" w:hAnsi="Times New Roman" w:cs="Times New Roman"/>
        </w:rPr>
        <w:t xml:space="preserve">However, </w:t>
      </w:r>
      <w:proofErr w:type="spellStart"/>
      <w:r>
        <w:rPr>
          <w:rFonts w:ascii="Times New Roman" w:hAnsi="Times New Roman" w:cs="Times New Roman"/>
        </w:rPr>
        <w:t>PRSmix</w:t>
      </w:r>
      <w:proofErr w:type="spellEnd"/>
      <w:r>
        <w:rPr>
          <w:rFonts w:ascii="Times New Roman" w:hAnsi="Times New Roman" w:cs="Times New Roman"/>
        </w:rPr>
        <w:t xml:space="preserve"> predisposing Africans was poorly associated with SAT levels. </w:t>
      </w:r>
      <w:r w:rsidRPr="001918A2">
        <w:rPr>
          <w:rFonts w:ascii="Times New Roman" w:hAnsi="Times New Roman" w:cs="Times New Roman"/>
        </w:rPr>
        <w:t>Better understanding the mechanisms of these relationships may allow tailored intervention in obesity or early selection of populations at risk of metabolic disease.</w:t>
      </w:r>
    </w:p>
    <w:p w14:paraId="1CEE20CE" w14:textId="77777777" w:rsidR="00B4787A" w:rsidRDefault="00B4787A" w:rsidP="00E022A2">
      <w:pPr>
        <w:rPr>
          <w:rFonts w:ascii="Times New Roman" w:hAnsi="Times New Roman" w:cs="Times New Roman"/>
          <w:b/>
          <w:bCs/>
        </w:rPr>
      </w:pPr>
    </w:p>
    <w:p w14:paraId="1F956136" w14:textId="7731CF28" w:rsidR="00984236" w:rsidRPr="00742480" w:rsidRDefault="00984236" w:rsidP="00E27A8C">
      <w:pPr>
        <w:spacing w:after="0" w:line="360" w:lineRule="auto"/>
        <w:jc w:val="both"/>
        <w:rPr>
          <w:rFonts w:ascii="Times New Roman" w:hAnsi="Times New Roman" w:cs="Times New Roman"/>
          <w:b/>
          <w:bCs/>
          <w:u w:val="single"/>
        </w:rPr>
      </w:pPr>
      <w:r w:rsidRPr="00742480">
        <w:rPr>
          <w:rFonts w:ascii="Times New Roman" w:hAnsi="Times New Roman" w:cs="Times New Roman"/>
          <w:b/>
          <w:bCs/>
          <w:u w:val="single"/>
        </w:rPr>
        <w:t>Address to Questions</w:t>
      </w:r>
    </w:p>
    <w:p w14:paraId="07F2C5DE" w14:textId="77777777" w:rsidR="000872B3" w:rsidRPr="00742480" w:rsidRDefault="000872B3" w:rsidP="00E27A8C">
      <w:pPr>
        <w:spacing w:after="0" w:line="360" w:lineRule="auto"/>
        <w:jc w:val="both"/>
        <w:rPr>
          <w:rFonts w:ascii="Times New Roman" w:hAnsi="Times New Roman" w:cs="Times New Roman"/>
        </w:rPr>
      </w:pPr>
      <w:r w:rsidRPr="00742480">
        <w:rPr>
          <w:rFonts w:ascii="Times New Roman" w:hAnsi="Times New Roman" w:cs="Times New Roman"/>
        </w:rPr>
        <w:t xml:space="preserve">Q1. </w:t>
      </w:r>
    </w:p>
    <w:p w14:paraId="079D7B7E" w14:textId="77777777" w:rsidR="000872B3" w:rsidRPr="00742480" w:rsidRDefault="000872B3" w:rsidP="00E27A8C">
      <w:pPr>
        <w:spacing w:after="0" w:line="360" w:lineRule="auto"/>
        <w:jc w:val="both"/>
        <w:rPr>
          <w:rFonts w:ascii="Times New Roman" w:hAnsi="Times New Roman" w:cs="Times New Roman"/>
        </w:rPr>
      </w:pPr>
      <w:r w:rsidRPr="00742480">
        <w:rPr>
          <w:rFonts w:ascii="Times New Roman" w:hAnsi="Times New Roman" w:cs="Times New Roman"/>
        </w:rPr>
        <w:t>Statement to support alternative hypothesis</w:t>
      </w:r>
    </w:p>
    <w:p w14:paraId="3F9739D6" w14:textId="77777777" w:rsidR="000872B3" w:rsidRPr="00742480" w:rsidRDefault="000872B3" w:rsidP="00E27A8C">
      <w:pPr>
        <w:spacing w:after="0" w:line="360" w:lineRule="auto"/>
        <w:jc w:val="both"/>
        <w:rPr>
          <w:rFonts w:ascii="Times New Roman" w:hAnsi="Times New Roman" w:cs="Times New Roman"/>
        </w:rPr>
      </w:pPr>
      <w:r w:rsidRPr="00742480">
        <w:rPr>
          <w:rFonts w:ascii="Times New Roman" w:hAnsi="Times New Roman" w:cs="Times New Roman"/>
        </w:rPr>
        <w:t xml:space="preserve">From previous studies, the </w:t>
      </w:r>
      <w:proofErr w:type="spellStart"/>
      <w:r w:rsidRPr="00742480">
        <w:rPr>
          <w:rFonts w:ascii="Times New Roman" w:hAnsi="Times New Roman" w:cs="Times New Roman"/>
        </w:rPr>
        <w:t>PRSmix</w:t>
      </w:r>
      <w:proofErr w:type="spellEnd"/>
      <w:r w:rsidRPr="00742480">
        <w:rPr>
          <w:rFonts w:ascii="Times New Roman" w:hAnsi="Times New Roman" w:cs="Times New Roman"/>
        </w:rPr>
        <w:t xml:space="preserve"> approach is likely to show an improvement in predictive performance in continental African populations compared to using a single PRS primarily derived from European-ancestry data. This is because the core mechanism of </w:t>
      </w:r>
      <w:proofErr w:type="spellStart"/>
      <w:r w:rsidRPr="00742480">
        <w:rPr>
          <w:rFonts w:ascii="Times New Roman" w:hAnsi="Times New Roman" w:cs="Times New Roman"/>
        </w:rPr>
        <w:t>PRSmix</w:t>
      </w:r>
      <w:proofErr w:type="spellEnd"/>
      <w:r w:rsidRPr="00742480">
        <w:rPr>
          <w:rFonts w:ascii="Times New Roman" w:hAnsi="Times New Roman" w:cs="Times New Roman"/>
        </w:rPr>
        <w:t xml:space="preserve"> integrates information from various PRSs and potentially leverages genetically correlated traits, theoretically </w:t>
      </w:r>
      <w:r w:rsidRPr="00742480">
        <w:rPr>
          <w:rFonts w:ascii="Times New Roman" w:hAnsi="Times New Roman" w:cs="Times New Roman"/>
        </w:rPr>
        <w:lastRenderedPageBreak/>
        <w:t>capturing a broader spectrum of genetic effects, which is likely to offer some benefits even when the foundational data has biases (Truong et al., 2024).</w:t>
      </w:r>
    </w:p>
    <w:p w14:paraId="27928EE6" w14:textId="77777777" w:rsidR="000872B3" w:rsidRPr="00742480" w:rsidRDefault="000872B3" w:rsidP="00E27A8C">
      <w:pPr>
        <w:spacing w:after="0" w:line="360" w:lineRule="auto"/>
        <w:jc w:val="both"/>
        <w:rPr>
          <w:rFonts w:ascii="Times New Roman" w:hAnsi="Times New Roman" w:cs="Times New Roman"/>
        </w:rPr>
      </w:pPr>
      <w:r w:rsidRPr="00742480">
        <w:rPr>
          <w:rFonts w:ascii="Times New Roman" w:hAnsi="Times New Roman" w:cs="Times New Roman"/>
        </w:rPr>
        <w:t xml:space="preserve">However, continental African populations possess the greatest genetic diversity globally, leading to significant variations in genetic markers and their effects across different ethnic groups. This inherent diversity makes it difficult for any Polygenic Risk Score (PRS), including combined approaches like </w:t>
      </w:r>
      <w:proofErr w:type="spellStart"/>
      <w:r w:rsidRPr="00742480">
        <w:rPr>
          <w:rFonts w:ascii="Times New Roman" w:hAnsi="Times New Roman" w:cs="Times New Roman"/>
        </w:rPr>
        <w:t>PRSmix</w:t>
      </w:r>
      <w:proofErr w:type="spellEnd"/>
      <w:r w:rsidRPr="00742480">
        <w:rPr>
          <w:rFonts w:ascii="Times New Roman" w:hAnsi="Times New Roman" w:cs="Times New Roman"/>
        </w:rPr>
        <w:t xml:space="preserve">, to transfer effectively across the continent without sufficient local genetic data. African populations equally exhibit shorter blocks of linkage disequilibrium compared to Europeans, which affects how genetic variants are inherited and how well SNPs can identify causal variants (Segun Fatumo et al., 2023). </w:t>
      </w:r>
    </w:p>
    <w:p w14:paraId="3C80E452" w14:textId="77777777" w:rsidR="000872B3" w:rsidRPr="00742480" w:rsidRDefault="000872B3" w:rsidP="00E27A8C">
      <w:pPr>
        <w:spacing w:after="0" w:line="360" w:lineRule="auto"/>
        <w:jc w:val="both"/>
        <w:rPr>
          <w:rFonts w:ascii="Times New Roman" w:hAnsi="Times New Roman" w:cs="Times New Roman"/>
        </w:rPr>
      </w:pPr>
      <w:r w:rsidRPr="00742480">
        <w:rPr>
          <w:rFonts w:ascii="Times New Roman" w:hAnsi="Times New Roman" w:cs="Times New Roman"/>
        </w:rPr>
        <w:t xml:space="preserve">Given that most existing PRSs and their foundational Genome-Wide Association Studies (GWAS) are based on European genetic patterns, applying these directly or combined (even with </w:t>
      </w:r>
      <w:proofErr w:type="spellStart"/>
      <w:r w:rsidRPr="00742480">
        <w:rPr>
          <w:rFonts w:ascii="Times New Roman" w:hAnsi="Times New Roman" w:cs="Times New Roman"/>
        </w:rPr>
        <w:t>PRSmix</w:t>
      </w:r>
      <w:proofErr w:type="spellEnd"/>
      <w:r w:rsidRPr="00742480">
        <w:rPr>
          <w:rFonts w:ascii="Times New Roman" w:hAnsi="Times New Roman" w:cs="Times New Roman"/>
        </w:rPr>
        <w:t xml:space="preserve">) often results in reduced accuracy for African populations. The primary obstacle remains the severe underrepresentation of African populations in global genomic research; as of recent data, approximately 86% of GWAS data is derived from individuals of European descent (Segun et al. 2022). This Eurocentric bias means that the individual PRSs within </w:t>
      </w:r>
      <w:proofErr w:type="spellStart"/>
      <w:r w:rsidRPr="00742480">
        <w:rPr>
          <w:rFonts w:ascii="Times New Roman" w:hAnsi="Times New Roman" w:cs="Times New Roman"/>
        </w:rPr>
        <w:t>PRSmix</w:t>
      </w:r>
      <w:proofErr w:type="spellEnd"/>
      <w:r w:rsidRPr="00742480">
        <w:rPr>
          <w:rFonts w:ascii="Times New Roman" w:hAnsi="Times New Roman" w:cs="Times New Roman"/>
        </w:rPr>
        <w:t xml:space="preserve"> are largely built on European genetic information. While </w:t>
      </w:r>
      <w:proofErr w:type="spellStart"/>
      <w:r w:rsidRPr="00742480">
        <w:rPr>
          <w:rFonts w:ascii="Times New Roman" w:hAnsi="Times New Roman" w:cs="Times New Roman"/>
        </w:rPr>
        <w:t>PRSmix</w:t>
      </w:r>
      <w:proofErr w:type="spellEnd"/>
      <w:r w:rsidRPr="00742480">
        <w:rPr>
          <w:rFonts w:ascii="Times New Roman" w:hAnsi="Times New Roman" w:cs="Times New Roman"/>
        </w:rPr>
        <w:t xml:space="preserve"> aims to improve generalizability, it cannot fully overcome the fundamental lack of GWAS conducted in diverse African ancestries, which is crucial since PRS accuracy significantly improves with ancestry-matched discovery cohorts. </w:t>
      </w:r>
    </w:p>
    <w:p w14:paraId="37C404AB" w14:textId="77777777" w:rsidR="000872B3" w:rsidRPr="00742480" w:rsidRDefault="000872B3" w:rsidP="00E27A8C">
      <w:pPr>
        <w:spacing w:after="0" w:line="360" w:lineRule="auto"/>
        <w:jc w:val="both"/>
        <w:rPr>
          <w:rFonts w:ascii="Times New Roman" w:hAnsi="Times New Roman" w:cs="Times New Roman"/>
        </w:rPr>
      </w:pPr>
      <w:r w:rsidRPr="00742480">
        <w:rPr>
          <w:rFonts w:ascii="Times New Roman" w:hAnsi="Times New Roman" w:cs="Times New Roman"/>
        </w:rPr>
        <w:t xml:space="preserve">Besides the limited African specific GWAS available, </w:t>
      </w:r>
      <w:proofErr w:type="spellStart"/>
      <w:r w:rsidRPr="00742480">
        <w:rPr>
          <w:rFonts w:ascii="Times New Roman" w:hAnsi="Times New Roman" w:cs="Times New Roman"/>
        </w:rPr>
        <w:t>PRSmix</w:t>
      </w:r>
      <w:proofErr w:type="spellEnd"/>
      <w:r w:rsidRPr="00742480">
        <w:rPr>
          <w:rFonts w:ascii="Times New Roman" w:hAnsi="Times New Roman" w:cs="Times New Roman"/>
        </w:rPr>
        <w:t xml:space="preserve">+ considers genetically correlated traits. The specific genetic architecture of complex traits can differ across populations due to varying allele frequencies and population-specific causal variants. If large-effect, ancestry-enriched variants important for a trait in African populations are not identified in primarily European-based GWAS, the PRSs and consequently </w:t>
      </w:r>
      <w:proofErr w:type="spellStart"/>
      <w:r w:rsidRPr="00742480">
        <w:rPr>
          <w:rFonts w:ascii="Times New Roman" w:hAnsi="Times New Roman" w:cs="Times New Roman"/>
        </w:rPr>
        <w:t>PRSmix</w:t>
      </w:r>
      <w:proofErr w:type="spellEnd"/>
      <w:r w:rsidRPr="00742480">
        <w:rPr>
          <w:rFonts w:ascii="Times New Roman" w:hAnsi="Times New Roman" w:cs="Times New Roman"/>
        </w:rPr>
        <w:t xml:space="preserve"> will miss these vital genetic signals, hence its likely poor performance (Lappalainen et al., 2024).</w:t>
      </w:r>
    </w:p>
    <w:p w14:paraId="26EB3BEC" w14:textId="77777777" w:rsidR="00D579E3" w:rsidRPr="00892E3C" w:rsidRDefault="00D579E3" w:rsidP="00D579E3">
      <w:pPr>
        <w:spacing w:after="0" w:line="360" w:lineRule="auto"/>
        <w:jc w:val="both"/>
      </w:pPr>
    </w:p>
    <w:p w14:paraId="3BD854AB" w14:textId="77777777" w:rsidR="000872B3" w:rsidRPr="00B40131" w:rsidRDefault="000872B3" w:rsidP="00D579E3">
      <w:pPr>
        <w:spacing w:after="0" w:line="360" w:lineRule="auto"/>
        <w:jc w:val="both"/>
        <w:rPr>
          <w:rFonts w:ascii="Times New Roman" w:hAnsi="Times New Roman" w:cs="Times New Roman"/>
          <w:b/>
          <w:bCs/>
        </w:rPr>
      </w:pPr>
      <w:r w:rsidRPr="00B40131">
        <w:rPr>
          <w:rFonts w:ascii="Times New Roman" w:hAnsi="Times New Roman" w:cs="Times New Roman"/>
          <w:b/>
          <w:bCs/>
        </w:rPr>
        <w:t xml:space="preserve">References </w:t>
      </w:r>
    </w:p>
    <w:p w14:paraId="7224B73E" w14:textId="2705A23D" w:rsidR="00197BFF" w:rsidRPr="00B40131" w:rsidRDefault="00E022A2" w:rsidP="00D579E3">
      <w:pPr>
        <w:widowControl w:val="0"/>
        <w:autoSpaceDE w:val="0"/>
        <w:autoSpaceDN w:val="0"/>
        <w:adjustRightInd w:val="0"/>
        <w:spacing w:after="0" w:line="360" w:lineRule="auto"/>
        <w:ind w:left="480" w:hanging="480"/>
        <w:jc w:val="both"/>
        <w:rPr>
          <w:rFonts w:ascii="Times New Roman" w:hAnsi="Times New Roman" w:cs="Times New Roman"/>
          <w:noProof/>
          <w:kern w:val="0"/>
        </w:rPr>
      </w:pPr>
      <w:r w:rsidRPr="00B40131">
        <w:rPr>
          <w:rFonts w:ascii="Times New Roman" w:hAnsi="Times New Roman" w:cs="Times New Roman"/>
        </w:rPr>
        <w:fldChar w:fldCharType="begin" w:fldLock="1"/>
      </w:r>
      <w:r w:rsidRPr="00B40131">
        <w:rPr>
          <w:rFonts w:ascii="Times New Roman" w:hAnsi="Times New Roman" w:cs="Times New Roman"/>
        </w:rPr>
        <w:instrText xml:space="preserve">ADDIN Mendeley Bibliography CSL_BIBLIOGRAPHY </w:instrText>
      </w:r>
      <w:r w:rsidRPr="00B40131">
        <w:rPr>
          <w:rFonts w:ascii="Times New Roman" w:hAnsi="Times New Roman" w:cs="Times New Roman"/>
        </w:rPr>
        <w:fldChar w:fldCharType="separate"/>
      </w:r>
      <w:r w:rsidR="00197BFF" w:rsidRPr="00B40131">
        <w:rPr>
          <w:rFonts w:ascii="Times New Roman" w:hAnsi="Times New Roman" w:cs="Times New Roman"/>
          <w:noProof/>
          <w:kern w:val="0"/>
        </w:rPr>
        <w:t xml:space="preserve">Dudbridge, F. (2013). Power and Predictive Accuracy of Polygenic Risk Scores. </w:t>
      </w:r>
      <w:r w:rsidR="00197BFF" w:rsidRPr="00B40131">
        <w:rPr>
          <w:rFonts w:ascii="Times New Roman" w:hAnsi="Times New Roman" w:cs="Times New Roman"/>
          <w:i/>
          <w:iCs/>
          <w:noProof/>
          <w:kern w:val="0"/>
        </w:rPr>
        <w:t>PLoS Genetics</w:t>
      </w:r>
      <w:r w:rsidR="00197BFF" w:rsidRPr="00B40131">
        <w:rPr>
          <w:rFonts w:ascii="Times New Roman" w:hAnsi="Times New Roman" w:cs="Times New Roman"/>
          <w:noProof/>
          <w:kern w:val="0"/>
        </w:rPr>
        <w:t xml:space="preserve">, </w:t>
      </w:r>
      <w:r w:rsidR="00197BFF" w:rsidRPr="00B40131">
        <w:rPr>
          <w:rFonts w:ascii="Times New Roman" w:hAnsi="Times New Roman" w:cs="Times New Roman"/>
          <w:i/>
          <w:iCs/>
          <w:noProof/>
          <w:kern w:val="0"/>
        </w:rPr>
        <w:t>9</w:t>
      </w:r>
      <w:r w:rsidR="00197BFF" w:rsidRPr="00B40131">
        <w:rPr>
          <w:rFonts w:ascii="Times New Roman" w:hAnsi="Times New Roman" w:cs="Times New Roman"/>
          <w:noProof/>
          <w:kern w:val="0"/>
        </w:rPr>
        <w:t>(3). https://doi.org/10.1371/journal.pgen.1003348</w:t>
      </w:r>
    </w:p>
    <w:p w14:paraId="0596A8E2" w14:textId="77777777" w:rsidR="00197BFF" w:rsidRPr="00B40131" w:rsidRDefault="00197BFF" w:rsidP="00D579E3">
      <w:pPr>
        <w:widowControl w:val="0"/>
        <w:autoSpaceDE w:val="0"/>
        <w:autoSpaceDN w:val="0"/>
        <w:adjustRightInd w:val="0"/>
        <w:spacing w:after="0" w:line="360" w:lineRule="auto"/>
        <w:ind w:left="480" w:hanging="480"/>
        <w:jc w:val="both"/>
        <w:rPr>
          <w:rFonts w:ascii="Times New Roman" w:hAnsi="Times New Roman" w:cs="Times New Roman"/>
          <w:noProof/>
          <w:kern w:val="0"/>
        </w:rPr>
      </w:pPr>
      <w:r w:rsidRPr="00B40131">
        <w:rPr>
          <w:rFonts w:ascii="Times New Roman" w:hAnsi="Times New Roman" w:cs="Times New Roman"/>
          <w:noProof/>
          <w:kern w:val="0"/>
        </w:rPr>
        <w:t xml:space="preserve">Han, S., Gan, D., Wang, G., Ru, Y., Huang, C., Lin, J., Zhang, L., Meng, Z., &amp; Zhu, S. (2018). Associations of Platelet Indices with Body Fat Mass and Fat Distribution. </w:t>
      </w:r>
      <w:r w:rsidRPr="00B40131">
        <w:rPr>
          <w:rFonts w:ascii="Times New Roman" w:hAnsi="Times New Roman" w:cs="Times New Roman"/>
          <w:i/>
          <w:iCs/>
          <w:noProof/>
          <w:kern w:val="0"/>
        </w:rPr>
        <w:t>Obesity</w:t>
      </w:r>
      <w:r w:rsidRPr="00B40131">
        <w:rPr>
          <w:rFonts w:ascii="Times New Roman" w:hAnsi="Times New Roman" w:cs="Times New Roman"/>
          <w:noProof/>
          <w:kern w:val="0"/>
        </w:rPr>
        <w:t xml:space="preserve">, </w:t>
      </w:r>
      <w:r w:rsidRPr="00B40131">
        <w:rPr>
          <w:rFonts w:ascii="Times New Roman" w:hAnsi="Times New Roman" w:cs="Times New Roman"/>
          <w:i/>
          <w:iCs/>
          <w:noProof/>
          <w:kern w:val="0"/>
        </w:rPr>
        <w:t>26</w:t>
      </w:r>
      <w:r w:rsidRPr="00B40131">
        <w:rPr>
          <w:rFonts w:ascii="Times New Roman" w:hAnsi="Times New Roman" w:cs="Times New Roman"/>
          <w:noProof/>
          <w:kern w:val="0"/>
        </w:rPr>
        <w:t>(10), 1637–1643. https://doi.org/10.1002/oby.22294</w:t>
      </w:r>
    </w:p>
    <w:p w14:paraId="7B61D002" w14:textId="77777777" w:rsidR="000872B3" w:rsidRPr="00B40131" w:rsidRDefault="000872B3" w:rsidP="00D579E3">
      <w:pPr>
        <w:spacing w:after="0" w:line="360" w:lineRule="auto"/>
        <w:jc w:val="both"/>
        <w:rPr>
          <w:rFonts w:ascii="Times New Roman" w:hAnsi="Times New Roman" w:cs="Times New Roman"/>
        </w:rPr>
      </w:pPr>
      <w:r w:rsidRPr="00B40131">
        <w:rPr>
          <w:rFonts w:ascii="Times New Roman" w:hAnsi="Times New Roman" w:cs="Times New Roman"/>
        </w:rPr>
        <w:lastRenderedPageBreak/>
        <w:t>Fatumo, S., Chikowore, T., Choudhury, A., Ayub, M., Martin, A. R., &amp; Kuchenbaecker, K. (2022). Diversity in Genomics Studies: A roadmap to increase diversity in genomic studies. </w:t>
      </w:r>
      <w:r w:rsidRPr="00B40131">
        <w:rPr>
          <w:rFonts w:ascii="Times New Roman" w:hAnsi="Times New Roman" w:cs="Times New Roman"/>
          <w:i/>
          <w:iCs/>
        </w:rPr>
        <w:t>Nature Medicine</w:t>
      </w:r>
      <w:r w:rsidRPr="00B40131">
        <w:rPr>
          <w:rFonts w:ascii="Times New Roman" w:hAnsi="Times New Roman" w:cs="Times New Roman"/>
        </w:rPr>
        <w:t>, </w:t>
      </w:r>
      <w:r w:rsidRPr="00B40131">
        <w:rPr>
          <w:rFonts w:ascii="Times New Roman" w:hAnsi="Times New Roman" w:cs="Times New Roman"/>
          <w:i/>
          <w:iCs/>
        </w:rPr>
        <w:t>28</w:t>
      </w:r>
      <w:r w:rsidRPr="00B40131">
        <w:rPr>
          <w:rFonts w:ascii="Times New Roman" w:hAnsi="Times New Roman" w:cs="Times New Roman"/>
        </w:rPr>
        <w:t xml:space="preserve">(2), 243–250. </w:t>
      </w:r>
      <w:hyperlink r:id="rId11" w:history="1">
        <w:r w:rsidRPr="00B40131">
          <w:rPr>
            <w:rStyle w:val="Hyperlink"/>
            <w:rFonts w:ascii="Times New Roman" w:hAnsi="Times New Roman" w:cs="Times New Roman"/>
          </w:rPr>
          <w:t>https://doi.org/10.1038/s41591-021-01672-4</w:t>
        </w:r>
      </w:hyperlink>
      <w:r w:rsidRPr="00B40131">
        <w:rPr>
          <w:rFonts w:ascii="Times New Roman" w:hAnsi="Times New Roman" w:cs="Times New Roman"/>
        </w:rPr>
        <w:t>.</w:t>
      </w:r>
    </w:p>
    <w:p w14:paraId="5A8B4011" w14:textId="7FCA96EF" w:rsidR="00B40131" w:rsidRPr="00B40131" w:rsidRDefault="00B40131" w:rsidP="00D579E3">
      <w:pPr>
        <w:pStyle w:val="NormalWeb"/>
        <w:spacing w:before="0" w:beforeAutospacing="0" w:after="0" w:afterAutospacing="0" w:line="360" w:lineRule="auto"/>
        <w:jc w:val="both"/>
      </w:pPr>
      <w:r w:rsidRPr="00B40131">
        <w:t>Lappalainen, T., Li, Y. I., Ramachandran, S., &amp; Gusev, A. (2024). Genetic and molecular</w:t>
      </w:r>
      <w:r w:rsidR="00D579E3">
        <w:t xml:space="preserve"> </w:t>
      </w:r>
      <w:r w:rsidRPr="00B40131">
        <w:t xml:space="preserve">architecture of complex traits. </w:t>
      </w:r>
      <w:r w:rsidRPr="00B40131">
        <w:rPr>
          <w:i/>
          <w:iCs/>
        </w:rPr>
        <w:t>Cell</w:t>
      </w:r>
      <w:r w:rsidRPr="00B40131">
        <w:t xml:space="preserve">, </w:t>
      </w:r>
      <w:r w:rsidRPr="00B40131">
        <w:rPr>
          <w:i/>
          <w:iCs/>
        </w:rPr>
        <w:t>187</w:t>
      </w:r>
      <w:r w:rsidRPr="00B40131">
        <w:t>(5), 1059–1075. https://doi.org/10.1016/j.cell.2024.01.023</w:t>
      </w:r>
    </w:p>
    <w:p w14:paraId="33FBFCE7" w14:textId="1A0D4D28" w:rsidR="000872B3" w:rsidRPr="00D579E3" w:rsidRDefault="002E3713" w:rsidP="00D579E3">
      <w:pPr>
        <w:widowControl w:val="0"/>
        <w:autoSpaceDE w:val="0"/>
        <w:autoSpaceDN w:val="0"/>
        <w:adjustRightInd w:val="0"/>
        <w:spacing w:after="0" w:line="360" w:lineRule="auto"/>
        <w:ind w:left="480" w:hanging="480"/>
        <w:jc w:val="both"/>
        <w:rPr>
          <w:rFonts w:ascii="Times New Roman" w:hAnsi="Times New Roman" w:cs="Times New Roman"/>
        </w:rPr>
      </w:pPr>
      <w:r>
        <w:rPr>
          <w:rFonts w:ascii="Times New Roman" w:hAnsi="Times New Roman" w:cs="Times New Roman"/>
        </w:rPr>
        <w:t>F</w:t>
      </w:r>
      <w:r w:rsidR="000872B3" w:rsidRPr="00B40131">
        <w:rPr>
          <w:rFonts w:ascii="Times New Roman" w:hAnsi="Times New Roman" w:cs="Times New Roman"/>
        </w:rPr>
        <w:t>atumo,</w:t>
      </w:r>
      <w:r>
        <w:rPr>
          <w:rFonts w:ascii="Times New Roman" w:hAnsi="Times New Roman" w:cs="Times New Roman"/>
        </w:rPr>
        <w:t xml:space="preserve"> S., </w:t>
      </w:r>
      <w:r w:rsidR="000872B3" w:rsidRPr="00B40131">
        <w:rPr>
          <w:rFonts w:ascii="Times New Roman" w:hAnsi="Times New Roman" w:cs="Times New Roman"/>
        </w:rPr>
        <w:t>Sathan, Chaimae Samtal, Itunuoluwa Isewon, Tsaone Tamuhla, Chisom Soremekun, Jafali, J., Sumir Panji, Tiffin, N., &amp; Yasmina Jaufeerally Fakim</w:t>
      </w:r>
      <w:r w:rsidR="00D579E3">
        <w:rPr>
          <w:rFonts w:ascii="Times New Roman" w:hAnsi="Times New Roman" w:cs="Times New Roman"/>
        </w:rPr>
        <w:t xml:space="preserve"> </w:t>
      </w:r>
      <w:r w:rsidR="00206B2B" w:rsidRPr="00B40131">
        <w:rPr>
          <w:rFonts w:ascii="Times New Roman" w:hAnsi="Times New Roman" w:cs="Times New Roman"/>
        </w:rPr>
        <w:t xml:space="preserve">(2023). Polygenic risk scores for disease risk prediction in Africa: current challenges and future directions. </w:t>
      </w:r>
      <w:r w:rsidR="00206B2B" w:rsidRPr="00B40131">
        <w:rPr>
          <w:rFonts w:ascii="Times New Roman" w:hAnsi="Times New Roman" w:cs="Times New Roman"/>
          <w:i/>
          <w:iCs/>
        </w:rPr>
        <w:t>Genome Medicine</w:t>
      </w:r>
      <w:r w:rsidR="00206B2B" w:rsidRPr="00B40131">
        <w:rPr>
          <w:rFonts w:ascii="Times New Roman" w:hAnsi="Times New Roman" w:cs="Times New Roman"/>
        </w:rPr>
        <w:t xml:space="preserve">, </w:t>
      </w:r>
      <w:r w:rsidR="00206B2B" w:rsidRPr="00B40131">
        <w:rPr>
          <w:rFonts w:ascii="Times New Roman" w:hAnsi="Times New Roman" w:cs="Times New Roman"/>
          <w:i/>
          <w:iCs/>
        </w:rPr>
        <w:t>15</w:t>
      </w:r>
      <w:r w:rsidR="00206B2B" w:rsidRPr="00B40131">
        <w:rPr>
          <w:rFonts w:ascii="Times New Roman" w:hAnsi="Times New Roman" w:cs="Times New Roman"/>
        </w:rPr>
        <w:t>(1). https://doi.org/10.1186/s13073-023-01245-9</w:t>
      </w:r>
    </w:p>
    <w:p w14:paraId="7FD9942E" w14:textId="77777777" w:rsidR="00197BFF" w:rsidRPr="00B40131" w:rsidRDefault="00197BFF" w:rsidP="00D579E3">
      <w:pPr>
        <w:widowControl w:val="0"/>
        <w:autoSpaceDE w:val="0"/>
        <w:autoSpaceDN w:val="0"/>
        <w:adjustRightInd w:val="0"/>
        <w:spacing w:after="0" w:line="360" w:lineRule="auto"/>
        <w:ind w:left="480" w:hanging="480"/>
        <w:jc w:val="both"/>
        <w:rPr>
          <w:rFonts w:ascii="Times New Roman" w:hAnsi="Times New Roman" w:cs="Times New Roman"/>
          <w:noProof/>
          <w:kern w:val="0"/>
        </w:rPr>
      </w:pPr>
      <w:r w:rsidRPr="00B40131">
        <w:rPr>
          <w:rFonts w:ascii="Times New Roman" w:hAnsi="Times New Roman" w:cs="Times New Roman"/>
          <w:noProof/>
          <w:kern w:val="0"/>
        </w:rPr>
        <w:t xml:space="preserve">Sanghera, K. D., Bejar, C., Sharma, S., Gupta, R., &amp; Blackett, R. P. (2019). Obesity genetics and cardiometabolic health: potential for risk prediction. </w:t>
      </w:r>
      <w:r w:rsidRPr="00B40131">
        <w:rPr>
          <w:rFonts w:ascii="Times New Roman" w:hAnsi="Times New Roman" w:cs="Times New Roman"/>
          <w:i/>
          <w:iCs/>
          <w:noProof/>
          <w:kern w:val="0"/>
        </w:rPr>
        <w:t>Physiology &amp; Behavior</w:t>
      </w:r>
      <w:r w:rsidRPr="00B40131">
        <w:rPr>
          <w:rFonts w:ascii="Times New Roman" w:hAnsi="Times New Roman" w:cs="Times New Roman"/>
          <w:noProof/>
          <w:kern w:val="0"/>
        </w:rPr>
        <w:t xml:space="preserve">, </w:t>
      </w:r>
      <w:r w:rsidRPr="00B40131">
        <w:rPr>
          <w:rFonts w:ascii="Times New Roman" w:hAnsi="Times New Roman" w:cs="Times New Roman"/>
          <w:i/>
          <w:iCs/>
          <w:noProof/>
          <w:kern w:val="0"/>
        </w:rPr>
        <w:t>21</w:t>
      </w:r>
      <w:r w:rsidRPr="00B40131">
        <w:rPr>
          <w:rFonts w:ascii="Times New Roman" w:hAnsi="Times New Roman" w:cs="Times New Roman"/>
          <w:noProof/>
          <w:kern w:val="0"/>
        </w:rPr>
        <w:t>(5), 1088–1100. https://doi.org/10.1111/dom.13641</w:t>
      </w:r>
    </w:p>
    <w:p w14:paraId="59169DBF" w14:textId="77777777" w:rsidR="00197BFF" w:rsidRPr="00B40131" w:rsidRDefault="00197BFF" w:rsidP="00D579E3">
      <w:pPr>
        <w:widowControl w:val="0"/>
        <w:autoSpaceDE w:val="0"/>
        <w:autoSpaceDN w:val="0"/>
        <w:adjustRightInd w:val="0"/>
        <w:spacing w:after="0" w:line="360" w:lineRule="auto"/>
        <w:ind w:left="480" w:hanging="480"/>
        <w:jc w:val="both"/>
        <w:rPr>
          <w:rFonts w:ascii="Times New Roman" w:hAnsi="Times New Roman" w:cs="Times New Roman"/>
          <w:noProof/>
          <w:kern w:val="0"/>
        </w:rPr>
      </w:pPr>
      <w:r w:rsidRPr="00B40131">
        <w:rPr>
          <w:rFonts w:ascii="Times New Roman" w:hAnsi="Times New Roman" w:cs="Times New Roman"/>
          <w:noProof/>
          <w:kern w:val="0"/>
        </w:rPr>
        <w:t xml:space="preserve">Truong, B., Hull, L. E., Ruan, Y., Huang, Q. Q., Hornsby, W., Martin, H., van Heel, D. A., Wang, Y., Martin, A. R., Lee, S. H., &amp; Natarajan, P. (2024). Integrative polygenic risk score improves the prediction accuracy of complex traits and diseases. </w:t>
      </w:r>
      <w:r w:rsidRPr="00B40131">
        <w:rPr>
          <w:rFonts w:ascii="Times New Roman" w:hAnsi="Times New Roman" w:cs="Times New Roman"/>
          <w:i/>
          <w:iCs/>
          <w:noProof/>
          <w:kern w:val="0"/>
        </w:rPr>
        <w:t>Cell Genomics</w:t>
      </w:r>
      <w:r w:rsidRPr="00B40131">
        <w:rPr>
          <w:rFonts w:ascii="Times New Roman" w:hAnsi="Times New Roman" w:cs="Times New Roman"/>
          <w:noProof/>
          <w:kern w:val="0"/>
        </w:rPr>
        <w:t xml:space="preserve">, </w:t>
      </w:r>
      <w:r w:rsidRPr="00B40131">
        <w:rPr>
          <w:rFonts w:ascii="Times New Roman" w:hAnsi="Times New Roman" w:cs="Times New Roman"/>
          <w:i/>
          <w:iCs/>
          <w:noProof/>
          <w:kern w:val="0"/>
        </w:rPr>
        <w:t>4</w:t>
      </w:r>
      <w:r w:rsidRPr="00B40131">
        <w:rPr>
          <w:rFonts w:ascii="Times New Roman" w:hAnsi="Times New Roman" w:cs="Times New Roman"/>
          <w:noProof/>
          <w:kern w:val="0"/>
        </w:rPr>
        <w:t>(4), 1–27. https://doi.org/10.1016/j.xgen.2024.100523</w:t>
      </w:r>
    </w:p>
    <w:p w14:paraId="53AE9E19" w14:textId="77777777" w:rsidR="00197BFF" w:rsidRPr="00B40131" w:rsidRDefault="00197BFF" w:rsidP="00D579E3">
      <w:pPr>
        <w:widowControl w:val="0"/>
        <w:autoSpaceDE w:val="0"/>
        <w:autoSpaceDN w:val="0"/>
        <w:adjustRightInd w:val="0"/>
        <w:spacing w:after="0" w:line="360" w:lineRule="auto"/>
        <w:ind w:left="480" w:hanging="480"/>
        <w:jc w:val="both"/>
        <w:rPr>
          <w:rFonts w:ascii="Times New Roman" w:hAnsi="Times New Roman" w:cs="Times New Roman"/>
          <w:noProof/>
          <w:kern w:val="0"/>
        </w:rPr>
      </w:pPr>
      <w:r w:rsidRPr="00B40131">
        <w:rPr>
          <w:rFonts w:ascii="Times New Roman" w:hAnsi="Times New Roman" w:cs="Times New Roman"/>
          <w:noProof/>
          <w:kern w:val="0"/>
        </w:rPr>
        <w:t xml:space="preserve">Zhang, X., Xiao, J., Jiang, M., Phillips, C. J. C., &amp; Shi, B. (2025). Thermogenesis and Energy Metabolism in Brown Adipose Tissue in Animals Experiencing Cold Stress. </w:t>
      </w:r>
      <w:r w:rsidRPr="00B40131">
        <w:rPr>
          <w:rFonts w:ascii="Times New Roman" w:hAnsi="Times New Roman" w:cs="Times New Roman"/>
          <w:i/>
          <w:iCs/>
          <w:noProof/>
          <w:kern w:val="0"/>
        </w:rPr>
        <w:t>International Journal of Molecular Sciences</w:t>
      </w:r>
      <w:r w:rsidRPr="00B40131">
        <w:rPr>
          <w:rFonts w:ascii="Times New Roman" w:hAnsi="Times New Roman" w:cs="Times New Roman"/>
          <w:noProof/>
          <w:kern w:val="0"/>
        </w:rPr>
        <w:t xml:space="preserve">, </w:t>
      </w:r>
      <w:r w:rsidRPr="00B40131">
        <w:rPr>
          <w:rFonts w:ascii="Times New Roman" w:hAnsi="Times New Roman" w:cs="Times New Roman"/>
          <w:i/>
          <w:iCs/>
          <w:noProof/>
          <w:kern w:val="0"/>
        </w:rPr>
        <w:t>26</w:t>
      </w:r>
      <w:r w:rsidRPr="00B40131">
        <w:rPr>
          <w:rFonts w:ascii="Times New Roman" w:hAnsi="Times New Roman" w:cs="Times New Roman"/>
          <w:noProof/>
          <w:kern w:val="0"/>
        </w:rPr>
        <w:t>(7), 1–23. https://doi.org/10.3390/ijms26073233</w:t>
      </w:r>
    </w:p>
    <w:p w14:paraId="6CF40CA1" w14:textId="77777777" w:rsidR="00197BFF" w:rsidRPr="00B40131" w:rsidRDefault="00197BFF" w:rsidP="00D579E3">
      <w:pPr>
        <w:widowControl w:val="0"/>
        <w:autoSpaceDE w:val="0"/>
        <w:autoSpaceDN w:val="0"/>
        <w:adjustRightInd w:val="0"/>
        <w:spacing w:after="0" w:line="360" w:lineRule="auto"/>
        <w:ind w:left="480" w:hanging="480"/>
        <w:jc w:val="both"/>
        <w:rPr>
          <w:rFonts w:ascii="Times New Roman" w:hAnsi="Times New Roman" w:cs="Times New Roman"/>
          <w:noProof/>
        </w:rPr>
      </w:pPr>
      <w:r w:rsidRPr="00B40131">
        <w:rPr>
          <w:rFonts w:ascii="Times New Roman" w:hAnsi="Times New Roman" w:cs="Times New Roman"/>
          <w:noProof/>
          <w:kern w:val="0"/>
        </w:rPr>
        <w:t xml:space="preserve">Ziadlou, R., Pandian, G. N., Hafner, J., Akdis, C. A., Stingl, G., Maverakis, E., &amp; Brüggen, M. C. (2024). Subcutaneous adipose tissue: Implications in dermatological diseases and beyond. </w:t>
      </w:r>
      <w:r w:rsidRPr="00B40131">
        <w:rPr>
          <w:rFonts w:ascii="Times New Roman" w:hAnsi="Times New Roman" w:cs="Times New Roman"/>
          <w:i/>
          <w:iCs/>
          <w:noProof/>
          <w:kern w:val="0"/>
        </w:rPr>
        <w:t>Allergy: European Journal of Allergy and Clinical Immunology</w:t>
      </w:r>
      <w:r w:rsidRPr="00B40131">
        <w:rPr>
          <w:rFonts w:ascii="Times New Roman" w:hAnsi="Times New Roman" w:cs="Times New Roman"/>
          <w:noProof/>
          <w:kern w:val="0"/>
        </w:rPr>
        <w:t xml:space="preserve">, </w:t>
      </w:r>
      <w:r w:rsidRPr="00B40131">
        <w:rPr>
          <w:rFonts w:ascii="Times New Roman" w:hAnsi="Times New Roman" w:cs="Times New Roman"/>
          <w:i/>
          <w:iCs/>
          <w:noProof/>
          <w:kern w:val="0"/>
        </w:rPr>
        <w:t>February</w:t>
      </w:r>
      <w:r w:rsidRPr="00B40131">
        <w:rPr>
          <w:rFonts w:ascii="Times New Roman" w:hAnsi="Times New Roman" w:cs="Times New Roman"/>
          <w:noProof/>
          <w:kern w:val="0"/>
        </w:rPr>
        <w:t>, 3310–3325. https://doi.org/10.1111/all.16295</w:t>
      </w:r>
    </w:p>
    <w:p w14:paraId="4B508244" w14:textId="6A868E2D" w:rsidR="00D523E9" w:rsidRPr="00B40131" w:rsidRDefault="00E022A2" w:rsidP="00D579E3">
      <w:pPr>
        <w:spacing w:after="0" w:line="360" w:lineRule="auto"/>
        <w:jc w:val="both"/>
        <w:rPr>
          <w:rFonts w:ascii="Times New Roman" w:hAnsi="Times New Roman" w:cs="Times New Roman"/>
        </w:rPr>
      </w:pPr>
      <w:r w:rsidRPr="00B40131">
        <w:rPr>
          <w:rFonts w:ascii="Times New Roman" w:hAnsi="Times New Roman" w:cs="Times New Roman"/>
        </w:rPr>
        <w:fldChar w:fldCharType="end"/>
      </w:r>
    </w:p>
    <w:sectPr w:rsidR="00D523E9" w:rsidRPr="00B4013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1B3FC5"/>
    <w:multiLevelType w:val="multilevel"/>
    <w:tmpl w:val="46849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CC27ADE"/>
    <w:multiLevelType w:val="hybridMultilevel"/>
    <w:tmpl w:val="DCF2BA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7DF86F93"/>
    <w:multiLevelType w:val="hybridMultilevel"/>
    <w:tmpl w:val="DCF2BA8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7EDA3E75"/>
    <w:multiLevelType w:val="multilevel"/>
    <w:tmpl w:val="792AA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7F971DB8"/>
    <w:multiLevelType w:val="hybridMultilevel"/>
    <w:tmpl w:val="DCF2BA8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9003134">
    <w:abstractNumId w:val="3"/>
  </w:num>
  <w:num w:numId="2" w16cid:durableId="2132480964">
    <w:abstractNumId w:val="0"/>
  </w:num>
  <w:num w:numId="3" w16cid:durableId="1955820978">
    <w:abstractNumId w:val="4"/>
  </w:num>
  <w:num w:numId="4" w16cid:durableId="2052338319">
    <w:abstractNumId w:val="1"/>
  </w:num>
  <w:num w:numId="5" w16cid:durableId="101641779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1C31"/>
    <w:rsid w:val="00004E76"/>
    <w:rsid w:val="00007B5F"/>
    <w:rsid w:val="00015E84"/>
    <w:rsid w:val="00016E3C"/>
    <w:rsid w:val="00022349"/>
    <w:rsid w:val="00042DCE"/>
    <w:rsid w:val="00072DC7"/>
    <w:rsid w:val="000751E3"/>
    <w:rsid w:val="00084C44"/>
    <w:rsid w:val="00085BE3"/>
    <w:rsid w:val="000872B3"/>
    <w:rsid w:val="000A32EF"/>
    <w:rsid w:val="000B27E4"/>
    <w:rsid w:val="000B5342"/>
    <w:rsid w:val="000D01D8"/>
    <w:rsid w:val="000E2A6F"/>
    <w:rsid w:val="000E3B9B"/>
    <w:rsid w:val="000F22F7"/>
    <w:rsid w:val="00103785"/>
    <w:rsid w:val="00103BEA"/>
    <w:rsid w:val="00113A1B"/>
    <w:rsid w:val="00120325"/>
    <w:rsid w:val="00133702"/>
    <w:rsid w:val="001519FE"/>
    <w:rsid w:val="00156944"/>
    <w:rsid w:val="00183834"/>
    <w:rsid w:val="001918A2"/>
    <w:rsid w:val="00191AAB"/>
    <w:rsid w:val="00197BFF"/>
    <w:rsid w:val="001A3FB5"/>
    <w:rsid w:val="001B75D8"/>
    <w:rsid w:val="001C256C"/>
    <w:rsid w:val="001D0E2F"/>
    <w:rsid w:val="001E082F"/>
    <w:rsid w:val="001F15A3"/>
    <w:rsid w:val="001F2926"/>
    <w:rsid w:val="00200132"/>
    <w:rsid w:val="00202D02"/>
    <w:rsid w:val="002068D1"/>
    <w:rsid w:val="00206B2B"/>
    <w:rsid w:val="00236327"/>
    <w:rsid w:val="00242E09"/>
    <w:rsid w:val="00271FA9"/>
    <w:rsid w:val="0027746B"/>
    <w:rsid w:val="00281847"/>
    <w:rsid w:val="0029154E"/>
    <w:rsid w:val="002B48A7"/>
    <w:rsid w:val="002C0ED2"/>
    <w:rsid w:val="002C277A"/>
    <w:rsid w:val="002D38C2"/>
    <w:rsid w:val="002E1AD8"/>
    <w:rsid w:val="002E3713"/>
    <w:rsid w:val="003011CC"/>
    <w:rsid w:val="003242A6"/>
    <w:rsid w:val="00341A40"/>
    <w:rsid w:val="003568E2"/>
    <w:rsid w:val="00392A23"/>
    <w:rsid w:val="00392DD9"/>
    <w:rsid w:val="003B17D3"/>
    <w:rsid w:val="003C1C31"/>
    <w:rsid w:val="003C4BBE"/>
    <w:rsid w:val="003D4FFE"/>
    <w:rsid w:val="003E08B6"/>
    <w:rsid w:val="003F29D5"/>
    <w:rsid w:val="003F6CBC"/>
    <w:rsid w:val="00401722"/>
    <w:rsid w:val="00404D45"/>
    <w:rsid w:val="00405150"/>
    <w:rsid w:val="004150EA"/>
    <w:rsid w:val="00422C8E"/>
    <w:rsid w:val="004240E6"/>
    <w:rsid w:val="00433043"/>
    <w:rsid w:val="00454B74"/>
    <w:rsid w:val="00472341"/>
    <w:rsid w:val="004727E3"/>
    <w:rsid w:val="00480023"/>
    <w:rsid w:val="00497843"/>
    <w:rsid w:val="004B2021"/>
    <w:rsid w:val="004C4011"/>
    <w:rsid w:val="004D03D8"/>
    <w:rsid w:val="004F01C1"/>
    <w:rsid w:val="004F57CE"/>
    <w:rsid w:val="005004AC"/>
    <w:rsid w:val="00501890"/>
    <w:rsid w:val="0051494D"/>
    <w:rsid w:val="0051705D"/>
    <w:rsid w:val="00532FEE"/>
    <w:rsid w:val="00534A41"/>
    <w:rsid w:val="00540F99"/>
    <w:rsid w:val="005534B7"/>
    <w:rsid w:val="005576FE"/>
    <w:rsid w:val="00562923"/>
    <w:rsid w:val="00580083"/>
    <w:rsid w:val="005A4048"/>
    <w:rsid w:val="005A7CAA"/>
    <w:rsid w:val="005C0811"/>
    <w:rsid w:val="005C10BC"/>
    <w:rsid w:val="00667B4D"/>
    <w:rsid w:val="00677B12"/>
    <w:rsid w:val="00680D3E"/>
    <w:rsid w:val="00685915"/>
    <w:rsid w:val="006A1B31"/>
    <w:rsid w:val="006A397B"/>
    <w:rsid w:val="006A4DDB"/>
    <w:rsid w:val="006A665D"/>
    <w:rsid w:val="006B3422"/>
    <w:rsid w:val="006C09D7"/>
    <w:rsid w:val="006D45CB"/>
    <w:rsid w:val="006E3057"/>
    <w:rsid w:val="006E70EC"/>
    <w:rsid w:val="006F41FD"/>
    <w:rsid w:val="006F62F2"/>
    <w:rsid w:val="007136EB"/>
    <w:rsid w:val="00715F59"/>
    <w:rsid w:val="00725E6E"/>
    <w:rsid w:val="00742480"/>
    <w:rsid w:val="007426E3"/>
    <w:rsid w:val="00762225"/>
    <w:rsid w:val="00775791"/>
    <w:rsid w:val="00782D7A"/>
    <w:rsid w:val="00792E4B"/>
    <w:rsid w:val="007A4468"/>
    <w:rsid w:val="007B455E"/>
    <w:rsid w:val="007C2D50"/>
    <w:rsid w:val="007D03A6"/>
    <w:rsid w:val="007E4AF1"/>
    <w:rsid w:val="00803498"/>
    <w:rsid w:val="00803DCC"/>
    <w:rsid w:val="008047D1"/>
    <w:rsid w:val="00807044"/>
    <w:rsid w:val="00813D84"/>
    <w:rsid w:val="00850FC5"/>
    <w:rsid w:val="00865168"/>
    <w:rsid w:val="00870463"/>
    <w:rsid w:val="00871AE9"/>
    <w:rsid w:val="00872A48"/>
    <w:rsid w:val="008733AF"/>
    <w:rsid w:val="00874D78"/>
    <w:rsid w:val="00876DFF"/>
    <w:rsid w:val="0088106A"/>
    <w:rsid w:val="00882B1A"/>
    <w:rsid w:val="00887788"/>
    <w:rsid w:val="008A131F"/>
    <w:rsid w:val="008A5E89"/>
    <w:rsid w:val="008C3A38"/>
    <w:rsid w:val="008C76CD"/>
    <w:rsid w:val="008D0060"/>
    <w:rsid w:val="008D424F"/>
    <w:rsid w:val="008D7ACF"/>
    <w:rsid w:val="008E5ABF"/>
    <w:rsid w:val="008F17C7"/>
    <w:rsid w:val="008F525E"/>
    <w:rsid w:val="008F6E61"/>
    <w:rsid w:val="00900B3E"/>
    <w:rsid w:val="00901295"/>
    <w:rsid w:val="00901C62"/>
    <w:rsid w:val="0093588A"/>
    <w:rsid w:val="00942372"/>
    <w:rsid w:val="00942A9D"/>
    <w:rsid w:val="00943907"/>
    <w:rsid w:val="00943AB6"/>
    <w:rsid w:val="00961F20"/>
    <w:rsid w:val="009624A7"/>
    <w:rsid w:val="0097284D"/>
    <w:rsid w:val="00977853"/>
    <w:rsid w:val="00984236"/>
    <w:rsid w:val="00987F27"/>
    <w:rsid w:val="0099294F"/>
    <w:rsid w:val="009A1B16"/>
    <w:rsid w:val="009A228E"/>
    <w:rsid w:val="009A400E"/>
    <w:rsid w:val="00A04CCB"/>
    <w:rsid w:val="00A06E02"/>
    <w:rsid w:val="00A1436D"/>
    <w:rsid w:val="00A217BE"/>
    <w:rsid w:val="00A21F05"/>
    <w:rsid w:val="00A25FE7"/>
    <w:rsid w:val="00A26749"/>
    <w:rsid w:val="00A323DE"/>
    <w:rsid w:val="00A4768D"/>
    <w:rsid w:val="00A579CE"/>
    <w:rsid w:val="00A65B85"/>
    <w:rsid w:val="00A65D55"/>
    <w:rsid w:val="00A67FE3"/>
    <w:rsid w:val="00A81E38"/>
    <w:rsid w:val="00A91921"/>
    <w:rsid w:val="00A91C4B"/>
    <w:rsid w:val="00A96B89"/>
    <w:rsid w:val="00AA6D17"/>
    <w:rsid w:val="00AC756D"/>
    <w:rsid w:val="00AD0960"/>
    <w:rsid w:val="00AD664E"/>
    <w:rsid w:val="00AE08E3"/>
    <w:rsid w:val="00AF4665"/>
    <w:rsid w:val="00AF5355"/>
    <w:rsid w:val="00B042B1"/>
    <w:rsid w:val="00B149ED"/>
    <w:rsid w:val="00B17366"/>
    <w:rsid w:val="00B36436"/>
    <w:rsid w:val="00B40131"/>
    <w:rsid w:val="00B40996"/>
    <w:rsid w:val="00B42947"/>
    <w:rsid w:val="00B4787A"/>
    <w:rsid w:val="00B53E07"/>
    <w:rsid w:val="00B575AF"/>
    <w:rsid w:val="00B62E9D"/>
    <w:rsid w:val="00B955CF"/>
    <w:rsid w:val="00B970CC"/>
    <w:rsid w:val="00BA5CF7"/>
    <w:rsid w:val="00BB29CC"/>
    <w:rsid w:val="00BB2C1B"/>
    <w:rsid w:val="00BC176B"/>
    <w:rsid w:val="00BE1105"/>
    <w:rsid w:val="00BE335A"/>
    <w:rsid w:val="00BF2A44"/>
    <w:rsid w:val="00C22BA8"/>
    <w:rsid w:val="00C3484A"/>
    <w:rsid w:val="00C37CA6"/>
    <w:rsid w:val="00C55116"/>
    <w:rsid w:val="00C71092"/>
    <w:rsid w:val="00C760B7"/>
    <w:rsid w:val="00C76B9D"/>
    <w:rsid w:val="00C83841"/>
    <w:rsid w:val="00C8457B"/>
    <w:rsid w:val="00C87C7E"/>
    <w:rsid w:val="00CA1521"/>
    <w:rsid w:val="00CB7C3C"/>
    <w:rsid w:val="00CB7ED9"/>
    <w:rsid w:val="00CD1593"/>
    <w:rsid w:val="00CE31FE"/>
    <w:rsid w:val="00CE5E2A"/>
    <w:rsid w:val="00CF1470"/>
    <w:rsid w:val="00CF3652"/>
    <w:rsid w:val="00CF6B90"/>
    <w:rsid w:val="00D1180B"/>
    <w:rsid w:val="00D122CB"/>
    <w:rsid w:val="00D2054B"/>
    <w:rsid w:val="00D23421"/>
    <w:rsid w:val="00D263CB"/>
    <w:rsid w:val="00D3736B"/>
    <w:rsid w:val="00D37C32"/>
    <w:rsid w:val="00D37D9D"/>
    <w:rsid w:val="00D4605E"/>
    <w:rsid w:val="00D523E9"/>
    <w:rsid w:val="00D552A8"/>
    <w:rsid w:val="00D579E3"/>
    <w:rsid w:val="00DB3156"/>
    <w:rsid w:val="00DB70AF"/>
    <w:rsid w:val="00DB7261"/>
    <w:rsid w:val="00DC7C81"/>
    <w:rsid w:val="00DD690D"/>
    <w:rsid w:val="00E008B0"/>
    <w:rsid w:val="00E022A2"/>
    <w:rsid w:val="00E21ABD"/>
    <w:rsid w:val="00E27A8C"/>
    <w:rsid w:val="00E35E4F"/>
    <w:rsid w:val="00E4512D"/>
    <w:rsid w:val="00E46742"/>
    <w:rsid w:val="00E536B7"/>
    <w:rsid w:val="00E964D7"/>
    <w:rsid w:val="00EA44D9"/>
    <w:rsid w:val="00EB3C40"/>
    <w:rsid w:val="00EC3AC5"/>
    <w:rsid w:val="00ED3BDC"/>
    <w:rsid w:val="00EE17E4"/>
    <w:rsid w:val="00EF536B"/>
    <w:rsid w:val="00F0065A"/>
    <w:rsid w:val="00F010EE"/>
    <w:rsid w:val="00F0675A"/>
    <w:rsid w:val="00F110D0"/>
    <w:rsid w:val="00F16E55"/>
    <w:rsid w:val="00F32C4A"/>
    <w:rsid w:val="00F351EB"/>
    <w:rsid w:val="00F40074"/>
    <w:rsid w:val="00F56D78"/>
    <w:rsid w:val="00F57928"/>
    <w:rsid w:val="00F7461E"/>
    <w:rsid w:val="00F86262"/>
    <w:rsid w:val="00FA6D06"/>
    <w:rsid w:val="00FB7876"/>
    <w:rsid w:val="00FD12CF"/>
    <w:rsid w:val="00FE2024"/>
    <w:rsid w:val="00FE60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BD9D62F"/>
  <w15:chartTrackingRefBased/>
  <w15:docId w15:val="{C3D8B741-428E-4A0B-9214-2AA19B10A8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17C7"/>
  </w:style>
  <w:style w:type="paragraph" w:styleId="Heading1">
    <w:name w:val="heading 1"/>
    <w:basedOn w:val="Normal"/>
    <w:next w:val="Normal"/>
    <w:link w:val="Heading1Char"/>
    <w:uiPriority w:val="9"/>
    <w:qFormat/>
    <w:rsid w:val="003C1C3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C1C3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C1C3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C1C3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C1C3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C1C3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C1C3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C1C3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C1C3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1C3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C1C3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C1C3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C1C3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C1C3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C1C3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C1C3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C1C3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C1C31"/>
    <w:rPr>
      <w:rFonts w:eastAsiaTheme="majorEastAsia" w:cstheme="majorBidi"/>
      <w:color w:val="272727" w:themeColor="text1" w:themeTint="D8"/>
    </w:rPr>
  </w:style>
  <w:style w:type="paragraph" w:styleId="Title">
    <w:name w:val="Title"/>
    <w:basedOn w:val="Normal"/>
    <w:next w:val="Normal"/>
    <w:link w:val="TitleChar"/>
    <w:uiPriority w:val="10"/>
    <w:qFormat/>
    <w:rsid w:val="003C1C3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C1C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C1C3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C1C3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C1C31"/>
    <w:pPr>
      <w:spacing w:before="160"/>
      <w:jc w:val="center"/>
    </w:pPr>
    <w:rPr>
      <w:i/>
      <w:iCs/>
      <w:color w:val="404040" w:themeColor="text1" w:themeTint="BF"/>
    </w:rPr>
  </w:style>
  <w:style w:type="character" w:customStyle="1" w:styleId="QuoteChar">
    <w:name w:val="Quote Char"/>
    <w:basedOn w:val="DefaultParagraphFont"/>
    <w:link w:val="Quote"/>
    <w:uiPriority w:val="29"/>
    <w:rsid w:val="003C1C31"/>
    <w:rPr>
      <w:i/>
      <w:iCs/>
      <w:color w:val="404040" w:themeColor="text1" w:themeTint="BF"/>
    </w:rPr>
  </w:style>
  <w:style w:type="paragraph" w:styleId="ListParagraph">
    <w:name w:val="List Paragraph"/>
    <w:basedOn w:val="Normal"/>
    <w:uiPriority w:val="34"/>
    <w:qFormat/>
    <w:rsid w:val="003C1C31"/>
    <w:pPr>
      <w:ind w:left="720"/>
      <w:contextualSpacing/>
    </w:pPr>
  </w:style>
  <w:style w:type="character" w:styleId="IntenseEmphasis">
    <w:name w:val="Intense Emphasis"/>
    <w:basedOn w:val="DefaultParagraphFont"/>
    <w:uiPriority w:val="21"/>
    <w:qFormat/>
    <w:rsid w:val="003C1C31"/>
    <w:rPr>
      <w:i/>
      <w:iCs/>
      <w:color w:val="0F4761" w:themeColor="accent1" w:themeShade="BF"/>
    </w:rPr>
  </w:style>
  <w:style w:type="paragraph" w:styleId="IntenseQuote">
    <w:name w:val="Intense Quote"/>
    <w:basedOn w:val="Normal"/>
    <w:next w:val="Normal"/>
    <w:link w:val="IntenseQuoteChar"/>
    <w:uiPriority w:val="30"/>
    <w:qFormat/>
    <w:rsid w:val="003C1C3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C1C31"/>
    <w:rPr>
      <w:i/>
      <w:iCs/>
      <w:color w:val="0F4761" w:themeColor="accent1" w:themeShade="BF"/>
    </w:rPr>
  </w:style>
  <w:style w:type="character" w:styleId="IntenseReference">
    <w:name w:val="Intense Reference"/>
    <w:basedOn w:val="DefaultParagraphFont"/>
    <w:uiPriority w:val="32"/>
    <w:qFormat/>
    <w:rsid w:val="003C1C31"/>
    <w:rPr>
      <w:b/>
      <w:bCs/>
      <w:smallCaps/>
      <w:color w:val="0F4761" w:themeColor="accent1" w:themeShade="BF"/>
      <w:spacing w:val="5"/>
    </w:rPr>
  </w:style>
  <w:style w:type="paragraph" w:styleId="NormalWeb">
    <w:name w:val="Normal (Web)"/>
    <w:basedOn w:val="Normal"/>
    <w:uiPriority w:val="99"/>
    <w:unhideWhenUsed/>
    <w:rsid w:val="00A25FE7"/>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Hyperlink">
    <w:name w:val="Hyperlink"/>
    <w:basedOn w:val="DefaultParagraphFont"/>
    <w:uiPriority w:val="99"/>
    <w:unhideWhenUsed/>
    <w:rsid w:val="00BB29CC"/>
    <w:rPr>
      <w:color w:val="467886" w:themeColor="hyperlink"/>
      <w:u w:val="single"/>
    </w:rPr>
  </w:style>
  <w:style w:type="character" w:styleId="UnresolvedMention">
    <w:name w:val="Unresolved Mention"/>
    <w:basedOn w:val="DefaultParagraphFont"/>
    <w:uiPriority w:val="99"/>
    <w:semiHidden/>
    <w:unhideWhenUsed/>
    <w:rsid w:val="00BB29C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223212">
      <w:bodyDiv w:val="1"/>
      <w:marLeft w:val="0"/>
      <w:marRight w:val="0"/>
      <w:marTop w:val="0"/>
      <w:marBottom w:val="0"/>
      <w:divBdr>
        <w:top w:val="none" w:sz="0" w:space="0" w:color="auto"/>
        <w:left w:val="none" w:sz="0" w:space="0" w:color="auto"/>
        <w:bottom w:val="none" w:sz="0" w:space="0" w:color="auto"/>
        <w:right w:val="none" w:sz="0" w:space="0" w:color="auto"/>
      </w:divBdr>
    </w:div>
    <w:div w:id="8484703">
      <w:bodyDiv w:val="1"/>
      <w:marLeft w:val="0"/>
      <w:marRight w:val="0"/>
      <w:marTop w:val="0"/>
      <w:marBottom w:val="0"/>
      <w:divBdr>
        <w:top w:val="none" w:sz="0" w:space="0" w:color="auto"/>
        <w:left w:val="none" w:sz="0" w:space="0" w:color="auto"/>
        <w:bottom w:val="none" w:sz="0" w:space="0" w:color="auto"/>
        <w:right w:val="none" w:sz="0" w:space="0" w:color="auto"/>
      </w:divBdr>
    </w:div>
    <w:div w:id="14624518">
      <w:bodyDiv w:val="1"/>
      <w:marLeft w:val="0"/>
      <w:marRight w:val="0"/>
      <w:marTop w:val="0"/>
      <w:marBottom w:val="0"/>
      <w:divBdr>
        <w:top w:val="none" w:sz="0" w:space="0" w:color="auto"/>
        <w:left w:val="none" w:sz="0" w:space="0" w:color="auto"/>
        <w:bottom w:val="none" w:sz="0" w:space="0" w:color="auto"/>
        <w:right w:val="none" w:sz="0" w:space="0" w:color="auto"/>
      </w:divBdr>
    </w:div>
    <w:div w:id="390496127">
      <w:bodyDiv w:val="1"/>
      <w:marLeft w:val="0"/>
      <w:marRight w:val="0"/>
      <w:marTop w:val="0"/>
      <w:marBottom w:val="0"/>
      <w:divBdr>
        <w:top w:val="none" w:sz="0" w:space="0" w:color="auto"/>
        <w:left w:val="none" w:sz="0" w:space="0" w:color="auto"/>
        <w:bottom w:val="none" w:sz="0" w:space="0" w:color="auto"/>
        <w:right w:val="none" w:sz="0" w:space="0" w:color="auto"/>
      </w:divBdr>
    </w:div>
    <w:div w:id="1214928581">
      <w:bodyDiv w:val="1"/>
      <w:marLeft w:val="0"/>
      <w:marRight w:val="0"/>
      <w:marTop w:val="0"/>
      <w:marBottom w:val="0"/>
      <w:divBdr>
        <w:top w:val="none" w:sz="0" w:space="0" w:color="auto"/>
        <w:left w:val="none" w:sz="0" w:space="0" w:color="auto"/>
        <w:bottom w:val="none" w:sz="0" w:space="0" w:color="auto"/>
        <w:right w:val="none" w:sz="0" w:space="0" w:color="auto"/>
      </w:divBdr>
    </w:div>
    <w:div w:id="1512840933">
      <w:bodyDiv w:val="1"/>
      <w:marLeft w:val="0"/>
      <w:marRight w:val="0"/>
      <w:marTop w:val="0"/>
      <w:marBottom w:val="0"/>
      <w:divBdr>
        <w:top w:val="none" w:sz="0" w:space="0" w:color="auto"/>
        <w:left w:val="none" w:sz="0" w:space="0" w:color="auto"/>
        <w:bottom w:val="none" w:sz="0" w:space="0" w:color="auto"/>
        <w:right w:val="none" w:sz="0" w:space="0" w:color="auto"/>
      </w:divBdr>
    </w:div>
    <w:div w:id="1738626203">
      <w:bodyDiv w:val="1"/>
      <w:marLeft w:val="0"/>
      <w:marRight w:val="0"/>
      <w:marTop w:val="0"/>
      <w:marBottom w:val="0"/>
      <w:divBdr>
        <w:top w:val="none" w:sz="0" w:space="0" w:color="auto"/>
        <w:left w:val="none" w:sz="0" w:space="0" w:color="auto"/>
        <w:bottom w:val="none" w:sz="0" w:space="0" w:color="auto"/>
        <w:right w:val="none" w:sz="0" w:space="0" w:color="auto"/>
      </w:divBdr>
    </w:div>
    <w:div w:id="1910845056">
      <w:bodyDiv w:val="1"/>
      <w:marLeft w:val="0"/>
      <w:marRight w:val="0"/>
      <w:marTop w:val="0"/>
      <w:marBottom w:val="0"/>
      <w:divBdr>
        <w:top w:val="none" w:sz="0" w:space="0" w:color="auto"/>
        <w:left w:val="none" w:sz="0" w:space="0" w:color="auto"/>
        <w:bottom w:val="none" w:sz="0" w:space="0" w:color="auto"/>
        <w:right w:val="none" w:sz="0" w:space="0" w:color="auto"/>
      </w:divBdr>
    </w:div>
    <w:div w:id="2135174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doi.org/10.1038/s41591-021-01672-4" TargetMode="Externa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0500C-B4B5-43DD-AE7D-E80AC681F1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1785</TotalTime>
  <Pages>12</Pages>
  <Words>6620</Words>
  <Characters>39063</Characters>
  <Application>Microsoft Office Word</Application>
  <DocSecurity>0</DocSecurity>
  <Lines>1116</Lines>
  <Paragraphs>671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Ayembilla</dc:creator>
  <cp:keywords/>
  <dc:description/>
  <cp:lastModifiedBy>Jacob Ayembilla</cp:lastModifiedBy>
  <cp:revision>135</cp:revision>
  <dcterms:created xsi:type="dcterms:W3CDTF">2025-06-25T15:52:00Z</dcterms:created>
  <dcterms:modified xsi:type="dcterms:W3CDTF">2025-06-27T09:53:00Z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5d36cbdd-c8c9-4613-abad-a5aba9c34daf</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6th/7th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12th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4th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9th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ae97a083-0cfe-3362-8a8f-59b7ecebd988</vt:lpwstr>
  </property>
  <property fmtid="{D5CDD505-2E9C-101B-9397-08002B2CF9AE}" pid="25" name="Mendeley Citation Style_1">
    <vt:lpwstr>http://www.zotero.org/styles/apa</vt:lpwstr>
  </property>
</Properties>
</file>