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第4章 质量改进方案设计与实施</w:t>
      </w:r>
    </w:p>
    <w:p>
      <w:pPr>
        <w:pStyle w:val="Heading2"/>
      </w:pPr>
      <w:r>
        <w:t>4.1 改进方案总体框架</w:t>
      </w:r>
    </w:p>
    <w:p>
      <w:r>
        <w:t>本研究遵循"问题识别→根因分析→方案设计→实施验证"的逻辑框架，聚焦油箱晃动异响问题的系统性解决。基于第三章根因分析，本章从失效模式视角，整合技术改进与保障措施，形成完整的改进方案。</w:t>
      </w:r>
    </w:p>
    <w:p/>
    <w:p>
      <w:pPr>
        <w:pStyle w:val="Heading2"/>
      </w:pPr>
      <w:r>
        <w:t>4.2 油箱异响问题对策</w:t>
      </w:r>
    </w:p>
    <w:p>
      <w:r>
        <w:rPr>
          <w:b w:val="0"/>
        </w:rPr>
        <w:t>基于第三章对Y车型IQF高故障数的根因分析，本节针对油箱异响问题，设计"直接对策→过程保障→管理保障"三层改进体系，实现从被动应对向主动预防的转变。</w:t>
      </w:r>
    </w:p>
    <w:p/>
    <w:p>
      <w:pPr>
        <w:pStyle w:val="Heading3"/>
      </w:pPr>
      <w:r>
        <w:t>4.2.1 直接对策：DOE参数优化与密封结构改进</w:t>
      </w:r>
    </w:p>
    <w:p>
      <w:r>
        <w:t>基于CAE仿真结果，密封条厚度偏薄（6.0mm）和胶水用量不足（40ml）是导致油箱异响的直接技术原因。本小节通过DOE实验量化参数组合对异响评分的影响，科学确定最优参数组合。</w:t>
      </w:r>
    </w:p>
    <w:p>
      <w:pPr>
        <w:pStyle w:val="ListBullet"/>
      </w:pPr>
      <w:r>
        <w:t>【三因子二水平全因子实验设计】</w:t>
      </w:r>
    </w:p>
    <w:p>
      <w:pPr>
        <w:pStyle w:val="ListBullet"/>
      </w:pPr>
      <w:r>
        <w:t>选取同批次样车安装不同参数组合的油箱，在相对安静和相对嘈杂的环境下由跨职能团队模拟用户工况进行主观评价验证。</w:t>
      </w:r>
    </w:p>
    <w:p>
      <w:pPr>
        <w:pStyle w:val="ListBullet"/>
      </w:pPr>
      <w:r>
        <w:t>【回归方程】</w:t>
      </w:r>
    </w:p>
    <w:p>
      <w:r>
        <w:rPr>
          <w:i/>
        </w:rPr>
        <w:t>Y = 6.2788 + 0.2462×A + 0.5412×B + 0.1838×C - 0.1662×A×B</w:t>
      </w:r>
    </w:p>
    <w:p>
      <w:r>
        <w:t>其中：A为密封条厚度（mm），B为胶水用量（ml），C为环境噪声（dB）</w:t>
      </w:r>
    </w:p>
    <w:p>
      <w:pPr>
        <w:pStyle w:val="ListBullet"/>
      </w:pPr>
      <w:r>
        <w:t>【最优参数确定】</w:t>
      </w:r>
    </w:p>
    <w:p>
      <w:r>
        <w:t>基于方差分析（91.99%方差解释率），确定最优参数组合：密封条厚度6.5mm、胶水用量80ml。异响评分从5.25分提升至7.5分，提升幅度达42.9%。</w:t>
      </w:r>
    </w:p>
    <w:p>
      <w:pPr>
        <w:pStyle w:val="ListBullet"/>
      </w:pPr>
      <w:r>
        <w:t>【密封结构改进】</w:t>
      </w:r>
    </w:p>
    <w:p>
      <w:r>
        <w:t>为增强密封效果可靠性，在设计迭代中增加密封条"倒刺"结构（图4-11），进一步降低异响发生概率。</w:t>
      </w:r>
    </w:p>
    <w:p/>
    <w:p>
      <w:pPr>
        <w:pStyle w:val="Heading3"/>
      </w:pPr>
      <w:r>
        <w:t>4.2.2 过程保障：工艺标准化与检测规范化</w:t>
      </w:r>
    </w:p>
    <w:p>
      <w:r>
        <w:t>针对第三章识别的"制造工艺波动导致密封不一致"根因，本小节通过工艺标准化和检测规范化，确保设计参数在生产环节精准执行。</w:t>
      </w:r>
    </w:p>
    <w:p>
      <w:pPr>
        <w:pStyle w:val="ListBullet"/>
      </w:pPr>
      <w:r>
        <w:t>【高精度定位工装】</w:t>
      </w:r>
    </w:p>
    <w:p>
      <w:r>
        <w:t>引入数控加工定位工装，定位精度达±0.1mm，确保每次焊接位置一致性。实施效果：焊接位置偏差降低60%。</w:t>
      </w:r>
    </w:p>
    <w:p>
      <w:pPr>
        <w:pStyle w:val="ListBullet"/>
      </w:pPr>
      <w:r>
        <w:t>【透光检测法】</w:t>
      </w:r>
    </w:p>
    <w:p>
      <w:r>
        <w:t>替代原有渗水检测法，利用光源照射密封间隙，通过透光强度判断密封一致性。检测时间从30分钟缩短至5分钟，同时避免水箱残留导致的二次污染。</w:t>
      </w:r>
    </w:p>
    <w:p>
      <w:pPr>
        <w:pStyle w:val="ListBullet"/>
      </w:pPr>
      <w:r>
        <w:t>【关键质量监控点】</w:t>
      </w:r>
    </w:p>
    <w:p>
      <w:r>
        <w:t>密封条厚度和胶水量实行首件确认和过程检查。不合格品必须登记原因并追溯上一批次同类产品，形成闭环管控。</w:t>
      </w:r>
    </w:p>
    <w:p/>
    <w:p>
      <w:pPr>
        <w:pStyle w:val="Heading3"/>
      </w:pPr>
      <w:r>
        <w:t>4.2.3 管理保障：三级责任体系与评审机制</w:t>
      </w:r>
    </w:p>
    <w:p>
      <w:r>
        <w:t>技术措施的有效落地需要管理保障。本小节借鉴全面质量管理（TQM）理论，建立组织与激励保障体系。</w:t>
      </w:r>
    </w:p>
    <w:p>
      <w:pPr>
        <w:pStyle w:val="ListBullet"/>
      </w:pPr>
      <w:r>
        <w:t>【"专项负责人-技术专家-执行工程师"三级责任体系】</w:t>
      </w:r>
    </w:p>
    <w:p>
      <w:r>
        <w:t>第一级：项目质量经理担任专项负责人，统筹协调资源；第二级：动力系统技术经理担任技术专家，负责技术方案决策；第三级：工艺工程师和质量工程师负责方案执行与跟踪。</w:t>
      </w:r>
    </w:p>
    <w:p>
      <w:pPr>
        <w:pStyle w:val="ListBullet"/>
      </w:pPr>
      <w:r>
        <w:t>【帕累托图优先级识别】</w:t>
      </w:r>
    </w:p>
    <w:p>
      <w:r>
        <w:t>IQF质量整合专员使用帕累托图工具量化分析缺陷，识别对IQF分值影响最大的TOP问题。每周更新的帕累托图作为计划阶段输出，提供数据驱动的决策依据。</w:t>
      </w:r>
    </w:p>
    <w:p>
      <w:pPr>
        <w:pStyle w:val="ListBullet"/>
      </w:pPr>
      <w:r>
        <w:t>【定期评审机制】</w:t>
      </w:r>
    </w:p>
    <w:p>
      <w:r>
        <w:t>每周二至周四设定固定评审会，由IQF质量整合专员、缺陷管理专员和产品与工艺质量认可专员分头主持，仅聚焦已完成现场原因分析的缺陷，提升执行效率。</w:t>
      </w:r>
    </w:p>
    <w:p>
      <w:pPr>
        <w:pStyle w:val="ListBullet"/>
      </w:pPr>
      <w:r>
        <w:t>【TITAN系统IQF预测预警】</w:t>
      </w:r>
    </w:p>
    <w:p>
      <w:r>
        <w:t>每周五将行动方案完成时间和有效性预估输入TITAN系统，生成IQF预测曲线。预警触发后，24小时内启动专项分析，72小时内制定纠正措施。</w:t>
      </w:r>
    </w:p>
    <w:p>
      <w:pPr>
        <w:pStyle w:val="ListBullet"/>
      </w:pPr>
      <w:r>
        <w:t>【每日晚会与周报】</w:t>
      </w:r>
    </w:p>
    <w:p>
      <w:r>
        <w:t>每日晚会（周一至周四）以站立会形式分享当天IQF分析进展。每周五采用OKR格式发送质量周报，总结本周状态，明确关键风险和下周重点。</w:t>
      </w:r>
    </w:p>
    <w:p/>
    <w:p>
      <w:pPr>
        <w:pStyle w:val="Heading3"/>
      </w:pPr>
      <w:r>
        <w:t>4.2.4 PFMEA框架整合</w:t>
      </w:r>
    </w:p>
    <w:p>
      <w:r>
        <w:t>基于上述三类对策，本研究建立PFMEA框架，从严重度（S）、发生度（O）、探测度（D）三个维度实现持续改进闭环。</w:t>
      </w:r>
    </w:p>
    <w:p>
      <w:pPr>
        <w:pStyle w:val="ListBullet"/>
      </w:pPr>
      <w:r>
        <w:t>【改进前RPN=256】</w:t>
      </w:r>
    </w:p>
    <w:p>
      <w:r>
        <w:t>S=4（异响明显，客户抱怨）+ O=8（高频发生）+ D=8（主观评价难精准）= 256</w:t>
      </w:r>
    </w:p>
    <w:p>
      <w:pPr>
        <w:pStyle w:val="ListBullet"/>
      </w:pPr>
      <w:r>
        <w:t>【改进后RPN=24】</w:t>
      </w:r>
    </w:p>
    <w:p>
      <w:r>
        <w:t>S=2（残余异响极轻微）+ O=3（优化后低发生）+ D=4（蓝光精准检测）= 24</w:t>
      </w:r>
    </w:p>
    <w:p>
      <w:pPr>
        <w:pStyle w:val="ListBullet"/>
      </w:pPr>
      <w:r>
        <w:t>【RPN下降89%】</w:t>
      </w:r>
    </w:p>
    <w:p>
      <w:r>
        <w:t>验证了"直接对策→过程保障→管理保障"三层体系的有效性。</w:t>
      </w:r>
    </w:p>
    <w:p/>
    <w:p>
      <w:pPr>
        <w:pStyle w:val="Heading2"/>
      </w:pPr>
      <w:r>
        <w:t>4.3 持续改进机制</w:t>
      </w:r>
    </w:p>
    <w:p>
      <w:r>
        <w:t>基于PFMEA框架，本节建立长期稳定的持续改进机制，确保改进成果不反弹。详见4.2.4框架整合所述，此处从略。</w:t>
      </w:r>
    </w:p>
    <w:p>
      <w:pPr>
        <w:pStyle w:val="Heading2"/>
      </w:pPr>
      <w:r>
        <w:t>4.4 本章小结</w:t>
      </w:r>
    </w:p>
    <w:p>
      <w:r>
        <w:t>本章基于第三章根因分析，运用PFMEA框架，设计了"直接对策→过程保障→管理保障"三层改进体系。DOE实验确定了最优参数组合（6.5mm/80ml），工艺标准化确保参数落地，三级责任体系和评审机制提供组织保障，PFMEA框架实现持续改进闭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