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持续改进措施（FMEA评分依据参考版）</w:t>
      </w:r>
    </w:p>
    <w:p>
      <w:pPr>
        <w:pStyle w:val="Heading2"/>
      </w:pPr>
      <w:r>
        <w:t>4.3.1 FMEA评分标准依据</w:t>
      </w:r>
    </w:p>
    <w:p>
      <w:r>
        <w:t>根据AIAG《FMEA手册》第四版及汽车行业标准，制定本项目油箱晃动异响问题的FMEA评分标准：</w:t>
      </w:r>
    </w:p>
    <w:p>
      <w:pPr>
        <w:pStyle w:val="Heading3"/>
      </w:pPr>
      <w:r>
        <w:t>（1）严重度（Severity, S）评分标准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标准描述</w:t>
            </w:r>
          </w:p>
        </w:tc>
        <w:tc>
          <w:tcPr>
            <w:tcW w:type="dxa" w:w="2880"/>
          </w:tcPr>
          <w:p>
            <w:r>
              <w:t>本项目应用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无安全影响，几乎无察觉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轻微影响，驾乘人员不舒适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异响导致客户抱怨，但不影响行车安全</w:t>
            </w:r>
          </w:p>
        </w:tc>
        <w:tc>
          <w:tcPr>
            <w:tcW w:type="dxa" w:w="2880"/>
          </w:tcPr>
          <w:p>
            <w:r>
              <w:t>✅ 油箱晃动异响（S=3）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较高影响，驾乘人员非常不舒适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影响安全，可能导致事故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3"/>
      </w:pPr>
      <w:r>
        <w:t>（2）发生度（Occurrence, O）评分标准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标准描述（失效模式发生概率）</w:t>
            </w:r>
          </w:p>
        </w:tc>
        <w:tc>
          <w:tcPr>
            <w:tcW w:type="dxa" w:w="2880"/>
          </w:tcPr>
          <w:p>
            <w:r>
              <w:t>本项目应用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失效极不可能发生（&lt;1/1,500,000）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发生概率很低（&lt;1/150,000）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发生概率低（&lt;1/5,000）</w:t>
            </w:r>
          </w:p>
        </w:tc>
        <w:tc>
          <w:tcPr>
            <w:tcW w:type="dxa" w:w="2880"/>
          </w:tcPr>
          <w:p>
            <w:r>
              <w:t>✅ 优化密封条+点胶量后O=3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中等发生概率（&lt;1/1,000）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较高发生概率（&lt;1/100）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3"/>
      </w:pPr>
      <w:r>
        <w:t>（3）探测度（Detection, D）评分标准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标准描述（探测难度）</w:t>
            </w:r>
          </w:p>
        </w:tc>
        <w:tc>
          <w:tcPr>
            <w:tcW w:type="dxa" w:w="2880"/>
          </w:tcPr>
          <w:p>
            <w:r>
              <w:t>本项目应用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几乎肯定能探测到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高概率探测到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中等探测能力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探测难度中等（现有检测方法）</w:t>
            </w:r>
          </w:p>
        </w:tc>
        <w:tc>
          <w:tcPr>
            <w:tcW w:type="dxa" w:w="2880"/>
          </w:tcPr>
          <w:p>
            <w:r>
              <w:t>✅ 蓝光检测D=4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探测难度较高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很难探测到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几乎无法探测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2"/>
      </w:pPr>
      <w:r>
        <w:t>4.3.2 RPN计算过程</w:t>
      </w:r>
    </w:p>
    <w:p>
      <w:r>
        <w:t>基于上述评分标准，改进前后RPN计算如下：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严重度S</w:t>
            </w:r>
          </w:p>
        </w:tc>
        <w:tc>
          <w:tcPr>
            <w:tcW w:type="dxa" w:w="1728"/>
          </w:tcPr>
          <w:p>
            <w:r>
              <w:t>发生度O</w:t>
            </w:r>
          </w:p>
        </w:tc>
        <w:tc>
          <w:tcPr>
            <w:tcW w:type="dxa" w:w="1728"/>
          </w:tcPr>
          <w:p>
            <w:r>
              <w:t>探测度D</w:t>
            </w:r>
          </w:p>
        </w:tc>
        <w:tc>
          <w:tcPr>
            <w:tcW w:type="dxa" w:w="1728"/>
          </w:tcPr>
          <w:p>
            <w:r>
              <w:t>RPN=S×O×D</w:t>
            </w:r>
          </w:p>
        </w:tc>
      </w:tr>
      <w:tr>
        <w:tc>
          <w:tcPr>
            <w:tcW w:type="dxa" w:w="1728"/>
          </w:tcPr>
          <w:p>
            <w:r>
              <w:t>改进前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216</w:t>
            </w:r>
          </w:p>
        </w:tc>
      </w:tr>
      <w:tr>
        <w:tc>
          <w:tcPr>
            <w:tcW w:type="dxa" w:w="1728"/>
          </w:tcPr>
          <w:p>
            <w:r>
              <w:t>改进后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变化</w:t>
            </w:r>
          </w:p>
        </w:tc>
        <w:tc>
          <w:tcPr>
            <w:tcW w:type="dxa" w:w="1728"/>
          </w:tcPr>
          <w:p>
            <w:r>
              <w:t>↓67%</w:t>
            </w:r>
          </w:p>
        </w:tc>
        <w:tc>
          <w:tcPr>
            <w:tcW w:type="dxa" w:w="1728"/>
          </w:tcPr>
          <w:p>
            <w:r>
              <w:t>↓63%</w:t>
            </w:r>
          </w:p>
        </w:tc>
        <w:tc>
          <w:tcPr>
            <w:tcW w:type="dxa" w:w="1728"/>
          </w:tcPr>
          <w:p>
            <w:r>
              <w:t>↑33%</w:t>
            </w:r>
          </w:p>
        </w:tc>
        <w:tc>
          <w:tcPr>
            <w:tcW w:type="dxa" w:w="1728"/>
          </w:tcPr>
          <w:p>
            <w:r>
              <w:t>↓83%</w:t>
            </w:r>
          </w:p>
        </w:tc>
      </w:tr>
    </w:tbl>
    <w:p/>
    <w:p>
      <w:pPr>
        <w:pStyle w:val="Heading3"/>
      </w:pPr>
      <w:r>
        <w:t>RPN计算依据</w:t>
      </w:r>
    </w:p>
    <w:p>
      <w:r>
        <w:rPr>
          <w:b/>
        </w:rPr>
        <w:t>改进前RPN=216：</w:t>
      </w:r>
      <w:r>
        <w:t>S=9（严重影响行车安全）+ O=8（高频发生）+ D=3（易探测）= 216</w:t>
      </w:r>
    </w:p>
    <w:p>
      <w:r>
        <w:rPr>
          <w:b/>
        </w:rPr>
        <w:t>改进后RPN=36：</w:t>
      </w:r>
      <w:r>
        <w:t>S=3（客户抱怨，不影响安全）+ O=3（低发生概率）+ D=4（中等探测难度）= 36</w:t>
      </w:r>
    </w:p>
    <w:p/>
    <w:p>
      <w:r>
        <w:t>数据来源：</w:t>
      </w:r>
    </w:p>
    <w:p>
      <w:pPr>
        <w:pStyle w:val="ListBullet"/>
      </w:pPr>
      <w:r>
        <w:t>S评分依据：AIAG《FMEA手册》第四版，严重度量表 automotive severity criteria</w:t>
      </w:r>
    </w:p>
    <w:p>
      <w:pPr>
        <w:pStyle w:val="ListBullet"/>
      </w:pPr>
      <w:r>
        <w:t>O评分依据：AIAG《FMEA手册》，基于历史质量数据和供应商来料检验统计</w:t>
      </w:r>
    </w:p>
    <w:p>
      <w:pPr>
        <w:pStyle w:val="ListBullet"/>
      </w:pPr>
      <w:r>
        <w:t>D评分依据：AIAG《FMEA手册》，基于现有检测能力和蓝光检测系统参数</w:t>
      </w:r>
    </w:p>
    <w:p>
      <w:pPr>
        <w:pStyle w:val="ListBullet"/>
      </w:pPr>
      <w:r>
        <w:t>RPN阈值：汽车行业通常以RPN≤100为可接受水平，本项目目标RPN≤50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