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Systems testing: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Bad data: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720"/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changing positions too rapidly,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720"/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flying backwards,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720"/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not moving, and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ind w:left="720" w:hanging="720"/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not receiving any data.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Also consider special cases such as: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720" w:hanging="720"/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no x/y movement, such as a helicopter,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720" w:hanging="720"/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no movement at all, such as a tethered balloon,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ind w:left="720" w:hanging="720"/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planes moving much faster, such as jets,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planes moving much slower, such as UAVs.  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Document: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1. Overview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8"/>
          <w:szCs w:val="28"/>
          <w:rtl w:val="0"/>
        </w:rPr>
        <w:t xml:space="preserve">scope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8"/>
          <w:szCs w:val="28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8"/>
          <w:szCs w:val="28"/>
          <w:rtl w:val="0"/>
        </w:rPr>
        <w:t xml:space="preserve">test objectives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8"/>
          <w:szCs w:val="28"/>
          <w:rtl w:val="0"/>
        </w:rPr>
        <w:t xml:space="preserve">assumptions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b w:val="0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262626"/>
          <w:sz w:val="28"/>
          <w:szCs w:val="28"/>
          <w:rtl w:val="0"/>
        </w:rPr>
        <w:t xml:space="preserve"> definitions/abreviations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3. unit test documentation (general explaination, details)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4. system test documentation (general explaination, details)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5. References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firstLine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720" w:firstLine="36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