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D0668" w14:textId="6C15D9CC" w:rsidR="000416D4" w:rsidRDefault="00B91D8D">
      <w:pPr>
        <w:spacing w:before="500" w:after="170"/>
      </w:pPr>
      <w:r>
        <w:rPr>
          <w:noProof/>
        </w:rPr>
        <w:drawing>
          <wp:inline distT="0" distB="0" distL="0" distR="0" wp14:anchorId="001A2134" wp14:editId="403BE269">
            <wp:extent cx="1727298" cy="1104900"/>
            <wp:effectExtent l="0" t="0" r="6350" b="0"/>
            <wp:docPr id="31636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428" cy="1108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B9A53" w14:textId="65F08421" w:rsidR="000416D4" w:rsidRDefault="00B72A10">
      <w:r>
        <w:rPr>
          <w:b/>
          <w:bCs/>
          <w:color w:val="666666"/>
          <w:sz w:val="24"/>
          <w:szCs w:val="24"/>
        </w:rPr>
        <w:t>RS Assurance Group</w:t>
      </w:r>
    </w:p>
    <w:p w14:paraId="1F8C3420" w14:textId="764E8ED2" w:rsidR="000416D4" w:rsidRDefault="00000000">
      <w:pPr>
        <w:spacing w:before="150" w:after="90"/>
      </w:pPr>
      <w:r>
        <w:rPr>
          <w:b/>
          <w:bCs/>
          <w:color w:val="1F3864"/>
          <w:sz w:val="44"/>
          <w:szCs w:val="44"/>
        </w:rPr>
        <w:t>Engagement Handover</w:t>
      </w:r>
    </w:p>
    <w:p w14:paraId="60B87E86" w14:textId="775F1451" w:rsidR="000416D4" w:rsidRDefault="00000000">
      <w:pPr>
        <w:spacing w:after="200"/>
      </w:pPr>
      <w:r>
        <w:rPr>
          <w:color w:val="444444"/>
          <w:sz w:val="28"/>
          <w:szCs w:val="28"/>
        </w:rPr>
        <w:t>NDIS Core Module Certification Readiness</w:t>
      </w:r>
    </w:p>
    <w:p w14:paraId="20DABEC9" w14:textId="3660070E" w:rsidR="000416D4" w:rsidRDefault="000416D4">
      <w:pPr>
        <w:pBdr>
          <w:bottom w:val="single" w:sz="6" w:space="0" w:color="1F3864"/>
        </w:pBdr>
        <w:spacing w:after="160"/>
      </w:pPr>
    </w:p>
    <w:p w14:paraId="02D5F246" w14:textId="44DE4CC7" w:rsidR="000416D4" w:rsidRDefault="00000000">
      <w:pPr>
        <w:spacing w:after="320" w:line="276" w:lineRule="auto"/>
      </w:pPr>
      <w:r>
        <w:rPr>
          <w:i/>
          <w:iCs/>
          <w:sz w:val="22"/>
          <w:szCs w:val="22"/>
        </w:rPr>
        <w:t>A guide to the documents delivered in this engagement, what remains to be tailored, and the order in which to work through them.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416D4" w14:paraId="48B68AD6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C2552" w14:textId="77777777" w:rsidR="000416D4" w:rsidRDefault="00000000">
            <w:r>
              <w:rPr>
                <w:b/>
                <w:bCs/>
                <w:sz w:val="19"/>
                <w:szCs w:val="19"/>
              </w:rPr>
              <w:t>Document ID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095FB" w14:textId="77777777" w:rsidR="000416D4" w:rsidRDefault="00000000">
            <w:r>
              <w:rPr>
                <w:sz w:val="19"/>
                <w:szCs w:val="19"/>
              </w:rPr>
              <w:t>DOC-HANDOVER-001</w:t>
            </w:r>
          </w:p>
        </w:tc>
      </w:tr>
      <w:tr w:rsidR="000416D4" w14:paraId="38FDC008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9069E" w14:textId="77777777" w:rsidR="000416D4" w:rsidRDefault="00000000"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F8AD3" w14:textId="77777777" w:rsidR="000416D4" w:rsidRDefault="00000000">
            <w:r>
              <w:rPr>
                <w:sz w:val="19"/>
                <w:szCs w:val="19"/>
              </w:rPr>
              <w:t>1.0</w:t>
            </w:r>
          </w:p>
        </w:tc>
      </w:tr>
      <w:tr w:rsidR="000416D4" w14:paraId="4606A5CC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CC4A6" w14:textId="77777777" w:rsidR="000416D4" w:rsidRDefault="00000000">
            <w:r>
              <w:rPr>
                <w:b/>
                <w:bCs/>
                <w:sz w:val="19"/>
                <w:szCs w:val="19"/>
              </w:rPr>
              <w:t>Prepared by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11B06" w14:textId="77777777" w:rsidR="000416D4" w:rsidRDefault="00000000">
            <w:r>
              <w:rPr>
                <w:sz w:val="19"/>
                <w:szCs w:val="19"/>
              </w:rPr>
              <w:t>Ainim Support Services — NDIS Compliance Consulting</w:t>
            </w:r>
          </w:p>
        </w:tc>
      </w:tr>
      <w:tr w:rsidR="000416D4" w14:paraId="5BC82C56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35D2D" w14:textId="77777777" w:rsidR="000416D4" w:rsidRDefault="00000000">
            <w:r>
              <w:rPr>
                <w:b/>
                <w:bCs/>
                <w:sz w:val="19"/>
                <w:szCs w:val="19"/>
              </w:rPr>
              <w:t>Prepared for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A478F" w14:textId="3C55D8DC" w:rsidR="000416D4" w:rsidRDefault="008C75CC">
            <w:r>
              <w:t>RS Assurance Group</w:t>
            </w:r>
          </w:p>
        </w:tc>
      </w:tr>
      <w:tr w:rsidR="000416D4" w14:paraId="48E83EB0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9D4F5" w14:textId="77777777" w:rsidR="000416D4" w:rsidRDefault="00000000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B7C30" w14:textId="77777777" w:rsidR="000416D4" w:rsidRDefault="00000000">
            <w:r>
              <w:rPr>
                <w:sz w:val="19"/>
                <w:szCs w:val="19"/>
              </w:rPr>
              <w:t>[DD/MM/YYYY]</w:t>
            </w:r>
          </w:p>
        </w:tc>
      </w:tr>
      <w:tr w:rsidR="000416D4" w14:paraId="4D7D5C88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9CC84" w14:textId="77777777" w:rsidR="000416D4" w:rsidRDefault="00000000">
            <w:r>
              <w:rPr>
                <w:b/>
                <w:bCs/>
                <w:sz w:val="19"/>
                <w:szCs w:val="19"/>
              </w:rPr>
              <w:t>Engagement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7B0FB" w14:textId="77777777" w:rsidR="000416D4" w:rsidRDefault="00000000">
            <w:r>
              <w:rPr>
                <w:sz w:val="19"/>
                <w:szCs w:val="19"/>
              </w:rPr>
              <w:t>Core Module certification readiness</w:t>
            </w:r>
          </w:p>
        </w:tc>
      </w:tr>
    </w:tbl>
    <w:p w14:paraId="5D53B4F5" w14:textId="77777777" w:rsidR="000416D4" w:rsidRDefault="00000000">
      <w:r>
        <w:br w:type="page"/>
      </w:r>
    </w:p>
    <w:p w14:paraId="6F51F5E4" w14:textId="77777777" w:rsidR="000416D4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lastRenderedPageBreak/>
        <w:t>1. What has been delivered</w:t>
      </w:r>
    </w:p>
    <w:p w14:paraId="36531255" w14:textId="77777777" w:rsidR="000416D4" w:rsidRDefault="00000000">
      <w:pPr>
        <w:spacing w:after="120" w:line="276" w:lineRule="auto"/>
      </w:pPr>
      <w:r>
        <w:t>This engagement has produced a complete Core Module documentation set. Each item below is ready to tailor and use.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600"/>
        <w:gridCol w:w="4726"/>
      </w:tblGrid>
      <w:tr w:rsidR="000416D4" w14:paraId="5471E9AA" w14:textId="77777777" w:rsidTr="00B91D8D">
        <w:trPr>
          <w:tblHeader/>
        </w:trPr>
        <w:tc>
          <w:tcPr>
            <w:tcW w:w="700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30CF0" w14:textId="77777777" w:rsidR="000416D4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426A9" w14:textId="77777777" w:rsidR="000416D4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4726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BE236" w14:textId="77777777" w:rsidR="000416D4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0416D4" w14:paraId="67D050CC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DF381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3600C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Core Module Policy &amp; Procedure Manual (POL-CORE-001)</w:t>
            </w:r>
          </w:p>
        </w:tc>
        <w:tc>
          <w:tcPr>
            <w:tcW w:w="4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89170" w14:textId="67E3AC1A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 xml:space="preserve">The policies and procedures for all 22 Core Module standards — what </w:t>
            </w:r>
            <w:r w:rsidR="008C75CC">
              <w:rPr>
                <w:sz w:val="20"/>
                <w:szCs w:val="20"/>
              </w:rPr>
              <w:t xml:space="preserve">RS Assurance Group </w:t>
            </w:r>
            <w:r>
              <w:rPr>
                <w:sz w:val="20"/>
                <w:szCs w:val="20"/>
              </w:rPr>
              <w:t>does.</w:t>
            </w:r>
          </w:p>
        </w:tc>
      </w:tr>
      <w:tr w:rsidR="000416D4" w14:paraId="7E72DA42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89D84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FB102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Participant Money &amp; Property Policy (POL-MP-001)</w:t>
            </w:r>
          </w:p>
        </w:tc>
        <w:tc>
          <w:tcPr>
            <w:tcW w:w="4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694AF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Governs any handling of a participant's card, cash or property.</w:t>
            </w:r>
          </w:p>
        </w:tc>
      </w:tr>
      <w:tr w:rsidR="000416D4" w14:paraId="1EE1CA43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C0A45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2A8F3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Statement of Applicability &amp; Scope (DOC-SOA-001)</w:t>
            </w:r>
          </w:p>
        </w:tc>
        <w:tc>
          <w:tcPr>
            <w:tcW w:w="4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82861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Records the registration groups and which standards and modules apply — defines what is audited.</w:t>
            </w:r>
          </w:p>
        </w:tc>
      </w:tr>
      <w:tr w:rsidR="000416D4" w14:paraId="31A9CA8F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92895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6B777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Code of Conduct (POL-COC-001)</w:t>
            </w:r>
          </w:p>
        </w:tc>
        <w:tc>
          <w:tcPr>
            <w:tcW w:w="4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93A2D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 xml:space="preserve">The </w:t>
            </w:r>
            <w:proofErr w:type="gramStart"/>
            <w:r>
              <w:rPr>
                <w:sz w:val="20"/>
                <w:szCs w:val="20"/>
              </w:rPr>
              <w:t>worker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behaviour</w:t>
            </w:r>
            <w:proofErr w:type="spellEnd"/>
            <w:r>
              <w:rPr>
                <w:sz w:val="20"/>
                <w:szCs w:val="20"/>
              </w:rPr>
              <w:t xml:space="preserve"> standard, aligned to the NDIS Code of Conduct.</w:t>
            </w:r>
          </w:p>
        </w:tc>
      </w:tr>
      <w:tr w:rsidR="000416D4" w14:paraId="00094F80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C8D50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62D34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Business Continuity &amp; Emergency Management Plan (PLN-BCP-001)</w:t>
            </w:r>
          </w:p>
        </w:tc>
        <w:tc>
          <w:tcPr>
            <w:tcW w:w="4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0D006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 xml:space="preserve">How participants keep receiving critical </w:t>
            </w:r>
            <w:proofErr w:type="gramStart"/>
            <w:r>
              <w:rPr>
                <w:sz w:val="20"/>
                <w:szCs w:val="20"/>
              </w:rPr>
              <w:t>supports</w:t>
            </w:r>
            <w:proofErr w:type="gramEnd"/>
            <w:r>
              <w:rPr>
                <w:sz w:val="20"/>
                <w:szCs w:val="20"/>
              </w:rPr>
              <w:t xml:space="preserve"> through disruption.</w:t>
            </w:r>
          </w:p>
        </w:tc>
      </w:tr>
      <w:tr w:rsidR="000416D4" w14:paraId="35E69FC1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B8266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62C92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Governance &amp; Delegation Schedule (DOC-GOV-001)</w:t>
            </w:r>
          </w:p>
        </w:tc>
        <w:tc>
          <w:tcPr>
            <w:tcW w:w="4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88FEF" w14:textId="77777777" w:rsidR="000416D4" w:rsidRDefault="00000000">
            <w:pPr>
              <w:spacing w:line="258" w:lineRule="auto"/>
            </w:pPr>
            <w:proofErr w:type="spellStart"/>
            <w:r>
              <w:rPr>
                <w:sz w:val="20"/>
                <w:szCs w:val="20"/>
              </w:rPr>
              <w:t>Organisational</w:t>
            </w:r>
            <w:proofErr w:type="spellEnd"/>
            <w:r>
              <w:rPr>
                <w:sz w:val="20"/>
                <w:szCs w:val="20"/>
              </w:rPr>
              <w:t xml:space="preserve"> structure, key personnel and decision-making authority.</w:t>
            </w:r>
          </w:p>
        </w:tc>
      </w:tr>
      <w:tr w:rsidR="000416D4" w14:paraId="4CD421B1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B74CB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C8D19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Gap Analysis &amp; Corrective Action workbook</w:t>
            </w:r>
          </w:p>
        </w:tc>
        <w:tc>
          <w:tcPr>
            <w:tcW w:w="4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DF3F0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Assess conformance, record gaps, track actions to closure.</w:t>
            </w:r>
          </w:p>
        </w:tc>
      </w:tr>
      <w:tr w:rsidR="000416D4" w14:paraId="32934F7A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D6589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CF144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Core Module Forms Pack</w:t>
            </w:r>
          </w:p>
        </w:tc>
        <w:tc>
          <w:tcPr>
            <w:tcW w:w="4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095E5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The per-event forms (intake, incident, complaint, risk, and more).</w:t>
            </w:r>
          </w:p>
        </w:tc>
      </w:tr>
      <w:tr w:rsidR="000416D4" w14:paraId="24134C5B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CDAA1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C2E1F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Compliance Registers workbook</w:t>
            </w:r>
          </w:p>
        </w:tc>
        <w:tc>
          <w:tcPr>
            <w:tcW w:w="47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26116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 xml:space="preserve">The running logs </w:t>
            </w:r>
            <w:proofErr w:type="gramStart"/>
            <w:r>
              <w:rPr>
                <w:sz w:val="20"/>
                <w:szCs w:val="20"/>
              </w:rPr>
              <w:t>auditors</w:t>
            </w:r>
            <w:proofErr w:type="gramEnd"/>
            <w:r>
              <w:rPr>
                <w:sz w:val="20"/>
                <w:szCs w:val="20"/>
              </w:rPr>
              <w:t xml:space="preserve"> sample: incident, complaints, risk, conflict of interest, improvement.</w:t>
            </w:r>
          </w:p>
        </w:tc>
      </w:tr>
    </w:tbl>
    <w:p w14:paraId="1364FDDA" w14:textId="77777777" w:rsidR="000416D4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t>2. What still needs tailoring</w:t>
      </w:r>
    </w:p>
    <w:p w14:paraId="246B4FEA" w14:textId="215B25AD" w:rsidR="000416D4" w:rsidRDefault="00000000">
      <w:pPr>
        <w:spacing w:after="120" w:line="276" w:lineRule="auto"/>
      </w:pPr>
      <w:r>
        <w:t xml:space="preserve">These documents are drafted as a framework. Before submission to an approved quality auditor, complete the following. A document that does not describe what </w:t>
      </w:r>
      <w:r w:rsidR="008C75CC">
        <w:t xml:space="preserve">RS Assurance Group </w:t>
      </w:r>
      <w:proofErr w:type="gramStart"/>
      <w:r>
        <w:t>actually does</w:t>
      </w:r>
      <w:proofErr w:type="gramEnd"/>
      <w:r>
        <w:t xml:space="preserve"> will not pass audit.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3826"/>
      </w:tblGrid>
      <w:tr w:rsidR="000416D4" w14:paraId="69D27843" w14:textId="77777777" w:rsidTr="00B91D8D">
        <w:trPr>
          <w:tblHeader/>
        </w:trPr>
        <w:tc>
          <w:tcPr>
            <w:tcW w:w="5200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594EE" w14:textId="77777777" w:rsidR="000416D4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To complete</w:t>
            </w:r>
          </w:p>
        </w:tc>
        <w:tc>
          <w:tcPr>
            <w:tcW w:w="3826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F4EE4" w14:textId="77777777" w:rsidR="000416D4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Where</w:t>
            </w:r>
          </w:p>
        </w:tc>
      </w:tr>
      <w:tr w:rsidR="000416D4" w14:paraId="13CF5909" w14:textId="77777777"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C90B5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Approver name/position, approval and review dates</w:t>
            </w:r>
          </w:p>
        </w:tc>
        <w:tc>
          <w:tcPr>
            <w:tcW w:w="3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85EF2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All documents — document control tables</w:t>
            </w:r>
          </w:p>
        </w:tc>
      </w:tr>
      <w:tr w:rsidR="000416D4" w14:paraId="32E44FF5" w14:textId="77777777"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7700F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 xml:space="preserve">Retention period (commonly 7 </w:t>
            </w:r>
            <w:proofErr w:type="gramStart"/>
            <w:r>
              <w:rPr>
                <w:sz w:val="20"/>
                <w:szCs w:val="20"/>
              </w:rPr>
              <w:t>years) —</w:t>
            </w:r>
            <w:proofErr w:type="gramEnd"/>
            <w:r>
              <w:rPr>
                <w:sz w:val="20"/>
                <w:szCs w:val="20"/>
              </w:rPr>
              <w:t xml:space="preserve"> use the same figure everywhere</w:t>
            </w:r>
          </w:p>
        </w:tc>
        <w:tc>
          <w:tcPr>
            <w:tcW w:w="3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2B55C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Manual 2.4 &amp; 11; Registers; Forms</w:t>
            </w:r>
          </w:p>
        </w:tc>
      </w:tr>
      <w:tr w:rsidR="000416D4" w14:paraId="0C67A21D" w14:textId="77777777"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C330E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Contact details (phone, email, after-hours)</w:t>
            </w:r>
          </w:p>
        </w:tc>
        <w:tc>
          <w:tcPr>
            <w:tcW w:w="3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FA41C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Manual s.12; Forms; BCP</w:t>
            </w:r>
          </w:p>
        </w:tc>
      </w:tr>
      <w:tr w:rsidR="000416D4" w14:paraId="6C077969" w14:textId="77777777"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2E123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Record system name (where files are stored)</w:t>
            </w:r>
          </w:p>
        </w:tc>
        <w:tc>
          <w:tcPr>
            <w:tcW w:w="3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3FB2C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Manual; Forms Pack</w:t>
            </w:r>
          </w:p>
        </w:tc>
      </w:tr>
      <w:tr w:rsidR="000416D4" w14:paraId="13146D25" w14:textId="77777777"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99459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Registration groups and module applicability</w:t>
            </w:r>
          </w:p>
        </w:tc>
        <w:tc>
          <w:tcPr>
            <w:tcW w:w="3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D070D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Statement of Applicability</w:t>
            </w:r>
          </w:p>
        </w:tc>
      </w:tr>
      <w:tr w:rsidR="000416D4" w14:paraId="3B85ABCF" w14:textId="77777777"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BDBBE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Confirm medication (4.3) and waste (4.4) applicability</w:t>
            </w:r>
          </w:p>
        </w:tc>
        <w:tc>
          <w:tcPr>
            <w:tcW w:w="3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9BD73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Statement of Applicability; Manual Part 4</w:t>
            </w:r>
          </w:p>
        </w:tc>
      </w:tr>
      <w:tr w:rsidR="000416D4" w14:paraId="451CC1CB" w14:textId="77777777"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D0589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Real names, roles and delegations</w:t>
            </w:r>
          </w:p>
        </w:tc>
        <w:tc>
          <w:tcPr>
            <w:tcW w:w="3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A0A5E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Governance &amp; Delegation Schedule</w:t>
            </w:r>
          </w:p>
        </w:tc>
      </w:tr>
      <w:tr w:rsidR="000416D4" w14:paraId="57C708CC" w14:textId="77777777"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35625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Key personnel, backup arrangements, local emergency contacts</w:t>
            </w:r>
          </w:p>
        </w:tc>
        <w:tc>
          <w:tcPr>
            <w:tcW w:w="3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CBBA1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Business Continuity Plan</w:t>
            </w:r>
          </w:p>
        </w:tc>
      </w:tr>
      <w:tr w:rsidR="000416D4" w14:paraId="1CC8FF68" w14:textId="77777777"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956E0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lastRenderedPageBreak/>
              <w:t>Cancellation notice periods and pricing</w:t>
            </w:r>
          </w:p>
        </w:tc>
        <w:tc>
          <w:tcPr>
            <w:tcW w:w="3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67DE8" w14:textId="77777777" w:rsidR="000416D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Forms Pack — Service Agreement</w:t>
            </w:r>
          </w:p>
        </w:tc>
      </w:tr>
    </w:tbl>
    <w:p w14:paraId="65FAEF41" w14:textId="77777777" w:rsidR="000416D4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t>3. Suggested order of work</w:t>
      </w:r>
    </w:p>
    <w:p w14:paraId="66B96C79" w14:textId="77777777" w:rsidR="000416D4" w:rsidRDefault="00000000">
      <w:pPr>
        <w:pStyle w:val="ListParagraph"/>
        <w:numPr>
          <w:ilvl w:val="0"/>
          <w:numId w:val="2"/>
        </w:numPr>
        <w:spacing w:after="80" w:line="274" w:lineRule="auto"/>
      </w:pPr>
      <w:r>
        <w:t>Confirm scope first. Complete the Statement of Applicability so it is clear which standards and modules are being audited (and settle the medication/waste question).</w:t>
      </w:r>
    </w:p>
    <w:p w14:paraId="72835251" w14:textId="4EBC1622" w:rsidR="000416D4" w:rsidRDefault="00000000">
      <w:pPr>
        <w:pStyle w:val="ListParagraph"/>
        <w:numPr>
          <w:ilvl w:val="0"/>
          <w:numId w:val="2"/>
        </w:numPr>
        <w:spacing w:after="80" w:line="274" w:lineRule="auto"/>
      </w:pPr>
      <w:r>
        <w:t xml:space="preserve">Tailor the manual and companion policies with </w:t>
      </w:r>
      <w:r w:rsidR="008C75CC">
        <w:t>RS Assurance Group</w:t>
      </w:r>
      <w:r>
        <w:t>'s real detail — names, systems, contacts, retention period.</w:t>
      </w:r>
    </w:p>
    <w:p w14:paraId="32F9F100" w14:textId="77777777" w:rsidR="000416D4" w:rsidRDefault="00000000">
      <w:pPr>
        <w:pStyle w:val="ListParagraph"/>
        <w:numPr>
          <w:ilvl w:val="0"/>
          <w:numId w:val="2"/>
        </w:numPr>
        <w:spacing w:after="80" w:line="274" w:lineRule="auto"/>
      </w:pPr>
      <w:r>
        <w:t>Stand up the registers and start using them now. Auditors expect live logs, not ones created the week before.</w:t>
      </w:r>
    </w:p>
    <w:p w14:paraId="399F6557" w14:textId="77777777" w:rsidR="000416D4" w:rsidRDefault="00000000">
      <w:pPr>
        <w:pStyle w:val="ListParagraph"/>
        <w:numPr>
          <w:ilvl w:val="0"/>
          <w:numId w:val="2"/>
        </w:numPr>
        <w:spacing w:after="80" w:line="274" w:lineRule="auto"/>
      </w:pPr>
      <w:r>
        <w:t>Run the gap analysis as a mock audit against tailored documents and sighted evidence. Rate honestly.</w:t>
      </w:r>
    </w:p>
    <w:p w14:paraId="32FF9A5D" w14:textId="77777777" w:rsidR="000416D4" w:rsidRDefault="00000000">
      <w:pPr>
        <w:pStyle w:val="ListParagraph"/>
        <w:numPr>
          <w:ilvl w:val="0"/>
          <w:numId w:val="2"/>
        </w:numPr>
        <w:spacing w:after="80" w:line="274" w:lineRule="auto"/>
      </w:pPr>
      <w:r>
        <w:t>Work the corrective action plan to close every gap, using the Forms Pack to generate the missing records.</w:t>
      </w:r>
    </w:p>
    <w:p w14:paraId="12D1C0DF" w14:textId="77777777" w:rsidR="000416D4" w:rsidRDefault="00000000">
      <w:pPr>
        <w:pStyle w:val="ListParagraph"/>
        <w:numPr>
          <w:ilvl w:val="0"/>
          <w:numId w:val="2"/>
        </w:numPr>
        <w:spacing w:after="80" w:line="274" w:lineRule="auto"/>
      </w:pPr>
      <w:r>
        <w:t>Re-run the gap analysis. When conformance holds up against evidence, book the certification audit.</w:t>
      </w:r>
    </w:p>
    <w:tbl>
      <w:tblPr>
        <w:tblW w:w="9026" w:type="dxa"/>
        <w:tblBorders>
          <w:top w:val="single" w:sz="4" w:space="0" w:color="1F3864"/>
          <w:left w:val="single" w:sz="18" w:space="0" w:color="1F3864"/>
          <w:bottom w:val="single" w:sz="4" w:space="0" w:color="1F3864"/>
          <w:right w:val="single" w:sz="4" w:space="0" w:color="1F38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416D4" w14:paraId="42067395" w14:textId="77777777">
        <w:tc>
          <w:tcPr>
            <w:tcW w:w="9026" w:type="dxa"/>
            <w:shd w:val="clear" w:color="auto" w:fill="EEF2F7"/>
            <w:tcMar>
              <w:top w:w="130" w:type="dxa"/>
              <w:left w:w="180" w:type="dxa"/>
              <w:bottom w:w="130" w:type="dxa"/>
              <w:right w:w="140" w:type="dxa"/>
            </w:tcMar>
          </w:tcPr>
          <w:p w14:paraId="13E0F1BF" w14:textId="77777777" w:rsidR="000416D4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A note on evidence</w:t>
            </w:r>
          </w:p>
          <w:p w14:paraId="37A6F1D9" w14:textId="77777777" w:rsidR="000416D4" w:rsidRDefault="00000000">
            <w:pPr>
              <w:pStyle w:val="ListParagraph"/>
              <w:numPr>
                <w:ilvl w:val="0"/>
                <w:numId w:val="3"/>
              </w:numPr>
              <w:spacing w:after="40" w:line="260" w:lineRule="auto"/>
            </w:pPr>
            <w:r>
              <w:rPr>
                <w:sz w:val="20"/>
                <w:szCs w:val="20"/>
              </w:rPr>
              <w:t>The documents are the easy part. Certification turns on whether practice matches the documents.</w:t>
            </w:r>
          </w:p>
          <w:p w14:paraId="1A98D3EC" w14:textId="77777777" w:rsidR="000416D4" w:rsidRDefault="00000000">
            <w:pPr>
              <w:pStyle w:val="ListParagraph"/>
              <w:numPr>
                <w:ilvl w:val="0"/>
                <w:numId w:val="3"/>
              </w:numPr>
              <w:spacing w:after="40" w:line="260" w:lineRule="auto"/>
            </w:pPr>
            <w:r>
              <w:rPr>
                <w:sz w:val="20"/>
                <w:szCs w:val="20"/>
              </w:rPr>
              <w:t>At Stage 2 the auditor interviews staff and participants and samples records — so the registers and forms must be genuinely in use.</w:t>
            </w:r>
          </w:p>
          <w:p w14:paraId="7406C026" w14:textId="77777777" w:rsidR="000416D4" w:rsidRDefault="00000000">
            <w:pPr>
              <w:pStyle w:val="ListParagraph"/>
              <w:numPr>
                <w:ilvl w:val="0"/>
                <w:numId w:val="3"/>
              </w:numPr>
              <w:spacing w:after="40" w:line="260" w:lineRule="auto"/>
            </w:pPr>
            <w:r>
              <w:rPr>
                <w:sz w:val="20"/>
                <w:szCs w:val="20"/>
              </w:rPr>
              <w:t>Start the registers immediately and keep file notes from day one; that history is what an auditor tests.</w:t>
            </w:r>
          </w:p>
        </w:tc>
      </w:tr>
    </w:tbl>
    <w:p w14:paraId="0C8CE5B0" w14:textId="77777777" w:rsidR="000416D4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t>4. Engagement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416D4" w14:paraId="1BE7DB15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43A27" w14:textId="77777777" w:rsidR="000416D4" w:rsidRDefault="00000000">
            <w:r>
              <w:rPr>
                <w:b/>
                <w:bCs/>
                <w:sz w:val="19"/>
                <w:szCs w:val="19"/>
              </w:rPr>
              <w:t>Consultant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799E5" w14:textId="77777777" w:rsidR="000416D4" w:rsidRDefault="00000000">
            <w:r>
              <w:rPr>
                <w:sz w:val="19"/>
                <w:szCs w:val="19"/>
              </w:rPr>
              <w:t>Ainim Support Services</w:t>
            </w:r>
          </w:p>
        </w:tc>
      </w:tr>
      <w:tr w:rsidR="000416D4" w14:paraId="3CEF54F5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C75E5" w14:textId="77777777" w:rsidR="000416D4" w:rsidRDefault="00000000">
            <w:r>
              <w:rPr>
                <w:b/>
                <w:bCs/>
                <w:sz w:val="19"/>
                <w:szCs w:val="19"/>
              </w:rPr>
              <w:t>Contact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38DAF" w14:textId="77777777" w:rsidR="000416D4" w:rsidRDefault="00000000">
            <w:r>
              <w:rPr>
                <w:sz w:val="19"/>
                <w:szCs w:val="19"/>
              </w:rPr>
              <w:t>[phone / email]</w:t>
            </w:r>
          </w:p>
        </w:tc>
      </w:tr>
      <w:tr w:rsidR="000416D4" w14:paraId="65E640C9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B0170" w14:textId="77777777" w:rsidR="000416D4" w:rsidRDefault="00000000">
            <w:r>
              <w:rPr>
                <w:b/>
                <w:bCs/>
                <w:sz w:val="19"/>
                <w:szCs w:val="19"/>
              </w:rPr>
              <w:t>Scope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2F5A4" w14:textId="77777777" w:rsidR="000416D4" w:rsidRDefault="00000000">
            <w:r>
              <w:rPr>
                <w:sz w:val="19"/>
                <w:szCs w:val="19"/>
              </w:rPr>
              <w:t>Core Module certification readiness documentation</w:t>
            </w:r>
          </w:p>
        </w:tc>
      </w:tr>
      <w:tr w:rsidR="000416D4" w14:paraId="07973036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03F4D" w14:textId="77777777" w:rsidR="000416D4" w:rsidRDefault="00000000">
            <w:r>
              <w:rPr>
                <w:b/>
                <w:bCs/>
                <w:sz w:val="19"/>
                <w:szCs w:val="19"/>
              </w:rPr>
              <w:t>Next step / follow-up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95679" w14:textId="77777777" w:rsidR="000416D4" w:rsidRDefault="00000000">
            <w:r>
              <w:rPr>
                <w:sz w:val="19"/>
                <w:szCs w:val="19"/>
              </w:rPr>
              <w:t>[date]</w:t>
            </w:r>
          </w:p>
        </w:tc>
      </w:tr>
      <w:tr w:rsidR="000416D4" w14:paraId="2E44A2A2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12956" w14:textId="77777777" w:rsidR="000416D4" w:rsidRDefault="00000000">
            <w:r>
              <w:rPr>
                <w:b/>
                <w:bCs/>
                <w:sz w:val="19"/>
                <w:szCs w:val="19"/>
              </w:rPr>
              <w:t>Out of scope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B980A" w14:textId="77777777" w:rsidR="000416D4" w:rsidRDefault="00000000">
            <w:r>
              <w:rPr>
                <w:sz w:val="19"/>
                <w:szCs w:val="19"/>
              </w:rPr>
              <w:t>Supplementary-module documentation; direct auditor liaison (available on request)</w:t>
            </w:r>
          </w:p>
        </w:tc>
      </w:tr>
    </w:tbl>
    <w:p w14:paraId="1A1FE304" w14:textId="77777777" w:rsidR="00AF4296" w:rsidRDefault="00AF4296"/>
    <w:sectPr w:rsidR="00AF4296">
      <w:headerReference w:type="default" r:id="rId8"/>
      <w:footerReference w:type="default" r:id="rId9"/>
      <w:pgSz w:w="11906" w:h="16838"/>
      <w:pgMar w:top="1380" w:right="1400" w:bottom="138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6D9B5" w14:textId="77777777" w:rsidR="00647D4F" w:rsidRDefault="00647D4F">
      <w:r>
        <w:separator/>
      </w:r>
    </w:p>
  </w:endnote>
  <w:endnote w:type="continuationSeparator" w:id="0">
    <w:p w14:paraId="6B07806C" w14:textId="77777777" w:rsidR="00647D4F" w:rsidRDefault="00647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95EA8" w14:textId="77777777" w:rsidR="000416D4" w:rsidRDefault="00000000">
    <w:pPr>
      <w:jc w:val="center"/>
    </w:pPr>
    <w:r>
      <w:rPr>
        <w:color w:val="888888"/>
        <w:sz w:val="15"/>
        <w:szCs w:val="15"/>
      </w:rPr>
      <w:t xml:space="preserve">Prepared by Ainim Support Services   |   Uncontrolled when printed   |   Page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8E102F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  <w:r>
      <w:rPr>
        <w:color w:val="888888"/>
        <w:sz w:val="15"/>
        <w:szCs w:val="15"/>
      </w:rPr>
      <w:t xml:space="preserve"> of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NUMPAGES</w:instrText>
    </w:r>
    <w:r>
      <w:rPr>
        <w:color w:val="888888"/>
        <w:sz w:val="15"/>
        <w:szCs w:val="15"/>
      </w:rPr>
      <w:fldChar w:fldCharType="separate"/>
    </w:r>
    <w:r w:rsidR="008E102F">
      <w:rPr>
        <w:noProof/>
        <w:color w:val="888888"/>
        <w:sz w:val="15"/>
        <w:szCs w:val="15"/>
      </w:rPr>
      <w:t>2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BD41A" w14:textId="77777777" w:rsidR="00647D4F" w:rsidRDefault="00647D4F">
      <w:r>
        <w:separator/>
      </w:r>
    </w:p>
  </w:footnote>
  <w:footnote w:type="continuationSeparator" w:id="0">
    <w:p w14:paraId="7888BE6F" w14:textId="77777777" w:rsidR="00647D4F" w:rsidRDefault="00647D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B49F1" w14:textId="6D9911C4" w:rsidR="000416D4" w:rsidRDefault="008E102F">
    <w:pPr>
      <w:pBdr>
        <w:bottom w:val="single" w:sz="4" w:space="0" w:color="CCCCCC"/>
      </w:pBdr>
      <w:jc w:val="right"/>
    </w:pPr>
    <w:r>
      <w:rPr>
        <w:color w:val="888888"/>
        <w:sz w:val="15"/>
        <w:szCs w:val="15"/>
      </w:rPr>
      <w:t>RS Assurance Group — Engagement Handover — DOC-HANDOVER-001 —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6C71"/>
    <w:multiLevelType w:val="hybridMultilevel"/>
    <w:tmpl w:val="A21C96D8"/>
    <w:lvl w:ilvl="0" w:tplc="6374C0A4">
      <w:start w:val="1"/>
      <w:numFmt w:val="bullet"/>
      <w:lvlText w:val="●"/>
      <w:lvlJc w:val="left"/>
      <w:pPr>
        <w:ind w:left="720" w:hanging="360"/>
      </w:pPr>
    </w:lvl>
    <w:lvl w:ilvl="1" w:tplc="08088E8A">
      <w:start w:val="1"/>
      <w:numFmt w:val="bullet"/>
      <w:lvlText w:val="○"/>
      <w:lvlJc w:val="left"/>
      <w:pPr>
        <w:ind w:left="1440" w:hanging="360"/>
      </w:pPr>
    </w:lvl>
    <w:lvl w:ilvl="2" w:tplc="BA028710">
      <w:start w:val="1"/>
      <w:numFmt w:val="bullet"/>
      <w:lvlText w:val="■"/>
      <w:lvlJc w:val="left"/>
      <w:pPr>
        <w:ind w:left="2160" w:hanging="360"/>
      </w:pPr>
    </w:lvl>
    <w:lvl w:ilvl="3" w:tplc="D6587408">
      <w:start w:val="1"/>
      <w:numFmt w:val="bullet"/>
      <w:lvlText w:val="●"/>
      <w:lvlJc w:val="left"/>
      <w:pPr>
        <w:ind w:left="2880" w:hanging="360"/>
      </w:pPr>
    </w:lvl>
    <w:lvl w:ilvl="4" w:tplc="D3B2E6A8">
      <w:start w:val="1"/>
      <w:numFmt w:val="bullet"/>
      <w:lvlText w:val="○"/>
      <w:lvlJc w:val="left"/>
      <w:pPr>
        <w:ind w:left="3600" w:hanging="360"/>
      </w:pPr>
    </w:lvl>
    <w:lvl w:ilvl="5" w:tplc="3B5CA6D0">
      <w:start w:val="1"/>
      <w:numFmt w:val="bullet"/>
      <w:lvlText w:val="■"/>
      <w:lvlJc w:val="left"/>
      <w:pPr>
        <w:ind w:left="4320" w:hanging="360"/>
      </w:pPr>
    </w:lvl>
    <w:lvl w:ilvl="6" w:tplc="E2B4A320">
      <w:start w:val="1"/>
      <w:numFmt w:val="bullet"/>
      <w:lvlText w:val="●"/>
      <w:lvlJc w:val="left"/>
      <w:pPr>
        <w:ind w:left="5040" w:hanging="360"/>
      </w:pPr>
    </w:lvl>
    <w:lvl w:ilvl="7" w:tplc="75A4A2CA">
      <w:start w:val="1"/>
      <w:numFmt w:val="bullet"/>
      <w:lvlText w:val="●"/>
      <w:lvlJc w:val="left"/>
      <w:pPr>
        <w:ind w:left="5760" w:hanging="360"/>
      </w:pPr>
    </w:lvl>
    <w:lvl w:ilvl="8" w:tplc="927E62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2E2F91"/>
    <w:multiLevelType w:val="hybridMultilevel"/>
    <w:tmpl w:val="FB0CAFF0"/>
    <w:lvl w:ilvl="0" w:tplc="2572E88E">
      <w:start w:val="1"/>
      <w:numFmt w:val="decimal"/>
      <w:lvlText w:val="%1."/>
      <w:lvlJc w:val="left"/>
      <w:pPr>
        <w:ind w:left="440" w:hanging="330"/>
      </w:pPr>
    </w:lvl>
    <w:lvl w:ilvl="1" w:tplc="0D666D04">
      <w:numFmt w:val="decimal"/>
      <w:lvlText w:val=""/>
      <w:lvlJc w:val="left"/>
    </w:lvl>
    <w:lvl w:ilvl="2" w:tplc="A31602E2">
      <w:numFmt w:val="decimal"/>
      <w:lvlText w:val=""/>
      <w:lvlJc w:val="left"/>
    </w:lvl>
    <w:lvl w:ilvl="3" w:tplc="DB504BA6">
      <w:numFmt w:val="decimal"/>
      <w:lvlText w:val=""/>
      <w:lvlJc w:val="left"/>
    </w:lvl>
    <w:lvl w:ilvl="4" w:tplc="76006934">
      <w:numFmt w:val="decimal"/>
      <w:lvlText w:val=""/>
      <w:lvlJc w:val="left"/>
    </w:lvl>
    <w:lvl w:ilvl="5" w:tplc="8D3E11B6">
      <w:numFmt w:val="decimal"/>
      <w:lvlText w:val=""/>
      <w:lvlJc w:val="left"/>
    </w:lvl>
    <w:lvl w:ilvl="6" w:tplc="B2F88A68">
      <w:numFmt w:val="decimal"/>
      <w:lvlText w:val=""/>
      <w:lvlJc w:val="left"/>
    </w:lvl>
    <w:lvl w:ilvl="7" w:tplc="228CC408">
      <w:numFmt w:val="decimal"/>
      <w:lvlText w:val=""/>
      <w:lvlJc w:val="left"/>
    </w:lvl>
    <w:lvl w:ilvl="8" w:tplc="F4CE34FC">
      <w:numFmt w:val="decimal"/>
      <w:lvlText w:val=""/>
      <w:lvlJc w:val="left"/>
    </w:lvl>
  </w:abstractNum>
  <w:abstractNum w:abstractNumId="2" w15:restartNumberingAfterBreak="0">
    <w:nsid w:val="7166137B"/>
    <w:multiLevelType w:val="hybridMultilevel"/>
    <w:tmpl w:val="398E58E6"/>
    <w:lvl w:ilvl="0" w:tplc="D7FA4F26">
      <w:start w:val="1"/>
      <w:numFmt w:val="bullet"/>
      <w:lvlText w:val="•"/>
      <w:lvlJc w:val="left"/>
      <w:pPr>
        <w:ind w:left="440" w:hanging="250"/>
      </w:pPr>
    </w:lvl>
    <w:lvl w:ilvl="1" w:tplc="CF741C02">
      <w:start w:val="1"/>
      <w:numFmt w:val="bullet"/>
      <w:lvlText w:val="◦"/>
      <w:lvlJc w:val="left"/>
      <w:pPr>
        <w:ind w:left="880" w:hanging="250"/>
      </w:pPr>
    </w:lvl>
    <w:lvl w:ilvl="2" w:tplc="E878F48E">
      <w:numFmt w:val="decimal"/>
      <w:lvlText w:val=""/>
      <w:lvlJc w:val="left"/>
    </w:lvl>
    <w:lvl w:ilvl="3" w:tplc="7E2CD982">
      <w:numFmt w:val="decimal"/>
      <w:lvlText w:val=""/>
      <w:lvlJc w:val="left"/>
    </w:lvl>
    <w:lvl w:ilvl="4" w:tplc="E3D4D700">
      <w:numFmt w:val="decimal"/>
      <w:lvlText w:val=""/>
      <w:lvlJc w:val="left"/>
    </w:lvl>
    <w:lvl w:ilvl="5" w:tplc="B1883DFC">
      <w:numFmt w:val="decimal"/>
      <w:lvlText w:val=""/>
      <w:lvlJc w:val="left"/>
    </w:lvl>
    <w:lvl w:ilvl="6" w:tplc="53C07DAC">
      <w:numFmt w:val="decimal"/>
      <w:lvlText w:val=""/>
      <w:lvlJc w:val="left"/>
    </w:lvl>
    <w:lvl w:ilvl="7" w:tplc="A40CD0EE">
      <w:numFmt w:val="decimal"/>
      <w:lvlText w:val=""/>
      <w:lvlJc w:val="left"/>
    </w:lvl>
    <w:lvl w:ilvl="8" w:tplc="B100C192">
      <w:numFmt w:val="decimal"/>
      <w:lvlText w:val=""/>
      <w:lvlJc w:val="left"/>
    </w:lvl>
  </w:abstractNum>
  <w:num w:numId="1" w16cid:durableId="1983726995">
    <w:abstractNumId w:val="0"/>
    <w:lvlOverride w:ilvl="0">
      <w:startOverride w:val="1"/>
    </w:lvlOverride>
  </w:num>
  <w:num w:numId="2" w16cid:durableId="533232627">
    <w:abstractNumId w:val="1"/>
    <w:lvlOverride w:ilvl="0">
      <w:startOverride w:val="1"/>
    </w:lvlOverride>
  </w:num>
  <w:num w:numId="3" w16cid:durableId="2176652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6D4"/>
    <w:rsid w:val="000416D4"/>
    <w:rsid w:val="003D31D0"/>
    <w:rsid w:val="003F1907"/>
    <w:rsid w:val="0047434A"/>
    <w:rsid w:val="00647D4F"/>
    <w:rsid w:val="008C75CC"/>
    <w:rsid w:val="008E102F"/>
    <w:rsid w:val="00AF4296"/>
    <w:rsid w:val="00B72A10"/>
    <w:rsid w:val="00B91D8D"/>
    <w:rsid w:val="00C4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F24F4"/>
  <w15:docId w15:val="{32358DAB-859F-4D01-9D8B-3F62B92CE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E10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102F"/>
  </w:style>
  <w:style w:type="paragraph" w:styleId="Footer">
    <w:name w:val="footer"/>
    <w:basedOn w:val="Normal"/>
    <w:link w:val="FooterChar"/>
    <w:uiPriority w:val="99"/>
    <w:unhideWhenUsed/>
    <w:rsid w:val="008E10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1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600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Korina Kamille Dela Cruz</cp:lastModifiedBy>
  <cp:revision>3</cp:revision>
  <dcterms:created xsi:type="dcterms:W3CDTF">2026-08-04T02:22:00Z</dcterms:created>
  <dcterms:modified xsi:type="dcterms:W3CDTF">2026-08-04T02:39:00Z</dcterms:modified>
</cp:coreProperties>
</file>