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pacing w:after="120" w:before="360" w:line="360"/>
        <w:jc w:val="center"/>
      </w:pPr>
      <w:r>
        <w:rPr>
          <w:rFonts w:ascii="Times New Roman" w:cs="Times New Roman" w:eastAsia="仿宋" w:hAnsi="仿宋"/>
          <w:b/>
          <w:bCs/>
          <w:sz w:val="30"/>
          <w:szCs w:val="30"/>
        </w:rPr>
        <w:t xml:space="preserve">markdown-to-word 综合核对样张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本文档用于检查 </w:t>
      </w:r>
      <w:r>
        <w:rPr>
          <w:rFonts w:ascii="Times New Roman" w:cs="Times New Roman" w:eastAsia="仿宋" w:hAnsi="仿宋"/>
          <w:sz w:val="24"/>
          <w:szCs w:val="24"/>
        </w:rPr>
        <w:t xml:space="preserve">markdown-to-word</w:t>
      </w:r>
      <w:r>
        <w:rPr>
          <w:rFonts w:ascii="Times New Roman" w:cs="Times New Roman" w:eastAsia="仿宋" w:hAnsi="仿宋"/>
          <w:sz w:val="24"/>
          <w:szCs w:val="24"/>
        </w:rPr>
        <w:t xml:space="preserve"> 转换后的版式效果，内容刻意覆盖摘要、标题层级、正文段落、图表、公式、参考文献、附录等常见对象。它不是正式论文模板，而是便于快速核对输出质量的测试样张。</w:t>
      </w:r>
    </w:p>
    <w:p>
      <w:pPr>
        <w:pStyle w:val="Heading2"/>
        <w:spacing w:after="120" w:before="360" w:line="360"/>
        <w:jc w:val="left"/>
      </w:pP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核对目标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正文是否为小四仿宋、1.5 倍行距、首行缩进 2 字符；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二级标题是否表现为 </w:t>
      </w:r>
      <w:r>
        <w:rPr>
          <w:rFonts w:ascii="Times New Roman" w:cs="Times New Roman" w:eastAsia="仿宋" w:hAnsi="仿宋"/>
          <w:sz w:val="24"/>
          <w:szCs w:val="24"/>
        </w:rPr>
        <w:t xml:space="preserve">2.1  标题</w:t>
      </w:r>
      <w:r>
        <w:rPr>
          <w:rFonts w:ascii="Times New Roman" w:cs="Times New Roman" w:eastAsia="仿宋" w:hAnsi="仿宋"/>
          <w:sz w:val="24"/>
          <w:szCs w:val="24"/>
        </w:rPr>
        <w:t xml:space="preserve">，三级标题是否表现为 </w:t>
      </w:r>
      <w:r>
        <w:rPr>
          <w:rFonts w:ascii="Times New Roman" w:cs="Times New Roman" w:eastAsia="仿宋" w:hAnsi="仿宋"/>
          <w:sz w:val="24"/>
          <w:szCs w:val="24"/>
        </w:rPr>
        <w:t xml:space="preserve">2.1.1 标题</w:t>
      </w:r>
      <w:r>
        <w:rPr>
          <w:rFonts w:ascii="Times New Roman" w:cs="Times New Roman" w:eastAsia="仿宋" w:hAnsi="仿宋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图题是否位于图下方，表题是否位于表上方，中英文双标题是否能两行居中展示；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公式是否居中，编号是否按章连续；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表格是否为三线表，单元格内容是否默认左对齐；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参考文献引文是否以上标形式显示。</w:t>
      </w:r>
    </w:p>
    <w:p>
      <w:pPr>
        <w:pStyle w:val="Heading1"/>
        <w:pageBreakBefore/>
        <w:spacing w:after="120" w:before="360" w:line="360"/>
        <w:jc w:val="center"/>
      </w:pPr>
      <w:r>
        <w:rPr>
          <w:rFonts w:ascii="Times New Roman" w:cs="Times New Roman" w:eastAsia="仿宋" w:hAnsi="仿宋"/>
          <w:b/>
          <w:bCs/>
          <w:sz w:val="30"/>
          <w:szCs w:val="30"/>
        </w:rPr>
        <w:t xml:space="preserve">中文摘要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本文以工程管理论文排版场景为背景，构造一个可重复使用的 Markdown 测试样张，用于检查 Word 转换结果在字体、字号、缩进、标题、图表和公式等方面的表现是否稳定。样张包含中英文混排、数字、单位、参考文献上标、块公式、图片说明和附录内容，便于在一次转换后集中核验主要版式对象。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关键词：Markdown 转 Word；论文排版；样张核对；格式检查；工程师学院</w:t>
      </w:r>
    </w:p>
    <w:p>
      <w:pPr>
        <w:pStyle w:val="Heading1"/>
        <w:pageBreakBefore/>
        <w:spacing w:after="120" w:before="360" w:line="360"/>
        <w:jc w:val="center"/>
      </w:pPr>
      <w:r>
        <w:rPr>
          <w:rFonts w:ascii="Times New Roman" w:cs="Times New Roman" w:eastAsia="仿宋" w:hAnsi="仿宋"/>
          <w:b/>
          <w:bCs/>
          <w:sz w:val="30"/>
          <w:szCs w:val="30"/>
        </w:rPr>
        <w:t xml:space="preserve">Abstract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This sample document is designed to verify the post-conversion layout quality of a Markdown-to-Word workflow. It contains mixed Chinese and English text, numeric citations, figures, tables, equations, and appendix content so that the reviewer can inspect the formatting consistency in a single </w:t>
      </w:r>
      <w:r>
        <w:rPr>
          <w:rFonts w:ascii="Times New Roman" w:cs="Times New Roman" w:eastAsia="仿宋" w:hAnsi="仿宋"/>
          <w:sz w:val="24"/>
          <w:szCs w:val="24"/>
        </w:rPr>
        <w:t xml:space="preserve">.docx</w:t>
      </w:r>
      <w:r>
        <w:rPr>
          <w:rFonts w:ascii="Times New Roman" w:cs="Times New Roman" w:eastAsia="仿宋" w:hAnsi="仿宋"/>
          <w:sz w:val="24"/>
          <w:szCs w:val="24"/>
        </w:rPr>
        <w:t xml:space="preserve"> file.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Keywords: Markdown to Word, thesis formatting, conversion preview, layout inspection</w:t>
      </w:r>
    </w:p>
    <w:p>
      <w:pPr>
        <w:pStyle w:val="Heading1"/>
        <w:pageBreakBefore/>
        <w:spacing w:after="120" w:before="360" w:line="360"/>
        <w:jc w:val="center"/>
      </w:pPr>
      <w:r>
        <w:rPr>
          <w:rFonts w:ascii="Times New Roman" w:cs="Times New Roman" w:eastAsia="仿宋" w:hAnsi="仿宋"/>
          <w:b/>
          <w:bCs/>
          <w:sz w:val="30"/>
          <w:szCs w:val="30"/>
        </w:rPr>
        <w:t xml:space="preserve">第1章 绪论</w:t>
      </w:r>
    </w:p>
    <w:p>
      <w:pPr>
        <w:pStyle w:val="Heading2"/>
        <w:spacing w:after="120" w:before="360" w:line="360"/>
        <w:jc w:val="left"/>
      </w:pP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1.1</w:t>
      </w:r>
      <w:r>
        <w:rPr>
          <w:rFonts w:ascii="宋体" w:cs="宋体" w:eastAsia="宋体" w:hAnsi="宋体"/>
          <w:b/>
          <w:bCs/>
          <w:sz w:val="28"/>
          <w:szCs w:val="28"/>
        </w:rPr>
        <w:t xml:space="preserve">  </w:t>
      </w: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研究背景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工程师学院论文通常要求正文采用仿宋、小四、1.5 倍行距、两端对齐，并保持统一的标题、图表和公式编号规则。对于以 Markdown 起草的章节稿，若能够先转换为可编辑的 Word 文档，再进入模板精修阶段，可以显著降低重复排版成本</w:t>
      </w:r>
      <w:r>
        <w:rPr>
          <w:rFonts w:ascii="Times New Roman" w:cs="Times New Roman" w:eastAsia="仿宋" w:hAnsi="仿宋"/>
          <w:sz w:val="24"/>
          <w:szCs w:val="24"/>
          <w:vertAlign w:val="superscript"/>
        </w:rPr>
        <w:t xml:space="preserve">[1]</w:t>
      </w:r>
      <w:r>
        <w:rPr>
          <w:rFonts w:ascii="Times New Roman" w:cs="Times New Roman" w:eastAsia="仿宋" w:hAnsi="仿宋"/>
          <w:sz w:val="24"/>
          <w:szCs w:val="24"/>
        </w:rPr>
        <w:t xml:space="preserve">。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在学术写作场景中，经常会出现中英文混排、变量表达和单位书写，例如风险暴露记为 </w:t>
      </w:r>
      <m:oMath>
        <m:sSub>
          <m:sSubPr/>
          <m:e>
            <m:r>
              <m:t>E</m:t>
            </m:r>
          </m:e>
          <m:sub>
            <m:r>
              <m:t>t</m:t>
            </m:r>
          </m:sub>
        </m:sSub>
      </m:oMath>
      <w:r>
        <w:rPr>
          <w:rFonts w:ascii="Times New Roman" w:cs="Times New Roman" w:eastAsia="仿宋" w:hAnsi="仿宋"/>
          <w:sz w:val="24"/>
          <w:szCs w:val="24"/>
        </w:rPr>
        <w:t xml:space="preserve">，贴现率记为 </w:t>
      </w:r>
      <m:oMath>
        <m:r>
          <m:t>i</m:t>
        </m:r>
      </m:oMath>
      <w:r>
        <w:rPr>
          <w:rFonts w:ascii="Times New Roman" w:cs="Times New Roman" w:eastAsia="仿宋" w:hAnsi="仿宋"/>
          <w:sz w:val="24"/>
          <w:szCs w:val="24"/>
        </w:rPr>
        <w:t xml:space="preserve">，项目周期为 </w:t>
      </w:r>
      <m:oMath>
        <m:r>
          <m:t>12 </m:t>
        </m:r>
        <m:r>
          <m:t>month</m:t>
        </m:r>
      </m:oMath>
      <w:r>
        <w:rPr>
          <w:rFonts w:ascii="Times New Roman" w:cs="Times New Roman" w:eastAsia="仿宋" w:hAnsi="仿宋"/>
          <w:sz w:val="24"/>
          <w:szCs w:val="24"/>
        </w:rPr>
        <w:t xml:space="preserve">。若正文字体、中西文混排和标点规范不一致，最终文稿通常需要额外返工</w:t>
      </w:r>
      <w:r>
        <w:rPr>
          <w:rFonts w:ascii="Times New Roman" w:cs="Times New Roman" w:eastAsia="仿宋" w:hAnsi="仿宋"/>
          <w:sz w:val="24"/>
          <w:szCs w:val="24"/>
          <w:vertAlign w:val="superscript"/>
        </w:rPr>
        <w:t xml:space="preserve">[2-3]</w:t>
      </w:r>
      <w:r>
        <w:rPr>
          <w:rFonts w:ascii="Times New Roman" w:cs="Times New Roman" w:eastAsia="仿宋" w:hAnsi="仿宋"/>
          <w:sz w:val="24"/>
          <w:szCs w:val="24"/>
        </w:rPr>
        <w:t xml:space="preserve">。</w:t>
      </w:r>
    </w:p>
    <w:p>
      <w:pPr>
        <w:pStyle w:val="Heading3"/>
        <w:spacing w:after="120" w:before="240" w:line="360"/>
        <w:jc w:val="left"/>
      </w:pPr>
      <w:r>
        <w:rPr>
          <w:rFonts w:ascii="Times New Roman" w:cs="Times New Roman" w:eastAsia="仿宋" w:hAnsi="仿宋"/>
          <w:b w:val="false"/>
          <w:bCs w:val="false"/>
          <w:sz w:val="24"/>
          <w:szCs w:val="24"/>
        </w:rPr>
        <w:t xml:space="preserve">1.1.1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eastAsia="仿宋" w:hAnsi="仿宋"/>
          <w:b w:val="false"/>
          <w:bCs w:val="false"/>
          <w:sz w:val="24"/>
          <w:szCs w:val="24"/>
        </w:rPr>
        <w:t xml:space="preserve">研究问题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本文样张的核心问题是：给定一份包含常见学位论文对象的 Markdown 文档，转换后的 Word 是否能够为终稿排版提供一个稳定、可检查、可微调的底稿。</w:t>
      </w:r>
    </w:p>
    <w:p>
      <w:pPr>
        <w:pStyle w:val="Heading3"/>
        <w:spacing w:after="120" w:before="240" w:line="360"/>
        <w:jc w:val="left"/>
      </w:pPr>
      <w:r>
        <w:rPr>
          <w:rFonts w:ascii="Times New Roman" w:cs="Times New Roman" w:eastAsia="仿宋" w:hAnsi="仿宋"/>
          <w:b w:val="false"/>
          <w:bCs w:val="false"/>
          <w:sz w:val="24"/>
          <w:szCs w:val="24"/>
        </w:rPr>
        <w:t xml:space="preserve">1.1.2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eastAsia="仿宋" w:hAnsi="仿宋"/>
          <w:b w:val="false"/>
          <w:bCs w:val="false"/>
          <w:sz w:val="24"/>
          <w:szCs w:val="24"/>
        </w:rPr>
        <w:t xml:space="preserve">核对范围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本样张重点覆盖以下对象：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正文段落、标题层级与列表格式；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图题、表题与块公式编号；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中英文混排、参考文献上标和附录结构。</w:t>
      </w:r>
    </w:p>
    <w:p>
      <w:pPr>
        <w:pStyle w:val="Heading2"/>
        <w:spacing w:after="120" w:before="360" w:line="360"/>
        <w:jc w:val="left"/>
      </w:pP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1.2</w:t>
      </w:r>
      <w:r>
        <w:rPr>
          <w:rFonts w:ascii="宋体" w:cs="宋体" w:eastAsia="宋体" w:hAnsi="宋体"/>
          <w:b/>
          <w:bCs/>
          <w:sz w:val="28"/>
          <w:szCs w:val="28"/>
        </w:rPr>
        <w:t xml:space="preserve">  </w:t>
      </w: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公式与正文衔接示例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风险调整后的项目净现值可表示为：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120" w:line="360"/>
              <w:jc w:val="center"/>
            </w:pPr>
            <m:oMath>
              <m:r>
                <m:t>NPV=</m:t>
              </m:r>
              <m:sSubSup>
                <m:sSubSupPr/>
                <m:e>
                  <m:r>
                    <m:t>∑</m:t>
                  </m:r>
                </m:e>
                <m:sub>
                  <m:r>
                    <m:t>t=1</m:t>
                  </m:r>
                </m:sub>
                <m:sup>
                  <m:r>
                    <m:t>T</m:t>
                  </m:r>
                </m:sup>
              </m:sSubSup>
              <m:f>
                <m:num>
                  <m:r>
                    <m:t>C</m:t>
                  </m:r>
                  <m:sSub>
                    <m:sSubPr/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r>
                    <m:t>(1+</m:t>
                  </m:r>
                  <m:sSub>
                    <m:sSubPr/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</m:sub>
                  </m:sSub>
                  <m:sSup>
                    <m:sSupPr/>
                    <m:e>
                      <m: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-</m:t>
              </m:r>
              <m:sSub>
                <m:sSubPr/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120" w:line="360"/>
              <w:jc w:val="right"/>
            </w:pPr>
            <w:r>
              <w:rPr>
                <w:rFonts w:ascii="Times New Roman" w:cs="Times New Roman" w:eastAsia="仿宋" w:hAnsi="仿宋"/>
                <w:sz w:val="24"/>
                <w:szCs w:val="24"/>
              </w:rPr>
              <w:t xml:space="preserve">（1-1）</w:t>
            </w:r>
          </w:p>
        </w:tc>
      </w:tr>
    </w:tbl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其中，</w:t>
      </w:r>
      <m:oMath>
        <m:r>
          <m:t>C</m:t>
        </m:r>
        <m:sSub>
          <m:sSubPr/>
          <m:e>
            <m:r>
              <m:t>F</m:t>
            </m:r>
          </m:e>
          <m:sub>
            <m:r>
              <m:t>t</m:t>
            </m:r>
          </m:sub>
        </m:sSub>
      </m:oMath>
      <w:r>
        <w:rPr>
          <w:rFonts w:ascii="Times New Roman" w:cs="Times New Roman" w:eastAsia="仿宋" w:hAnsi="仿宋"/>
          <w:sz w:val="24"/>
          <w:szCs w:val="24"/>
        </w:rPr>
        <w:t xml:space="preserve"> 表示第 </w:t>
      </w:r>
      <m:oMath>
        <m:r>
          <m:t>t</m:t>
        </m:r>
      </m:oMath>
      <w:r>
        <w:rPr>
          <w:rFonts w:ascii="Times New Roman" w:cs="Times New Roman" w:eastAsia="仿宋" w:hAnsi="仿宋"/>
          <w:sz w:val="24"/>
          <w:szCs w:val="24"/>
        </w:rPr>
        <w:t xml:space="preserve"> 期现金流，</w:t>
      </w:r>
      <m:oMath>
        <m:sSub>
          <m:sSubPr/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cs="Times New Roman" w:eastAsia="仿宋" w:hAnsi="仿宋"/>
          <w:sz w:val="24"/>
          <w:szCs w:val="24"/>
        </w:rPr>
        <w:t xml:space="preserve"> 表示对应期的贴现率，</w:t>
      </w:r>
      <m:oMath>
        <m:sSub>
          <m:sSubPr/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ascii="Times New Roman" w:cs="Times New Roman" w:eastAsia="仿宋" w:hAnsi="仿宋"/>
          <w:sz w:val="24"/>
          <w:szCs w:val="24"/>
        </w:rPr>
        <w:t xml:space="preserve"> 表示初始投资额。若需进一步表达风险补偿项，可定义综合资本成本为：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120" w:line="360"/>
              <w:jc w:val="center"/>
            </w:pPr>
            <m:oMath>
              <m:sSub>
                <m:sSubPr/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t>=</m:t>
              </m:r>
              <m:sSub>
                <m:sSubPr/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t>+</m:t>
              </m:r>
              <m:sSub>
                <m:sSubPr/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  <m:d>
                <m:dPr/>
                <m:e>
                  <m:sSub>
                    <m:sSubPr/>
                    <m:e>
                      <m:r>
                        <m:t>R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-</m:t>
                  </m:r>
                  <m:sSub>
                    <m:sSubPr/>
                    <m:e>
                      <m:r>
                        <m:t>r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  <m:r>
                <m:t>+</m:t>
              </m:r>
              <m:sSub>
                <m:sSubPr/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120" w:line="360"/>
              <w:jc w:val="right"/>
            </w:pPr>
            <w:r>
              <w:rPr>
                <w:rFonts w:ascii="Times New Roman" w:cs="Times New Roman" w:eastAsia="仿宋" w:hAnsi="仿宋"/>
                <w:sz w:val="24"/>
                <w:szCs w:val="24"/>
              </w:rPr>
              <w:t xml:space="preserve">（1-2）</w:t>
            </w:r>
          </w:p>
        </w:tc>
      </w:tr>
    </w:tbl>
    <w:p>
      <w:pPr>
        <w:pStyle w:val="Heading3"/>
        <w:spacing w:after="120" w:before="240" w:line="360"/>
        <w:jc w:val="left"/>
      </w:pPr>
      <w:r>
        <w:rPr>
          <w:rFonts w:ascii="Times New Roman" w:cs="Times New Roman" w:eastAsia="仿宋" w:hAnsi="仿宋"/>
          <w:b w:val="false"/>
          <w:bCs w:val="false"/>
          <w:sz w:val="24"/>
          <w:szCs w:val="24"/>
        </w:rPr>
        <w:t xml:space="preserve">1.2.1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eastAsia="仿宋" w:hAnsi="仿宋"/>
          <w:b w:val="false"/>
          <w:bCs w:val="false"/>
          <w:sz w:val="24"/>
          <w:szCs w:val="24"/>
        </w:rPr>
        <w:t xml:space="preserve">引用、缩略词与术语示例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企业资源计划可写作 </w:t>
      </w:r>
      <w:r>
        <w:rPr>
          <w:rFonts w:ascii="Times New Roman" w:cs="Times New Roman" w:eastAsia="仿宋" w:hAnsi="仿宋"/>
          <w:sz w:val="24"/>
          <w:szCs w:val="24"/>
        </w:rPr>
        <w:t xml:space="preserve">ERP（Enterprise Resource Planning）</w:t>
      </w:r>
      <w:r>
        <w:rPr>
          <w:rFonts w:ascii="Times New Roman" w:cs="Times New Roman" w:eastAsia="仿宋" w:hAnsi="仿宋"/>
          <w:sz w:val="24"/>
          <w:szCs w:val="24"/>
        </w:rPr>
        <w:t xml:space="preserve">，首次出现时通常需要给出全称。对于项目评价，常同时关注 </w:t>
      </w:r>
      <w:r>
        <w:rPr>
          <w:rFonts w:ascii="Times New Roman" w:cs="Times New Roman" w:eastAsia="仿宋" w:hAnsi="仿宋"/>
          <w:sz w:val="24"/>
          <w:szCs w:val="24"/>
        </w:rPr>
        <w:t xml:space="preserve">ROI</w:t>
      </w:r>
      <w:r>
        <w:rPr>
          <w:rFonts w:ascii="Times New Roman" w:cs="Times New Roman" w:eastAsia="仿宋" w:hAnsi="仿宋"/>
          <w:sz w:val="24"/>
          <w:szCs w:val="24"/>
        </w:rPr>
        <w:t xml:space="preserve">、</w:t>
      </w:r>
      <w:r>
        <w:rPr>
          <w:rFonts w:ascii="Times New Roman" w:cs="Times New Roman" w:eastAsia="仿宋" w:hAnsi="仿宋"/>
          <w:sz w:val="24"/>
          <w:szCs w:val="24"/>
        </w:rPr>
        <w:t xml:space="preserve">IRR</w:t>
      </w:r>
      <w:r>
        <w:rPr>
          <w:rFonts w:ascii="Times New Roman" w:cs="Times New Roman" w:eastAsia="仿宋" w:hAnsi="仿宋"/>
          <w:sz w:val="24"/>
          <w:szCs w:val="24"/>
        </w:rPr>
        <w:t xml:space="preserve"> 与 </w:t>
      </w:r>
      <w:r>
        <w:rPr>
          <w:rFonts w:ascii="Times New Roman" w:cs="Times New Roman" w:eastAsia="仿宋" w:hAnsi="仿宋"/>
          <w:sz w:val="24"/>
          <w:szCs w:val="24"/>
        </w:rPr>
        <w:t xml:space="preserve">NPV</w:t>
      </w:r>
      <w:r>
        <w:rPr>
          <w:rFonts w:ascii="Times New Roman" w:cs="Times New Roman" w:eastAsia="仿宋" w:hAnsi="仿宋"/>
          <w:sz w:val="24"/>
          <w:szCs w:val="24"/>
        </w:rPr>
        <w:t xml:space="preserve"> 等指标，并要求术语在全文中前后一致</w:t>
      </w:r>
      <w:r>
        <w:rPr>
          <w:rFonts w:ascii="Times New Roman" w:cs="Times New Roman" w:eastAsia="仿宋" w:hAnsi="仿宋"/>
          <w:sz w:val="24"/>
          <w:szCs w:val="24"/>
          <w:vertAlign w:val="superscript"/>
        </w:rPr>
        <w:t xml:space="preserve">[4]</w:t>
      </w:r>
      <w:r>
        <w:rPr>
          <w:rFonts w:ascii="Times New Roman" w:cs="Times New Roman" w:eastAsia="仿宋" w:hAnsi="仿宋"/>
          <w:sz w:val="24"/>
          <w:szCs w:val="24"/>
        </w:rPr>
        <w:t xml:space="preserve">。</w:t>
      </w:r>
    </w:p>
    <w:p>
      <w:pPr>
        <w:pBdr>
          <w:left w:val="single" w:color="999999" w:sz="3" w:space="8"/>
        </w:pBdr>
        <w:spacing w:after="0" w:before="0" w:line="360"/>
        <w:ind w:left="576"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本段为引用块示例，用于观察转换后左侧边线、缩进和行距是否与正文区分清晰，同时又不会破坏整体版式的统一性。</w:t>
      </w:r>
    </w:p>
    <w:p>
      <w:pPr>
        <w:pStyle w:val="Heading2"/>
        <w:spacing w:after="120" w:before="360" w:line="360"/>
        <w:jc w:val="left"/>
      </w:pP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1.3</w:t>
      </w:r>
      <w:r>
        <w:rPr>
          <w:rFonts w:ascii="宋体" w:cs="宋体" w:eastAsia="宋体" w:hAnsi="宋体"/>
          <w:b/>
          <w:bCs/>
          <w:sz w:val="28"/>
          <w:szCs w:val="28"/>
        </w:rPr>
        <w:t xml:space="preserve">  </w:t>
      </w: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图题示例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下图用于检查图片插入后的缩放、居中与图题位置关系。</w:t>
      </w:r>
    </w:p>
    <w:p>
      <w:pPr>
        <w:spacing w:after="0" w:before="0" w:line="360"/>
        <w:ind w:firstLine="480"/>
        <w:jc w:val="both"/>
      </w:pPr>
      <w:r>
        <w:drawing>
          <wp:inline distT="0" distB="0" distL="0" distR="0">
            <wp:extent cx="523875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仿宋" w:hAnsi="仿宋"/>
          <w:sz w:val="21"/>
          <w:szCs w:val="21"/>
        </w:rPr>
        <w:t xml:space="preserve">图1.1 综合排版效果预览</w:t>
      </w:r>
      <w:r>
        <w:rPr>
          <w:rFonts w:ascii="Times New Roman" w:cs="Times New Roman" w:eastAsia="仿宋" w:hAnsi="仿宋"/>
          <w:sz w:val="21"/>
          <w:szCs w:val="21"/>
        </w:rPr>
        <w:br/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Figure 1.1 Integrated Layout Preview</w:t>
      </w:r>
    </w:p>
    <w:p>
      <w:pPr>
        <w:pStyle w:val="Heading2"/>
        <w:spacing w:after="120" w:before="360" w:line="360"/>
        <w:jc w:val="left"/>
      </w:pP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1.4</w:t>
      </w:r>
      <w:r>
        <w:rPr>
          <w:rFonts w:ascii="宋体" w:cs="宋体" w:eastAsia="宋体" w:hAnsi="宋体"/>
          <w:b/>
          <w:bCs/>
          <w:sz w:val="28"/>
          <w:szCs w:val="28"/>
        </w:rPr>
        <w:t xml:space="preserve">  </w:t>
      </w: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表题示例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仿宋" w:hAnsi="仿宋"/>
          <w:sz w:val="21"/>
          <w:szCs w:val="21"/>
        </w:rPr>
        <w:t xml:space="preserve">表1.1 样张核对项目与目标表现</w:t>
      </w:r>
      <w:r>
        <w:rPr>
          <w:rFonts w:ascii="Times New Roman" w:cs="Times New Roman" w:eastAsia="仿宋" w:hAnsi="仿宋"/>
          <w:sz w:val="21"/>
          <w:szCs w:val="21"/>
        </w:rPr>
        <w:br/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Table 1.1 Checklist Items and Target Presentation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b/>
                <w:bCs/>
                <w:sz w:val="21"/>
                <w:szCs w:val="21"/>
              </w:rPr>
              <w:t xml:space="preserve">核对对象</w:t>
            </w:r>
          </w:p>
        </w:tc>
        <w:tc>
          <w:tcPr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b/>
                <w:bCs/>
                <w:sz w:val="21"/>
                <w:szCs w:val="21"/>
              </w:rPr>
              <w:t xml:space="preserve">目标表现</w:t>
            </w:r>
          </w:p>
        </w:tc>
        <w:tc>
          <w:tcPr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正文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小四、仿宋、首行缩进 2 字符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段前段后均为 0 磅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二级标题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1.1  标题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编号后保留 2 个空格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三级标题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1.1.1 标题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编号后保留 1 个空格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图题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图1.1 图题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图下居中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表格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三线表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默认无竖线，单元格左对齐</w:t>
            </w:r>
          </w:p>
        </w:tc>
      </w:tr>
    </w:tbl>
    <w:p>
      <w:pPr>
        <w:spacing w:after="80"/>
      </w:pPr>
    </w:p>
    <w:p>
      <w:pPr>
        <w:pStyle w:val="Heading2"/>
        <w:spacing w:after="120" w:before="360" w:line="360"/>
        <w:jc w:val="left"/>
      </w:pP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1.5</w:t>
      </w:r>
      <w:r>
        <w:rPr>
          <w:rFonts w:ascii="宋体" w:cs="宋体" w:eastAsia="宋体" w:hAnsi="宋体"/>
          <w:b/>
          <w:bCs/>
          <w:sz w:val="28"/>
          <w:szCs w:val="28"/>
        </w:rPr>
        <w:t xml:space="preserve">  </w:t>
      </w: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制表符表格示例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下面的内容刻意采用制表符分隔，以检查预处理后能否正常生成 Word 表格：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指标	说明	目标值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页面边距	检查是否符合学院要求	人工复核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公式编号	检查是否按章连续	自动编号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参考文献	检查上标与文后顺序一致	人工复核</w:t>
      </w:r>
    </w:p>
    <w:p>
      <w:pPr>
        <w:pStyle w:val="Heading1"/>
        <w:pageBreakBefore/>
        <w:spacing w:after="120" w:before="360" w:line="360"/>
        <w:jc w:val="center"/>
      </w:pPr>
      <w:r>
        <w:rPr>
          <w:rFonts w:ascii="Times New Roman" w:cs="Times New Roman" w:eastAsia="仿宋" w:hAnsi="仿宋"/>
          <w:b/>
          <w:bCs/>
          <w:sz w:val="30"/>
          <w:szCs w:val="30"/>
        </w:rPr>
        <w:t xml:space="preserve">第2章 研究设计</w:t>
      </w:r>
    </w:p>
    <w:p>
      <w:pPr>
        <w:pStyle w:val="Heading2"/>
        <w:spacing w:after="120" w:before="360" w:line="360"/>
        <w:jc w:val="left"/>
      </w:pP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2.1</w:t>
      </w:r>
      <w:r>
        <w:rPr>
          <w:rFonts w:ascii="宋体" w:cs="宋体" w:eastAsia="宋体" w:hAnsi="宋体"/>
          <w:b/>
          <w:bCs/>
          <w:sz w:val="28"/>
          <w:szCs w:val="28"/>
        </w:rPr>
        <w:t xml:space="preserve">  </w:t>
      </w: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指标体系示例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第二章用于观察章节切换后，图号、表号和公式号是否重新从本章开始编号。若转换逻辑正确，本章第一条块公式应显示为本章的第一个公式编号。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120" w:line="360"/>
              <w:jc w:val="center"/>
            </w:pPr>
            <m:oMath>
              <m:r>
                <m:t>Score=</m:t>
              </m:r>
              <m:sSubSup>
                <m:sSubSupPr/>
                <m:e>
                  <m:r>
                    <m:t>∑</m:t>
                  </m:r>
                </m:e>
                <m:sub>
                  <m:r>
                    <m:t>j=1</m:t>
                  </m:r>
                </m:sub>
                <m:sup>
                  <m:r>
                    <m:t>n</m:t>
                  </m:r>
                </m:sup>
              </m:sSubSup>
              <m:sSub>
                <m:sSubPr/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sSub>
                <m:sSubPr/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120" w:line="360"/>
              <w:jc w:val="right"/>
            </w:pPr>
            <w:r>
              <w:rPr>
                <w:rFonts w:ascii="Times New Roman" w:cs="Times New Roman" w:eastAsia="仿宋" w:hAnsi="仿宋"/>
                <w:sz w:val="24"/>
                <w:szCs w:val="24"/>
              </w:rPr>
              <w:t xml:space="preserve">（2-1）</w:t>
            </w:r>
          </w:p>
        </w:tc>
      </w:tr>
    </w:tbl>
    <w:p>
      <w:pPr>
        <w:pStyle w:val="Heading3"/>
        <w:spacing w:after="120" w:before="240" w:line="360"/>
        <w:jc w:val="left"/>
      </w:pPr>
      <w:r>
        <w:rPr>
          <w:rFonts w:ascii="Times New Roman" w:cs="Times New Roman" w:eastAsia="仿宋" w:hAnsi="仿宋"/>
          <w:b w:val="false"/>
          <w:bCs w:val="false"/>
          <w:sz w:val="24"/>
          <w:szCs w:val="24"/>
        </w:rPr>
        <w:t xml:space="preserve">2.1.1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eastAsia="仿宋" w:hAnsi="仿宋"/>
          <w:b w:val="false"/>
          <w:bCs w:val="false"/>
          <w:sz w:val="24"/>
          <w:szCs w:val="24"/>
        </w:rPr>
        <w:t xml:space="preserve">变量说明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式中，</w:t>
      </w:r>
      <m:oMath>
        <m:sSub>
          <m:sSubPr/>
          <m:e>
            <m:r>
              <m:t>w</m:t>
            </m:r>
          </m:e>
          <m:sub>
            <m:r>
              <m:t>j</m:t>
            </m:r>
          </m:sub>
        </m:sSub>
      </m:oMath>
      <w:r>
        <w:rPr>
          <w:rFonts w:ascii="Times New Roman" w:cs="Times New Roman" w:eastAsia="仿宋" w:hAnsi="仿宋"/>
          <w:sz w:val="24"/>
          <w:szCs w:val="24"/>
        </w:rPr>
        <w:t xml:space="preserve"> 表示第 </w:t>
      </w:r>
      <m:oMath>
        <m:r>
          <m:t>j</m:t>
        </m:r>
      </m:oMath>
      <w:r>
        <w:rPr>
          <w:rFonts w:ascii="Times New Roman" w:cs="Times New Roman" w:eastAsia="仿宋" w:hAnsi="仿宋"/>
          <w:sz w:val="24"/>
          <w:szCs w:val="24"/>
        </w:rPr>
        <w:t xml:space="preserve"> 个指标的权重，</w:t>
      </w:r>
      <m:oMath>
        <m:sSub>
          <m:sSubPr/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Times New Roman" w:cs="Times New Roman" w:eastAsia="仿宋" w:hAnsi="仿宋"/>
          <w:sz w:val="24"/>
          <w:szCs w:val="24"/>
        </w:rPr>
        <w:t xml:space="preserve"> 表示对应的标准化得分，且满足 </w:t>
      </w:r>
      <m:oMath>
        <m:sSubSup>
          <m:sSubSupPr/>
          <m:e>
            <m:r>
              <m:t>∑</m:t>
            </m:r>
          </m:e>
          <m:sub>
            <m:r>
              <m:t>j=1</m:t>
            </m:r>
          </m:sub>
          <m:sup>
            <m:r>
              <m:t>n</m:t>
            </m:r>
          </m:sup>
        </m:sSubSup>
        <m:sSub>
          <m:sSubPr/>
          <m:e>
            <m:r>
              <m:t>w</m:t>
            </m:r>
          </m:e>
          <m:sub>
            <m:r>
              <m:t>j</m:t>
            </m:r>
          </m:sub>
        </m:sSub>
        <m:r>
          <m:t>=1</m:t>
        </m:r>
      </m:oMath>
      <w:r>
        <w:rPr>
          <w:rFonts w:ascii="Times New Roman" w:cs="Times New Roman" w:eastAsia="仿宋" w:hAnsi="仿宋"/>
          <w:sz w:val="24"/>
          <w:szCs w:val="24"/>
        </w:rPr>
        <w:t xml:space="preserve">。当样本量为 </w:t>
      </w:r>
      <m:oMath>
        <m:r>
          <m:t>30</m:t>
        </m:r>
      </m:oMath>
      <w:r>
        <w:rPr>
          <w:rFonts w:ascii="Times New Roman" w:cs="Times New Roman" w:eastAsia="仿宋" w:hAnsi="仿宋"/>
          <w:sz w:val="24"/>
          <w:szCs w:val="24"/>
        </w:rPr>
        <w:t xml:space="preserve"> 组、置信水平为 </w:t>
      </w:r>
      <m:oMath>
        <m:r>
          <m:t>95%</m:t>
        </m:r>
      </m:oMath>
      <w:r>
        <w:rPr>
          <w:rFonts w:ascii="Times New Roman" w:cs="Times New Roman" w:eastAsia="仿宋" w:hAnsi="仿宋"/>
          <w:sz w:val="24"/>
          <w:szCs w:val="24"/>
        </w:rPr>
        <w:t xml:space="preserve"> 时，可进一步考察评价模型的稳健性。</w:t>
      </w:r>
    </w:p>
    <w:p>
      <w:pPr>
        <w:pStyle w:val="Heading2"/>
        <w:spacing w:after="120" w:before="360" w:line="360"/>
        <w:jc w:val="left"/>
      </w:pP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2.2</w:t>
      </w:r>
      <w:r>
        <w:rPr>
          <w:rFonts w:ascii="宋体" w:cs="宋体" w:eastAsia="宋体" w:hAnsi="宋体"/>
          <w:b/>
          <w:bCs/>
          <w:sz w:val="28"/>
          <w:szCs w:val="28"/>
        </w:rPr>
        <w:t xml:space="preserve">  </w:t>
      </w:r>
      <w:r>
        <w:rPr>
          <w:rFonts w:ascii="Times New Roman" w:cs="Times New Roman" w:eastAsia="仿宋" w:hAnsi="仿宋"/>
          <w:b/>
          <w:bCs/>
          <w:sz w:val="28"/>
          <w:szCs w:val="28"/>
        </w:rPr>
        <w:t xml:space="preserve">列表示例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第一项用于观察无序列表的缩进与字体；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第二项用于观察中英文混排，例如 Python、Word、Markdown 和 </w:t>
      </w:r>
      <w:r>
        <w:rPr>
          <w:rFonts w:ascii="Times New Roman" w:cs="Times New Roman" w:eastAsia="仿宋" w:hAnsi="仿宋"/>
          <w:sz w:val="24"/>
          <w:szCs w:val="24"/>
        </w:rPr>
        <w:t xml:space="preserve">.docx</w:t>
      </w:r>
      <w:r>
        <w:rPr>
          <w:rFonts w:ascii="Times New Roman" w:cs="Times New Roman" w:eastAsia="仿宋" w:hAnsi="仿宋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第三项用于观察列表后的正文是否能恢复首行缩进。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列表之后的本段应恢复为普通正文段落样式，而不应继续保持列表缩进。这一段也可用于检查中英文之间的空格处理，以及诸如 risk register、cost baseline 等英文术语在正文中的呈现效果。</w:t>
      </w:r>
    </w:p>
    <w:p>
      <w:pPr>
        <w:pStyle w:val="Heading1"/>
        <w:pageBreakBefore/>
        <w:spacing w:after="120" w:before="360" w:line="360"/>
        <w:jc w:val="center"/>
      </w:pPr>
      <w:r>
        <w:rPr>
          <w:rFonts w:ascii="Times New Roman" w:cs="Times New Roman" w:eastAsia="仿宋" w:hAnsi="仿宋"/>
          <w:b/>
          <w:bCs/>
          <w:sz w:val="30"/>
          <w:szCs w:val="30"/>
        </w:rPr>
        <w:t xml:space="preserve">参考文献</w:t>
      </w:r>
    </w:p>
    <w:p>
      <w:p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[1] </w:t>
      </w:r>
      <w:r>
        <w:rPr>
          <w:rFonts w:ascii="Times New Roman" w:cs="Times New Roman" w:eastAsia="仿宋" w:hAnsi="仿宋"/>
          <w:sz w:val="24"/>
          <w:szCs w:val="24"/>
        </w:rPr>
        <w:t xml:space="preserve">王某某. 工程管理论文写作规范研究[J]. 学位与研究生教育， 2023(4): 15-22.</w:t>
      </w:r>
    </w:p>
    <w:p>
      <w:p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[2] </w:t>
      </w:r>
      <w:r>
        <w:rPr>
          <w:rFonts w:ascii="Times New Roman" w:cs="Times New Roman" w:eastAsia="仿宋" w:hAnsi="仿宋"/>
          <w:sz w:val="24"/>
          <w:szCs w:val="24"/>
        </w:rPr>
        <w:t xml:space="preserve">Smith J, Brown T. Document Layout Consistency in Academic Writing[J]. Journal of Technical Communication, 2022, 18(3): 45-58.</w:t>
      </w:r>
    </w:p>
    <w:p>
      <w:p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[3] </w:t>
      </w:r>
      <w:r>
        <w:rPr>
          <w:rFonts w:ascii="Times New Roman" w:cs="Times New Roman" w:eastAsia="仿宋" w:hAnsi="仿宋"/>
          <w:sz w:val="24"/>
          <w:szCs w:val="24"/>
        </w:rPr>
        <w:t xml:space="preserve">李某某， 张某某. 学术论文中公式与图表排版的统一性要求[J]. 科技写作， 2021(6): 33-40.</w:t>
      </w:r>
    </w:p>
    <w:p>
      <w:pPr>
        <w:spacing w:after="0" w:before="0" w:line="36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[4] </w:t>
      </w:r>
      <w:r>
        <w:rPr>
          <w:rFonts w:ascii="Times New Roman" w:cs="Times New Roman" w:eastAsia="仿宋" w:hAnsi="仿宋"/>
          <w:sz w:val="24"/>
          <w:szCs w:val="24"/>
        </w:rPr>
        <w:t xml:space="preserve">Project Management Institute. A Guide to the Project Management Body of Knowledge[M]. 7th ed. Pennsylvania: PMI, 2021.</w:t>
      </w:r>
    </w:p>
    <w:p>
      <w:pPr>
        <w:pStyle w:val="Heading1"/>
        <w:pageBreakBefore/>
        <w:spacing w:after="120" w:before="360" w:line="360"/>
        <w:jc w:val="center"/>
      </w:pPr>
      <w:r>
        <w:rPr>
          <w:rFonts w:ascii="Times New Roman" w:cs="Times New Roman" w:eastAsia="仿宋" w:hAnsi="仿宋"/>
          <w:b/>
          <w:bCs/>
          <w:sz w:val="30"/>
          <w:szCs w:val="30"/>
        </w:rPr>
        <w:t xml:space="preserve">附录A 核对记录表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仿宋" w:hAnsi="仿宋"/>
          <w:sz w:val="24"/>
          <w:szCs w:val="24"/>
        </w:rPr>
        <w:t xml:space="preserve">附录部分可用于人工记录每次转换后的检查结果，例如页边距是否正确、图表位置是否异常、参考文献序号是否连续等。若需要正式终稿格式，仍应结合学院模板继续检查页眉、页脚、页码、目录和分节设置。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仿宋" w:hAnsi="仿宋"/>
          <w:sz w:val="21"/>
          <w:szCs w:val="21"/>
        </w:rPr>
        <w:t xml:space="preserve">表2.1 附录核对记录</w:t>
      </w:r>
      <w:r>
        <w:rPr>
          <w:rFonts w:ascii="Times New Roman" w:cs="Times New Roman" w:eastAsia="仿宋" w:hAnsi="仿宋"/>
          <w:sz w:val="21"/>
          <w:szCs w:val="21"/>
        </w:rPr>
        <w:br/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Table 2.1 Appendix Checklist Record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b/>
                <w:bCs/>
                <w:sz w:val="21"/>
                <w:szCs w:val="21"/>
              </w:rPr>
              <w:t xml:space="preserve">检查项</w:t>
            </w:r>
          </w:p>
        </w:tc>
        <w:tc>
          <w:tcPr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b/>
                <w:bCs/>
                <w:sz w:val="21"/>
                <w:szCs w:val="21"/>
              </w:rPr>
              <w:t xml:space="preserve">检查结果</w:t>
            </w:r>
          </w:p>
        </w:tc>
        <w:tc>
          <w:tcPr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正文样式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通过 / 不通过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可填写问题位置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图表编号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通过 / 不通过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检查是否跨章重置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公式编号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通过 / 不通过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检查是否与正文引用一致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页眉页脚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人工复核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30" w:before="30" w:line="240"/>
              <w:jc w:val="left"/>
            </w:pPr>
            <w:r>
              <w:rPr>
                <w:rFonts w:ascii="Times New Roman" w:cs="Times New Roman" w:eastAsia="仿宋" w:hAnsi="仿宋"/>
                <w:sz w:val="21"/>
                <w:szCs w:val="21"/>
              </w:rPr>
              <w:t xml:space="preserve">当前样张仅用于检查转换基础能力</w:t>
            </w:r>
          </w:p>
        </w:tc>
      </w:tr>
    </w:tbl>
    <w:p>
      <w:pPr>
        <w:spacing w:after="80"/>
      </w:pPr>
    </w:p>
    <w:sectPr>
      <w:pgSz w:w="11907" w:h="16840" w:orient="portrait"/>
      <w:pgMar w:top="1440" w:right="1797" w:bottom="1440" w:left="1797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  <w:lvl w:ilvl="2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lowerLetter"/>
      <w:lvlText w:val="%2."/>
      <w:lvlJc w:val="left"/>
      <w:pPr>
        <w:ind w:left="720" w:hanging="360"/>
      </w:pPr>
    </w:lvl>
    <w:lvl w:ilvl="2" w15:tentative="1">
      <w:start w:val="1"/>
      <w:numFmt w:val="lowerRoman"/>
      <w:lvlText w:val="%3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仿宋" w:hAnsi="仿宋"/>
        <w:sz w:val="24"/>
        <w:szCs w:val="24"/>
      </w:rPr>
    </w:rPrDefault>
    <w:pPrDefault>
      <w:pPr>
        <w:spacing w:after="0" w:before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ageBreakBefore/>
      <w:spacing w:after="120" w:before="360" w:line="360"/>
      <w:jc w:val="center"/>
    </w:pPr>
    <w:rPr>
      <w:rFonts w:ascii="Times New Roman" w:cs="Times New Roman" w:eastAsia="仿宋" w:hAnsi="仿宋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 w:line="360"/>
      <w:jc w:val="left"/>
    </w:pPr>
    <w:rPr>
      <w:rFonts w:ascii="Times New Roman" w:cs="Times New Roman" w:eastAsia="仿宋" w:hAnsi="仿宋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60"/>
      <w:jc w:val="left"/>
    </w:pPr>
    <w:rPr>
      <w:rFonts w:ascii="Times New Roman" w:cs="Times New Roman" w:eastAsia="仿宋" w:hAnsi="仿宋"/>
      <w:b w:val="false"/>
      <w:bCs w:val="fals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/>
      <w:jc w:val="both"/>
    </w:pPr>
    <w:rPr>
      <w:rFonts w:ascii="Times New Roman" w:cs="Times New Roman" w:eastAsia="仿宋" w:hAnsi="仿宋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e3109f9d8f32f14ed5f2e78d773579ebccbe6f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2026-04-26T08:53:01.157Z</dcterms:created>
  <dcterms:modified xsi:type="dcterms:W3CDTF">2026-04-26T08:53:01.157Z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