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76A90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首页面：日常账单，监控屏幕识别是什么消费类型与金额；</w:t>
      </w:r>
    </w:p>
    <w:p w14:paraId="651717E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一个按钮输入本月的预算，并在页面中显示剩余的预算</w:t>
      </w:r>
    </w:p>
    <w:p w14:paraId="1C09A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打字输入账单</w:t>
      </w:r>
      <w:r>
        <w:rPr>
          <w:rFonts w:hint="eastAsia"/>
          <w:lang w:val="en-US" w:eastAsia="zh-CN"/>
        </w:rPr>
        <w:tab/>
        <w:t>{ 消费类型 ；金额 ；时间 ；地点 ； 备注 }</w:t>
      </w:r>
    </w:p>
    <w:p w14:paraId="282D4F7E">
      <w:pPr>
        <w:rPr>
          <w:rFonts w:hint="default"/>
          <w:lang w:val="en-US" w:eastAsia="zh-CN"/>
        </w:rPr>
      </w:pPr>
    </w:p>
    <w:p w14:paraId="087613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第二页面：日历显示每天的金额的收入与支出，绿色表示收入，红色表示支出。</w:t>
      </w:r>
    </w:p>
    <w:p w14:paraId="65517DE8">
      <w:pPr>
        <w:rPr>
          <w:rFonts w:hint="default"/>
          <w:lang w:val="en-US" w:eastAsia="zh-CN"/>
        </w:rPr>
      </w:pPr>
    </w:p>
    <w:p w14:paraId="33D2F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第三页面：每月金额汇总，收入占比与支出占比用饼状图</w:t>
      </w:r>
    </w:p>
    <w:p w14:paraId="643490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周统计、月统计、年统计</w:t>
      </w:r>
      <w:r>
        <w:rPr>
          <w:rFonts w:hint="eastAsia"/>
          <w:lang w:val="en-US" w:eastAsia="zh-CN"/>
        </w:rPr>
        <w:tab/>
        <w:t>；每日总收支的柱状图</w:t>
      </w:r>
    </w:p>
    <w:p w14:paraId="71B8DCBC">
      <w:pPr>
        <w:rPr>
          <w:rFonts w:hint="default"/>
          <w:lang w:val="en-US" w:eastAsia="zh-CN"/>
        </w:rPr>
      </w:pPr>
    </w:p>
    <w:p w14:paraId="49BFB8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第四页面：个人账户（导入导出csv）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D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2026-06-29T06:24:01Z</dcterms:created>
  <dc:creator>STU</dc:creator>
  <cp:lastModifiedBy>STU</cp:lastModifiedBy>
  <dcterms:modified xsi:type="dcterms:W3CDTF">2026-06-29T06:59:22Z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eyJoZGlkIjoiNjg2NjJjNDI3ZTAyNDE0MWI3YTc5NDUwMzI2NzRkMDMifQ==</vt:lpwstr>
  </property>
  <property fmtid="{D5CDD505-2E9C-101B-9397-08002B2CF9AE}" pid="4" name="ICV">
    <vt:lpwstr>AF6AB13265614E89BAEE2E80BBA32D36_12</vt:lpwstr>
  </property>
</Properties>
</file>