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1AF849">
      <w:pPr>
        <w:rPr>
          <w:rFonts w:hint="eastAsia"/>
        </w:rPr>
      </w:pPr>
      <w:r>
        <w:rPr>
          <w:rFonts w:hint="eastAsia"/>
        </w:rPr>
        <w:t># G11 L2 Brief Note</w:t>
      </w:r>
    </w:p>
    <w:p w14:paraId="3D543ADF">
      <w:pPr>
        <w:rPr>
          <w:rFonts w:hint="eastAsia"/>
        </w:rPr>
      </w:pPr>
    </w:p>
    <w:p w14:paraId="2B4C3869">
      <w:pPr>
        <w:rPr>
          <w:rFonts w:hint="eastAsia"/>
        </w:rPr>
      </w:pPr>
      <w:r>
        <w:rPr>
          <w:rFonts w:hint="eastAsia"/>
        </w:rPr>
        <w:t>The G11 data in `L2_data.csv` and `L2_meta.json` were analysed at 300 K. Three paired repeats were averaged at each of 51 measurement indices. Hall coefficient and sheet resistance were normalised separately, and the models were fitted using nearest-point distances in the two-dimensional RH–Rs space.</w:t>
      </w:r>
    </w:p>
    <w:p w14:paraId="23EA4E7E">
      <w:pPr>
        <w:rPr>
          <w:rFonts w:hint="eastAsia"/>
        </w:rPr>
      </w:pPr>
    </w:p>
    <w:p w14:paraId="0276C997">
      <w:pPr>
        <w:rPr>
          <w:rFonts w:hint="eastAsia"/>
        </w:rPr>
      </w:pPr>
      <w:r>
        <w:rPr>
          <w:rFonts w:hint="eastAsia"/>
        </w:rPr>
        <w:t>1. Best-fit model</w:t>
      </w:r>
      <w:r>
        <w:rPr>
          <w:rFonts w:hint="default"/>
          <w:lang w:val="en-US"/>
        </w:rPr>
        <w:t>.</w:t>
      </w:r>
      <w:r>
        <w:rPr>
          <w:rFonts w:hint="eastAsia"/>
        </w:rPr>
        <w:t xml:space="preserve"> The selected hard-gap model has Eg = 3.25 kBT, approximately 0.0840 eV. Its RMS residual is 0.012573, compared with 0.098663 for the gapless cone, an 87.26% reduction. It satisfies both selection conditions: a residual below 85% of the cone residual and Eg ≥ 1 kBT.</w:t>
      </w:r>
    </w:p>
    <w:p w14:paraId="37637AFC">
      <w:pPr>
        <w:rPr>
          <w:rFonts w:hint="eastAsia"/>
        </w:rPr>
      </w:pPr>
    </w:p>
    <w:p w14:paraId="74345070">
      <w:pPr>
        <w:rPr>
          <w:rFonts w:hint="eastAsia"/>
        </w:rPr>
      </w:pPr>
      <w:r>
        <w:rPr>
          <w:rFonts w:hint="eastAsia"/>
        </w:rPr>
        <w:t>2. Gap search.</w:t>
      </w:r>
      <w:r>
        <w:rPr>
          <w:rFonts w:hint="default"/>
          <w:lang w:val="en-US"/>
        </w:rPr>
        <w:t xml:space="preserve"> </w:t>
      </w:r>
      <w:r>
        <w:rPr>
          <w:rFonts w:hint="eastAsia"/>
        </w:rPr>
        <w:t>Scanning Eg/kBT from 0.50 to 8.00 in steps of 0.25 gives the minimum residual at 3.25. The 2 kBT point is an illustrative candidate, not a prescribed handbook starting value. The figure's 70.40% improvement is relative to this candidate's RMS of 0.042477.</w:t>
      </w:r>
    </w:p>
    <w:p w14:paraId="3DF2F063">
      <w:pPr>
        <w:rPr>
          <w:rFonts w:hint="eastAsia"/>
        </w:rPr>
      </w:pPr>
    </w:p>
    <w:p w14:paraId="401229E0">
      <w:pPr>
        <w:rPr>
          <w:rFonts w:hint="eastAsia"/>
        </w:rPr>
      </w:pPr>
      <w:r>
        <w:rPr>
          <w:rFonts w:hint="eastAsia"/>
        </w:rPr>
        <w:t>3. RH versus EF (figure titled RH vs EF). All three models change Hall sign at EF = 0, reflecting the transition between hole-like and electron-like transport. Each curve is normalised by its own maximum absolute RH.</w:t>
      </w:r>
    </w:p>
    <w:p w14:paraId="0C752F24">
      <w:pPr>
        <w:rPr>
          <w:rFonts w:hint="eastAsia"/>
        </w:rPr>
      </w:pPr>
    </w:p>
    <w:p w14:paraId="27C2A9A5">
      <w:pPr>
        <w:rPr>
          <w:rFonts w:hint="eastAsia"/>
        </w:rPr>
      </w:pPr>
      <w:r>
        <w:rPr>
          <w:rFonts w:hint="eastAsia"/>
        </w:rPr>
        <w:t>4. Rs versus EF (figure titled Rs vs EF). Resistance peaks near neutrality. The gapped models have narrower normalised peaks than the cone. Each curve is divided by its own maximum, so equal plotted peak heights do not mean equal absolute resistance.</w:t>
      </w:r>
    </w:p>
    <w:p w14:paraId="72FD5B3E">
      <w:pPr>
        <w:rPr>
          <w:rFonts w:hint="eastAsia"/>
        </w:rPr>
      </w:pPr>
    </w:p>
    <w:p w14:paraId="1073A979">
      <w:pPr>
        <w:rPr>
          <w:rFonts w:hint="eastAsia"/>
        </w:rPr>
      </w:pPr>
      <w:r>
        <w:rPr>
          <w:rFonts w:hint="eastAsia"/>
        </w:rPr>
        <w:t>5. Fermi-level trajectory. The fitted EF increases from −0.077945 to 0.135739 eV and crosses zero between indices 24 and 25. Shading shows the pointwise 16th–84th percentile interval from 200 resamples</w:t>
      </w:r>
      <w:bookmarkStart w:id="0" w:name="_GoBack"/>
      <w:bookmarkEnd w:id="0"/>
      <w:r>
        <w:rPr>
          <w:rFonts w:hint="eastAsia"/>
        </w:rPr>
        <w:t>.</w:t>
      </w:r>
    </w:p>
    <w:p w14:paraId="6984AAF6">
      <w:pPr>
        <w:rPr>
          <w:rFonts w:hint="eastAsia"/>
        </w:rPr>
      </w:pPr>
    </w:p>
    <w:p w14:paraId="583734F0">
      <w:pPr>
        <w:rPr>
          <w:rFonts w:hint="eastAsia"/>
        </w:rPr>
      </w:pPr>
      <w:r>
        <w:rPr>
          <w:rFonts w:hint="eastAsia"/>
        </w:rPr>
        <w:t>All resamples selected a hard gap. The gap's 16th–84th percentile interval is [3.25, 3.25] kBT; its half-width is recorded as 0 in `Eg_uncertainty_kT`. This reflects the finite search grid, not zero physical uncertainty. The inferred gap supports further investigation of switching applications, but does not alone establish a high on/off ratio.</w:t>
      </w:r>
    </w:p>
    <w:p w14:paraId="453DCA5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FA5086"/>
    <w:rsid w:val="FDFA50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2026-09-23T15:22:00Z</dcterms:created>
  <dc:creator>13</dc:creator>
  <cp:lastModifiedBy>13</cp:lastModifiedBy>
  <dcterms:modified xsi:type="dcterms:W3CDTF">2026-09-23T15:29:51Z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391968AE195AA348307EB36AEE33AB7E_41</vt:lpwstr>
  </property>
</Properties>
</file>