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9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40"/>
          <w:szCs w:val="40"/>
        </w:rPr>
      </w:pPr>
      <w:bookmarkStart w:id="4" w:name="_GoBack"/>
      <w:bookmarkStart w:id="0" w:name="_nyehlm9qtiym" w:colFirst="0" w:colLast="0"/>
      <w:bookmarkEnd w:id="0"/>
      <w:r>
        <w:rPr>
          <w:rFonts w:hint="default" w:ascii="Times New Roman" w:hAnsi="Times New Roman" w:cs="Times New Roman"/>
          <w:sz w:val="40"/>
          <w:szCs w:val="40"/>
          <w:rtl w:val="0"/>
        </w:rPr>
        <w:t>Project 2 Checkpoint: Writeup</w:t>
      </w:r>
    </w:p>
    <w:p w14:paraId="00000002">
      <w:pPr>
        <w:pStyle w:val="2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1" w:name="_v1qs2l8kzvva" w:colFirst="0" w:colLast="0"/>
      <w:bookmarkEnd w:id="1"/>
      <w:r>
        <w:rPr>
          <w:rFonts w:hint="default" w:ascii="Times New Roman" w:hAnsi="Times New Roman" w:cs="Times New Roman"/>
          <w:sz w:val="24"/>
          <w:szCs w:val="24"/>
          <w:rtl w:val="0"/>
        </w:rPr>
        <w:t>1. Propositions</w:t>
      </w:r>
    </w:p>
    <w:p w14:paraId="00000003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Trajectory (Decoupling vs. Crisis)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</w:t>
      </w:r>
    </w:p>
    <w:p w14:paraId="00000004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Side A (Progress)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Global economic growth is successfully decoupling from carbon emissions through long-term industrial efficiency gains.</w:t>
      </w:r>
    </w:p>
    <w:p w14:paraId="00000005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Side B (Crisis)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Global climate mitigation has stalled as absolute emissions continue to surge to dangerous historic highs.</w:t>
      </w:r>
    </w:p>
    <w:p w14:paraId="00000006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Accountability (Legacy Sectors vs. Large Nations)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</w:t>
      </w:r>
    </w:p>
    <w:p w14:paraId="00000007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Side A (Structural Shift)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Modern high-value economies are intrinsically low-carbon; residual emissions are confined to a few legacy infrastructure sectors.</w:t>
      </w:r>
    </w:p>
    <w:p w14:paraId="00000008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Side B (Sovereign Burden)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A small number of large nations dominate absolute emissions, offsetting all other countries' mitigation efforts.</w:t>
      </w:r>
    </w:p>
    <w:p w14:paraId="00000009">
      <w:pPr>
        <w:pStyle w:val="2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2" w:name="_rtqzanpsx3iz" w:colFirst="0" w:colLast="0"/>
      <w:bookmarkEnd w:id="2"/>
      <w:r>
        <w:rPr>
          <w:rFonts w:hint="default" w:ascii="Times New Roman" w:hAnsi="Times New Roman" w:cs="Times New Roman"/>
          <w:sz w:val="24"/>
          <w:szCs w:val="24"/>
          <w:rtl w:val="0"/>
        </w:rPr>
        <w:t>2. Personal Stance</w:t>
      </w:r>
    </w:p>
    <w:p w14:paraId="0000000A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Leaning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 xml:space="preserve">: </w:t>
      </w: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Side B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.</w:t>
      </w:r>
    </w:p>
    <w:p w14:paraId="0000000B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Rationale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Physical climate risk is governed strictly by the cumulative mass of atmospheric emissions rather than economic efficiency ratios.</w:t>
      </w:r>
    </w:p>
    <w:p w14:paraId="0000000C">
      <w:pPr>
        <w:pStyle w:val="2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0"/>
        <w:rPr>
          <w:rFonts w:hint="default" w:ascii="Times New Roman" w:hAnsi="Times New Roman" w:cs="Times New Roman"/>
          <w:sz w:val="24"/>
          <w:szCs w:val="24"/>
        </w:rPr>
      </w:pPr>
      <w:bookmarkStart w:id="3" w:name="_yyopnpsnsg45" w:colFirst="0" w:colLast="0"/>
      <w:bookmarkEnd w:id="3"/>
      <w:r>
        <w:rPr>
          <w:rFonts w:hint="default" w:ascii="Times New Roman" w:hAnsi="Times New Roman" w:cs="Times New Roman"/>
          <w:sz w:val="24"/>
          <w:szCs w:val="24"/>
          <w:rtl w:val="0"/>
        </w:rPr>
        <w:t>3. Deceptive &amp; Rhetorical Techniques Used</w:t>
      </w:r>
    </w:p>
    <w:p w14:paraId="0000000D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Plot 1 (Side A - Carbon Intensity)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</w:t>
      </w:r>
    </w:p>
    <w:p w14:paraId="0000000E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Selective Normalization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Plotted emissions per GDP unit instead of absolute emissions to show ~80% efficiency gains while concealing rising total emissions.</w:t>
      </w:r>
    </w:p>
    <w:p w14:paraId="0000000F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Extended Baseline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Used a 24-year timeframe (1995–2018) to create a smooth downward slope, masking short-term stagnation.</w:t>
      </w:r>
    </w:p>
    <w:p w14:paraId="00000010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Plot 2 (Side B - Absolute Emissions Surge)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</w:t>
      </w:r>
    </w:p>
    <w:p w14:paraId="00000011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Temporal Cherry-Picking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Isolated 2004–2018 to frame post-recession growth as a structural runaway crisis.</w:t>
      </w:r>
    </w:p>
    <w:p w14:paraId="00000012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Alarmist Headline Framing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Employed emotionally charged rhetoric ("Surging to Dangerous Highs") to induce crisis urgency without contextual baselines.</w:t>
      </w:r>
    </w:p>
    <w:p w14:paraId="00000013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Plot 3 (Side A - Sector Intensities)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</w:t>
      </w:r>
    </w:p>
    <w:p w14:paraId="00000014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Axis Compression via Outlier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Retained extreme outlier sectors (electricity/marine transport), compressing the X-axis and flattening carbon-heavy manufacturing and mining bars to appear near-zero.</w:t>
      </w:r>
    </w:p>
    <w:p w14:paraId="00000015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Plot 4 (Side B - National Tonnages)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</w:t>
      </w:r>
    </w:p>
    <w:p w14:paraId="00000016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rtl w:val="0"/>
        </w:rPr>
        <w:t>Omission of Per-Capita Scaling</w:t>
      </w:r>
      <w:r>
        <w:rPr>
          <w:rFonts w:hint="default" w:ascii="Times New Roman" w:hAnsi="Times New Roman" w:cs="Times New Roman"/>
          <w:sz w:val="21"/>
          <w:szCs w:val="21"/>
          <w:rtl w:val="0"/>
        </w:rPr>
        <w:t>: Visualized raw sovereign tonnages without population adjustment, singling out a handful of large nations while obscuring per-capita differences and historical cumulative emissions.</w:t>
      </w:r>
    </w:p>
    <w:bookmarkEnd w:id="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4CFC1F8-1960-4D09-8E03-D3E137842E3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548D4E2-528F-44A4-8873-5FC61B4BF07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5D942BE-4117-47C8-BC7C-4397CEDFFB8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EF6937F5-BB66-4489-A050-2601827EFA3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2814C3A-3766-463D-9C41-A61FCB967325}"/>
  </w:font>
  <w:font w:name="Inter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6" w:fontKey="{158FBF87-8E73-48E5-ABB5-9423EE1CEB69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8356ECF5-FFD0-4720-A545-EB1A82394B3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D090A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Inter" w:hAnsi="Inter" w:eastAsia="Inter" w:cs="Inter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12" w:lineRule="auto"/>
    </w:pPr>
    <w:rPr>
      <w:rFonts w:ascii="Inter" w:hAnsi="Inter" w:eastAsia="Inter" w:cs="Inter"/>
      <w:color w:val="334155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 w:line="288" w:lineRule="auto"/>
    </w:pPr>
    <w:rPr>
      <w:rFonts w:ascii="Inter" w:hAnsi="Inter" w:eastAsia="Inter" w:cs="Inter"/>
      <w:b/>
      <w:bCs/>
      <w:color w:val="1E293B"/>
      <w:sz w:val="28"/>
      <w:szCs w:val="2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 w:line="288" w:lineRule="auto"/>
    </w:pPr>
    <w:rPr>
      <w:rFonts w:ascii="Inter" w:hAnsi="Inter" w:eastAsia="Inter" w:cs="Inter"/>
      <w:b/>
      <w:bCs/>
      <w:color w:val="334155"/>
      <w:sz w:val="24"/>
      <w:szCs w:val="24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 w:line="300" w:lineRule="auto"/>
    </w:pPr>
    <w:rPr>
      <w:rFonts w:ascii="Inter" w:hAnsi="Inter" w:eastAsia="Inter" w:cs="Inter"/>
      <w:b/>
      <w:bCs/>
      <w:color w:val="475569"/>
      <w:sz w:val="22"/>
      <w:szCs w:val="22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 w:line="300" w:lineRule="auto"/>
    </w:pPr>
    <w:rPr>
      <w:rFonts w:ascii="Inter" w:hAnsi="Inter" w:eastAsia="Inter" w:cs="Inter"/>
      <w:color w:val="64748B"/>
      <w:sz w:val="22"/>
      <w:szCs w:val="22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 w:line="276" w:lineRule="auto"/>
    </w:pPr>
    <w:rPr>
      <w:rFonts w:ascii="Inter" w:hAnsi="Inter" w:eastAsia="Inter" w:cs="Inter"/>
      <w:b/>
      <w:bCs/>
      <w:color w:val="0F172A"/>
      <w:sz w:val="44"/>
      <w:szCs w:val="44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271</Words>
  <Characters>1747</Characters>
  <TotalTime>0</TotalTime>
  <ScaleCrop>false</ScaleCrop>
  <LinksUpToDate>false</LinksUpToDate>
  <CharactersWithSpaces>1992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2026-10-18T04:55:02Z</dcterms:created>
  <dc:creator>hewen</dc:creator>
  <cp:lastModifiedBy>LikeH❥</cp:lastModifiedBy>
  <dcterms:modified xsi:type="dcterms:W3CDTF">2026-10-18T04:55:33Z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eyJoZGlkIjoiODk4NjVjMDE2NjhlNWIzZDNmOWQ1NTBmNzExNzVlMzMiLCJ1c2VySWQiOiI0NjI0MTE3MzkifQ==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E91BEA0AB1E248239F2FAE8BA576362A_12</vt:lpwstr>
  </property>
</Properties>
</file>