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9"/>
      </w:pPr>
      <w:bookmarkStart w:id="0" w:name="_rfrqlqw18lkw" w:colFirst="0" w:colLast="0"/>
      <w:bookmarkEnd w:id="0"/>
      <w:r>
        <w:rPr>
          <w:rtl w:val="0"/>
        </w:rPr>
        <w:t>Project 2 Final Report: Persuasive Visualization</w:t>
      </w:r>
    </w:p>
    <w:p w14:paraId="00000002">
      <w:r>
        <w:rPr>
          <w:b/>
          <w:bCs/>
          <w:rtl w:val="0"/>
        </w:rPr>
        <w:t>Author</w:t>
      </w:r>
      <w:r>
        <w:rPr>
          <w:rtl w:val="0"/>
        </w:rPr>
        <w:t>: Wending He</w:t>
      </w:r>
      <w:r>
        <w:rPr>
          <w:rtl w:val="0"/>
        </w:rPr>
        <w:br w:type="textWrapping"/>
      </w:r>
      <w:r>
        <w:rPr>
          <w:b/>
          <w:bCs/>
          <w:rtl w:val="0"/>
        </w:rPr>
        <w:t>Dataset</w:t>
      </w:r>
      <w:r>
        <w:rPr>
          <w:rtl w:val="0"/>
        </w:rPr>
        <w:t>: IMF Macroeconomic Climate Indicators (CO₂ Emissions, Intensities, and Multipliers, 1995–2018)</w:t>
      </w:r>
      <w:r>
        <w:rPr>
          <w:rtl w:val="0"/>
        </w:rPr>
        <w:br w:type="textWrapping"/>
      </w:r>
      <w:r>
        <w:rPr>
          <w:b/>
          <w:bCs/>
          <w:rtl w:val="0"/>
        </w:rPr>
        <w:t>Overall Proposition</w:t>
      </w:r>
      <w:r>
        <w:rPr>
          <w:rtl w:val="0"/>
        </w:rPr>
        <w:t xml:space="preserve">: </w:t>
      </w:r>
      <w:r>
        <w:rPr>
          <w:i/>
          <w:iCs/>
          <w:rtl w:val="0"/>
        </w:rPr>
        <w:t>"Technological innovation and clean energy transitions are enabling modern economies to decouple economic growth from carbon emissions, rendering environmental collapse narratives obsolete."</w:t>
      </w:r>
    </w:p>
    <w:p w14:paraId="00000003">
      <w:pPr>
        <w:pStyle w:val="2"/>
      </w:pPr>
      <w:bookmarkStart w:id="1" w:name="_29728ywcpwg" w:colFirst="0" w:colLast="0"/>
      <w:bookmarkEnd w:id="1"/>
      <w:r>
        <w:rPr>
          <w:rtl w:val="0"/>
        </w:rPr>
        <w:t>1. Visualizations Overview</w:t>
      </w:r>
    </w:p>
    <w:p w14:paraId="00000004">
      <w:pPr>
        <w:numPr>
          <w:ilvl w:val="0"/>
          <w:numId w:val="1"/>
        </w:numPr>
        <w:ind w:left="720" w:hanging="360"/>
      </w:pPr>
      <w:r>
        <w:rPr>
          <w:b/>
          <w:bCs/>
          <w:rtl w:val="0"/>
        </w:rPr>
        <w:t>Visualization 1 (Side A: Pro-Decoupling / Progress)</w:t>
      </w:r>
      <w:r>
        <w:rPr>
          <w:rtl w:val="0"/>
        </w:rPr>
        <w:t>: Multi-country longitudinal time-series (1995–2018) tracking carbon intensity per unit of economic output (Metric tons of CO₂ per $1M USD output). Shows a steep ~80% structural drop across major economies, demonstrating that production is becoming rapidly cleaner.</w:t>
      </w:r>
    </w:p>
    <w:p w14:paraId="00000005">
      <w:pPr>
        <w:numPr>
          <w:ilvl w:val="0"/>
          <w:numId w:val="1"/>
        </w:numPr>
        <w:ind w:left="720" w:hanging="360"/>
      </w:pPr>
      <w:r>
        <w:rPr>
          <w:b/>
          <w:bCs/>
          <w:rtl w:val="0"/>
        </w:rPr>
        <w:t>Visualization 2 (Side B: Pro-Crisis / Mitigation Failure)</w:t>
      </w:r>
      <w:r>
        <w:rPr>
          <w:rtl w:val="0"/>
        </w:rPr>
        <w:t xml:space="preserve">: Multi-country longitudinal time-series (2004–2018) tracking gross physical atmospheric </w:t>
      </w:r>
      <w:bookmarkStart w:id="10" w:name="_GoBack"/>
      <w:bookmarkEnd w:id="10"/>
      <w:r>
        <w:rPr>
          <w:rtl w:val="0"/>
        </w:rPr>
        <w:t>emissions (Annual Million Metric Tons of CO₂). Highlights China's emissions doubling to &gt;9,400 Mt, arguing that absolute pollution continues to surge unchecked.</w:t>
      </w:r>
    </w:p>
    <w:p w14:paraId="00000006">
      <w:pPr>
        <w:pStyle w:val="2"/>
      </w:pPr>
      <w:bookmarkStart w:id="2" w:name="_xidp5bomvwhl" w:colFirst="0" w:colLast="0"/>
      <w:bookmarkEnd w:id="2"/>
      <w:r>
        <w:rPr>
          <w:rtl w:val="0"/>
        </w:rPr>
        <w:t>2. Design Decisions &amp; Rationales (-2 to +2 Scale)</w:t>
      </w:r>
    </w:p>
    <w:p w14:paraId="00000007">
      <w:pPr>
        <w:pStyle w:val="3"/>
      </w:pPr>
      <w:bookmarkStart w:id="3" w:name="_okbfnhvuaomi" w:colFirst="0" w:colLast="0"/>
      <w:bookmarkEnd w:id="3"/>
      <w:r>
        <w:rPr>
          <w:rtl w:val="0"/>
        </w:rPr>
        <w:t>Visualization 1 (Side A: Pro-Decoupling)</w:t>
      </w:r>
    </w:p>
    <w:tbl>
      <w:tblPr>
        <w:tblStyle w:val="13"/>
        <w:tblW w:w="5000" w:type="pct"/>
        <w:tblInd w:w="0" w:type="dxa"/>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Layout w:type="autofit"/>
        <w:tblCellMar>
          <w:top w:w="160" w:type="dxa"/>
          <w:left w:w="200" w:type="dxa"/>
          <w:bottom w:w="160" w:type="dxa"/>
          <w:right w:w="200" w:type="dxa"/>
        </w:tblCellMar>
      </w:tblPr>
      <w:tblGrid>
        <w:gridCol w:w="1286"/>
        <w:gridCol w:w="1730"/>
        <w:gridCol w:w="1390"/>
        <w:gridCol w:w="1184"/>
        <w:gridCol w:w="1830"/>
        <w:gridCol w:w="1940"/>
      </w:tblGrid>
      <w:tr w14:paraId="797AF0B8">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00" w:type="dxa"/>
            <w:bottom w:w="160" w:type="dxa"/>
            <w:right w:w="200" w:type="dxa"/>
          </w:tblCellMar>
        </w:tblPrEx>
        <w:trPr>
          <w:tblHeader/>
        </w:trPr>
        <w:tc>
          <w:tcPr>
            <w:tcW w:w="833" w:type="pct"/>
            <w:shd w:val="clear" w:color="auto" w:fill="FFFFFF"/>
            <w:vAlign w:val="top"/>
          </w:tcPr>
          <w:p w14:paraId="00000008">
            <w:r>
              <w:rPr>
                <w:rtl w:val="0"/>
              </w:rPr>
              <w:t>#</w:t>
            </w:r>
          </w:p>
        </w:tc>
        <w:tc>
          <w:tcPr>
            <w:tcW w:w="833" w:type="pct"/>
            <w:shd w:val="clear" w:color="auto" w:fill="FFFFFF"/>
            <w:vAlign w:val="top"/>
          </w:tcPr>
          <w:p w14:paraId="00000009">
            <w:r>
              <w:rPr>
                <w:rtl w:val="0"/>
              </w:rPr>
              <w:t>Design Decision</w:t>
            </w:r>
          </w:p>
        </w:tc>
        <w:tc>
          <w:tcPr>
            <w:tcW w:w="833" w:type="pct"/>
            <w:shd w:val="clear" w:color="auto" w:fill="FFFFFF"/>
            <w:vAlign w:val="top"/>
          </w:tcPr>
          <w:p w14:paraId="0000000A">
            <w:r>
              <w:rPr>
                <w:rtl w:val="0"/>
              </w:rPr>
              <w:t>Category</w:t>
            </w:r>
          </w:p>
        </w:tc>
        <w:tc>
          <w:tcPr>
            <w:tcW w:w="833" w:type="pct"/>
            <w:shd w:val="clear" w:color="auto" w:fill="FFFFFF"/>
            <w:vAlign w:val="top"/>
          </w:tcPr>
          <w:p w14:paraId="0000000B">
            <w:r>
              <w:rPr>
                <w:rtl w:val="0"/>
              </w:rPr>
              <w:t>Score (-2 to 2)</w:t>
            </w:r>
          </w:p>
        </w:tc>
        <w:tc>
          <w:tcPr>
            <w:tcW w:w="833" w:type="pct"/>
            <w:shd w:val="clear" w:color="auto" w:fill="FFFFFF"/>
            <w:vAlign w:val="top"/>
          </w:tcPr>
          <w:p w14:paraId="0000000C">
            <w:r>
              <w:rPr>
                <w:rtl w:val="0"/>
              </w:rPr>
              <w:t>Rationale &amp; Persuasive Effect</w:t>
            </w:r>
          </w:p>
        </w:tc>
        <w:tc>
          <w:tcPr>
            <w:tcW w:w="833" w:type="pct"/>
            <w:shd w:val="clear" w:color="auto" w:fill="FFFFFF"/>
            <w:vAlign w:val="top"/>
          </w:tcPr>
          <w:p w14:paraId="0000000D">
            <w:r>
              <w:rPr>
                <w:rtl w:val="0"/>
              </w:rPr>
              <w:t>Alternative Considered &amp; Rejected</w:t>
            </w:r>
          </w:p>
        </w:tc>
      </w:tr>
      <w:tr w14:paraId="23D8345D">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00" w:type="dxa"/>
            <w:bottom w:w="160" w:type="dxa"/>
            <w:right w:w="200" w:type="dxa"/>
          </w:tblCellMar>
        </w:tblPrEx>
        <w:tc>
          <w:tcPr>
            <w:tcW w:w="833" w:type="pct"/>
            <w:shd w:val="clear" w:color="auto" w:fill="FFFFFF"/>
            <w:vAlign w:val="top"/>
          </w:tcPr>
          <w:p w14:paraId="0000000E">
            <w:r>
              <w:rPr>
                <w:b/>
                <w:bCs/>
                <w:rtl w:val="0"/>
              </w:rPr>
              <w:t>1</w:t>
            </w:r>
          </w:p>
        </w:tc>
        <w:tc>
          <w:tcPr>
            <w:tcW w:w="833" w:type="pct"/>
            <w:shd w:val="clear" w:color="auto" w:fill="FFFFFF"/>
            <w:vAlign w:val="top"/>
          </w:tcPr>
          <w:p w14:paraId="0000000F">
            <w:r>
              <w:rPr>
                <w:b/>
                <w:bCs/>
                <w:rtl w:val="0"/>
              </w:rPr>
              <w:t>Metric: Intensity vs. Absolute Gross Mass</w:t>
            </w:r>
          </w:p>
        </w:tc>
        <w:tc>
          <w:tcPr>
            <w:tcW w:w="833" w:type="pct"/>
            <w:shd w:val="clear" w:color="auto" w:fill="FFFFFF"/>
            <w:vAlign w:val="top"/>
          </w:tcPr>
          <w:p w14:paraId="00000010">
            <w:sdt>
              <w:sdtPr>
                <w:alias w:val="Category"/>
                <w:id w:val="-954680084"/>
                <w:dropDownList>
                  <w:listItem w:displayText="Data Transform" w:value="Data Transform"/>
                  <w:listItem w:displayText="Visual / Text" w:value="Visual / Text"/>
                  <w:listItem w:displayText="Visual Encoding" w:value="Visual Encoding"/>
                </w:dropDownList>
              </w:sdtPr>
              <w:sdtContent>
                <w:r>
                  <w:rPr>
                    <w:shd w:val="clear" w:fill="auto"/>
                  </w:rPr>
                  <w:t>Data Transform</w:t>
                </w:r>
              </w:sdtContent>
            </w:sdt>
          </w:p>
        </w:tc>
        <w:tc>
          <w:tcPr>
            <w:tcW w:w="833" w:type="pct"/>
            <w:shd w:val="clear" w:color="auto" w:fill="FFFFFF"/>
            <w:vAlign w:val="top"/>
          </w:tcPr>
          <w:p w14:paraId="00000011">
            <w:r>
              <w:rPr>
                <w:b/>
                <w:bCs/>
                <w:rtl w:val="0"/>
              </w:rPr>
              <w:t>-1.0</w:t>
            </w:r>
          </w:p>
        </w:tc>
        <w:tc>
          <w:tcPr>
            <w:tcW w:w="833" w:type="pct"/>
            <w:shd w:val="clear" w:color="auto" w:fill="FFFFFF"/>
            <w:vAlign w:val="top"/>
          </w:tcPr>
          <w:p w14:paraId="00000012">
            <w:r>
              <w:rPr>
                <w:rtl w:val="0"/>
              </w:rPr>
              <w:t>Visualized emissions intensity (CO₂ per $1M GDP) rather than raw physical tonnage. This isolates efficiency gains to show an ~80% decline (China dropping from ~60K to ~12K) while concealing that total atmospheric emissions rose.</w:t>
            </w:r>
          </w:p>
        </w:tc>
        <w:tc>
          <w:tcPr>
            <w:tcW w:w="833" w:type="pct"/>
            <w:shd w:val="clear" w:color="auto" w:fill="FFFFFF"/>
            <w:vAlign w:val="top"/>
          </w:tcPr>
          <w:p w14:paraId="00000013">
            <w:r>
              <w:rPr>
                <w:i/>
                <w:iCs/>
                <w:rtl w:val="0"/>
              </w:rPr>
              <w:t>Gross Emissions</w:t>
            </w:r>
            <w:r>
              <w:rPr>
                <w:rtl w:val="0"/>
              </w:rPr>
              <w:t>: Rejected because upward absolute trajectories contradict the decoupling thesis.</w:t>
            </w:r>
          </w:p>
        </w:tc>
      </w:tr>
      <w:tr w14:paraId="38728A44">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00" w:type="dxa"/>
            <w:bottom w:w="160" w:type="dxa"/>
            <w:right w:w="200" w:type="dxa"/>
          </w:tblCellMar>
        </w:tblPrEx>
        <w:tc>
          <w:tcPr>
            <w:tcW w:w="833" w:type="pct"/>
            <w:shd w:val="clear" w:color="auto" w:fill="FFFFFF"/>
            <w:vAlign w:val="top"/>
          </w:tcPr>
          <w:p w14:paraId="00000014">
            <w:r>
              <w:rPr>
                <w:b/>
                <w:bCs/>
                <w:rtl w:val="0"/>
              </w:rPr>
              <w:t>2</w:t>
            </w:r>
          </w:p>
        </w:tc>
        <w:tc>
          <w:tcPr>
            <w:tcW w:w="833" w:type="pct"/>
            <w:shd w:val="clear" w:color="auto" w:fill="FFFFFF"/>
            <w:vAlign w:val="top"/>
          </w:tcPr>
          <w:p w14:paraId="00000015">
            <w:r>
              <w:rPr>
                <w:b/>
                <w:bCs/>
                <w:rtl w:val="0"/>
              </w:rPr>
              <w:t>Full 24-Year Timeline (1995–2018)</w:t>
            </w:r>
          </w:p>
        </w:tc>
        <w:tc>
          <w:tcPr>
            <w:tcW w:w="833" w:type="pct"/>
            <w:shd w:val="clear" w:color="auto" w:fill="FFFFFF"/>
            <w:vAlign w:val="top"/>
          </w:tcPr>
          <w:p w14:paraId="00000016">
            <w:sdt>
              <w:sdtPr>
                <w:alias w:val="Category"/>
                <w:id w:val="-1201712644"/>
                <w:dropDownList>
                  <w:listItem w:displayText="Data Transform" w:value="Data Transform"/>
                  <w:listItem w:displayText="Visual / Text" w:value="Visual / Text"/>
                  <w:listItem w:displayText="Visual Encoding" w:value="Visual Encoding"/>
                </w:dropDownList>
              </w:sdtPr>
              <w:sdtContent>
                <w:r>
                  <w:rPr>
                    <w:shd w:val="clear" w:fill="auto"/>
                  </w:rPr>
                  <w:t>Data Transform</w:t>
                </w:r>
              </w:sdtContent>
            </w:sdt>
          </w:p>
        </w:tc>
        <w:tc>
          <w:tcPr>
            <w:tcW w:w="833" w:type="pct"/>
            <w:shd w:val="clear" w:color="auto" w:fill="FFFFFF"/>
            <w:vAlign w:val="top"/>
          </w:tcPr>
          <w:p w14:paraId="00000017">
            <w:r>
              <w:rPr>
                <w:b/>
                <w:bCs/>
                <w:rtl w:val="0"/>
              </w:rPr>
              <w:t>+1.5</w:t>
            </w:r>
          </w:p>
        </w:tc>
        <w:tc>
          <w:tcPr>
            <w:tcW w:w="833" w:type="pct"/>
            <w:shd w:val="clear" w:color="auto" w:fill="FFFFFF"/>
            <w:vAlign w:val="top"/>
          </w:tcPr>
          <w:p w14:paraId="00000018">
            <w:r>
              <w:rPr>
                <w:rtl w:val="0"/>
              </w:rPr>
              <w:t>Used the complete longitudinal dataset. This shows genuine, sustained efficiency improvements across multiple business cycles rather than short-term anomalies.</w:t>
            </w:r>
          </w:p>
        </w:tc>
        <w:tc>
          <w:tcPr>
            <w:tcW w:w="833" w:type="pct"/>
            <w:shd w:val="clear" w:color="auto" w:fill="FFFFFF"/>
            <w:vAlign w:val="top"/>
          </w:tcPr>
          <w:p w14:paraId="00000019">
            <w:r>
              <w:rPr>
                <w:i/>
                <w:iCs/>
                <w:rtl w:val="0"/>
              </w:rPr>
              <w:t>Selective 5-Year Window</w:t>
            </w:r>
            <w:r>
              <w:rPr>
                <w:rtl w:val="0"/>
              </w:rPr>
              <w:t>: Rejected because narrow windows look cherry-picked and diminish authority.</w:t>
            </w:r>
          </w:p>
        </w:tc>
      </w:tr>
      <w:tr w14:paraId="7A331A8A">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00" w:type="dxa"/>
            <w:bottom w:w="160" w:type="dxa"/>
            <w:right w:w="200" w:type="dxa"/>
          </w:tblCellMar>
        </w:tblPrEx>
        <w:tc>
          <w:tcPr>
            <w:tcW w:w="833" w:type="pct"/>
            <w:shd w:val="clear" w:color="auto" w:fill="FFFFFF"/>
            <w:vAlign w:val="top"/>
          </w:tcPr>
          <w:p w14:paraId="0000001A">
            <w:r>
              <w:rPr>
                <w:b/>
                <w:bCs/>
                <w:rtl w:val="0"/>
              </w:rPr>
              <w:t>3</w:t>
            </w:r>
          </w:p>
        </w:tc>
        <w:tc>
          <w:tcPr>
            <w:tcW w:w="833" w:type="pct"/>
            <w:shd w:val="clear" w:color="auto" w:fill="FFFFFF"/>
            <w:vAlign w:val="top"/>
          </w:tcPr>
          <w:p w14:paraId="0000001B">
            <w:r>
              <w:rPr>
                <w:b/>
                <w:bCs/>
                <w:rtl w:val="0"/>
              </w:rPr>
              <w:t>Zero-Anchored Vertical Axis</w:t>
            </w:r>
          </w:p>
        </w:tc>
        <w:tc>
          <w:tcPr>
            <w:tcW w:w="833" w:type="pct"/>
            <w:shd w:val="clear" w:color="auto" w:fill="FFFFFF"/>
            <w:vAlign w:val="top"/>
          </w:tcPr>
          <w:p w14:paraId="0000001C">
            <w:sdt>
              <w:sdtPr>
                <w:alias w:val="Category"/>
                <w:id w:val="1428587653"/>
                <w:dropDownList>
                  <w:listItem w:displayText="Data Transform" w:value="Data Transform"/>
                  <w:listItem w:displayText="Visual / Text" w:value="Visual / Text"/>
                  <w:listItem w:displayText="Visual Encoding" w:value="Visual Encoding"/>
                </w:dropDownList>
              </w:sdtPr>
              <w:sdtContent>
                <w:r>
                  <w:rPr>
                    <w:shd w:val="clear" w:fill="auto"/>
                  </w:rPr>
                  <w:t>Visual Encoding</w:t>
                </w:r>
              </w:sdtContent>
            </w:sdt>
          </w:p>
        </w:tc>
        <w:tc>
          <w:tcPr>
            <w:tcW w:w="833" w:type="pct"/>
            <w:shd w:val="clear" w:color="auto" w:fill="FFFFFF"/>
            <w:vAlign w:val="top"/>
          </w:tcPr>
          <w:p w14:paraId="0000001D">
            <w:r>
              <w:rPr>
                <w:b/>
                <w:bCs/>
                <w:rtl w:val="0"/>
              </w:rPr>
              <w:t>+2.0</w:t>
            </w:r>
          </w:p>
        </w:tc>
        <w:tc>
          <w:tcPr>
            <w:tcW w:w="833" w:type="pct"/>
            <w:shd w:val="clear" w:color="auto" w:fill="FFFFFF"/>
            <w:vAlign w:val="top"/>
          </w:tcPr>
          <w:p w14:paraId="0000001E">
            <w:r>
              <w:rPr>
                <w:rtl w:val="0"/>
              </w:rPr>
              <w:t>Kept the Y-axis starting strictly at 0 (0–65K). This follows standard visual ethics, keeping percentage declines geometrically proportional and defensible against bias claims.</w:t>
            </w:r>
          </w:p>
        </w:tc>
        <w:tc>
          <w:tcPr>
            <w:tcW w:w="833" w:type="pct"/>
            <w:shd w:val="clear" w:color="auto" w:fill="FFFFFF"/>
            <w:vAlign w:val="top"/>
          </w:tcPr>
          <w:p w14:paraId="0000001F">
            <w:r>
              <w:rPr>
                <w:i/>
                <w:iCs/>
                <w:rtl w:val="0"/>
              </w:rPr>
              <w:t>Truncated Axis</w:t>
            </w:r>
            <w:r>
              <w:rPr>
                <w:rtl w:val="0"/>
              </w:rPr>
              <w:t>: Rejected because clipping the baseline damages credibility with technical reviewers.</w:t>
            </w:r>
          </w:p>
        </w:tc>
      </w:tr>
      <w:tr w14:paraId="5BB1E641">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00" w:type="dxa"/>
            <w:bottom w:w="160" w:type="dxa"/>
            <w:right w:w="200" w:type="dxa"/>
          </w:tblCellMar>
        </w:tblPrEx>
        <w:tc>
          <w:tcPr>
            <w:tcW w:w="833" w:type="pct"/>
            <w:shd w:val="clear" w:color="auto" w:fill="FFFFFF"/>
            <w:vAlign w:val="top"/>
          </w:tcPr>
          <w:p w14:paraId="00000020">
            <w:r>
              <w:rPr>
                <w:b/>
                <w:bCs/>
                <w:rtl w:val="0"/>
              </w:rPr>
              <w:t>4</w:t>
            </w:r>
          </w:p>
        </w:tc>
        <w:tc>
          <w:tcPr>
            <w:tcW w:w="833" w:type="pct"/>
            <w:shd w:val="clear" w:color="auto" w:fill="FFFFFF"/>
            <w:vAlign w:val="top"/>
          </w:tcPr>
          <w:p w14:paraId="00000021">
            <w:r>
              <w:rPr>
                <w:b/>
                <w:bCs/>
                <w:rtl w:val="0"/>
              </w:rPr>
              <w:t>Focal Callout &amp; Distinct Palette</w:t>
            </w:r>
          </w:p>
        </w:tc>
        <w:tc>
          <w:tcPr>
            <w:tcW w:w="833" w:type="pct"/>
            <w:shd w:val="clear" w:color="auto" w:fill="FFFFFF"/>
            <w:vAlign w:val="top"/>
          </w:tcPr>
          <w:p w14:paraId="00000022">
            <w:sdt>
              <w:sdtPr>
                <w:alias w:val="Category"/>
                <w:id w:val="-109504671"/>
                <w:dropDownList>
                  <w:listItem w:displayText="Data Transform" w:value="Data Transform"/>
                  <w:listItem w:displayText="Visual / Text" w:value="Visual / Text"/>
                  <w:listItem w:displayText="Visual Encoding" w:value="Visual Encoding"/>
                </w:dropDownList>
              </w:sdtPr>
              <w:sdtContent>
                <w:r>
                  <w:rPr>
                    <w:shd w:val="clear" w:fill="auto"/>
                  </w:rPr>
                  <w:t>Visual / Text</w:t>
                </w:r>
              </w:sdtContent>
            </w:sdt>
          </w:p>
        </w:tc>
        <w:tc>
          <w:tcPr>
            <w:tcW w:w="833" w:type="pct"/>
            <w:shd w:val="clear" w:color="auto" w:fill="FFFFFF"/>
            <w:vAlign w:val="top"/>
          </w:tcPr>
          <w:p w14:paraId="00000023">
            <w:r>
              <w:rPr>
                <w:b/>
                <w:bCs/>
                <w:rtl w:val="0"/>
              </w:rPr>
              <w:t>+1.0</w:t>
            </w:r>
          </w:p>
        </w:tc>
        <w:tc>
          <w:tcPr>
            <w:tcW w:w="833" w:type="pct"/>
            <w:shd w:val="clear" w:color="auto" w:fill="FFFFFF"/>
            <w:vAlign w:val="top"/>
          </w:tcPr>
          <w:p w14:paraId="00000024">
            <w:r>
              <w:rPr>
                <w:rtl w:val="0"/>
              </w:rPr>
              <w:t>Annotated China's endpoint ("~80% Efficiency Improvement") and used distinct hues. This reduces cognitive load and directs immediate focus to the primary efficiency trend.</w:t>
            </w:r>
          </w:p>
        </w:tc>
        <w:tc>
          <w:tcPr>
            <w:tcW w:w="833" w:type="pct"/>
            <w:shd w:val="clear" w:color="auto" w:fill="FFFFFF"/>
            <w:vAlign w:val="top"/>
          </w:tcPr>
          <w:p w14:paraId="00000025">
            <w:r>
              <w:rPr>
                <w:i/>
                <w:iCs/>
                <w:rtl w:val="0"/>
              </w:rPr>
              <w:t>Unlabeled Lines</w:t>
            </w:r>
            <w:r>
              <w:rPr>
                <w:rtl w:val="0"/>
              </w:rPr>
              <w:t>: Rejected because forcing readers to consult legends slows comprehension.</w:t>
            </w:r>
          </w:p>
        </w:tc>
      </w:tr>
    </w:tbl>
    <w:p w14:paraId="00000026">
      <w:pPr>
        <w:pStyle w:val="3"/>
      </w:pPr>
      <w:bookmarkStart w:id="4" w:name="_dipx78befz7" w:colFirst="0" w:colLast="0"/>
      <w:bookmarkEnd w:id="4"/>
      <w:r>
        <w:rPr>
          <w:rtl w:val="0"/>
        </w:rPr>
        <w:t>Visualization 2 (Side B: Pro-Crisis)</w:t>
      </w:r>
    </w:p>
    <w:tbl>
      <w:tblPr>
        <w:tblStyle w:val="14"/>
        <w:tblW w:w="5000" w:type="pct"/>
        <w:tblInd w:w="0" w:type="dxa"/>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Layout w:type="autofit"/>
        <w:tblCellMar>
          <w:top w:w="160" w:type="dxa"/>
          <w:left w:w="200" w:type="dxa"/>
          <w:bottom w:w="160" w:type="dxa"/>
          <w:right w:w="200" w:type="dxa"/>
        </w:tblCellMar>
      </w:tblPr>
      <w:tblGrid>
        <w:gridCol w:w="1249"/>
        <w:gridCol w:w="1731"/>
        <w:gridCol w:w="1390"/>
        <w:gridCol w:w="1110"/>
        <w:gridCol w:w="1940"/>
        <w:gridCol w:w="1940"/>
      </w:tblGrid>
      <w:tr w14:paraId="44B8E224">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00" w:type="dxa"/>
            <w:bottom w:w="160" w:type="dxa"/>
            <w:right w:w="200" w:type="dxa"/>
          </w:tblCellMar>
        </w:tblPrEx>
        <w:trPr>
          <w:tblHeader/>
        </w:trPr>
        <w:tc>
          <w:tcPr>
            <w:tcW w:w="833" w:type="pct"/>
            <w:shd w:val="clear" w:color="auto" w:fill="FFFFFF"/>
            <w:vAlign w:val="top"/>
          </w:tcPr>
          <w:p w14:paraId="00000027">
            <w:r>
              <w:rPr>
                <w:rtl w:val="0"/>
              </w:rPr>
              <w:t>#</w:t>
            </w:r>
          </w:p>
        </w:tc>
        <w:tc>
          <w:tcPr>
            <w:tcW w:w="833" w:type="pct"/>
            <w:shd w:val="clear" w:color="auto" w:fill="FFFFFF"/>
            <w:vAlign w:val="top"/>
          </w:tcPr>
          <w:p w14:paraId="00000028">
            <w:r>
              <w:rPr>
                <w:rtl w:val="0"/>
              </w:rPr>
              <w:t>Design Decision</w:t>
            </w:r>
          </w:p>
        </w:tc>
        <w:tc>
          <w:tcPr>
            <w:tcW w:w="833" w:type="pct"/>
            <w:shd w:val="clear" w:color="auto" w:fill="FFFFFF"/>
            <w:vAlign w:val="top"/>
          </w:tcPr>
          <w:p w14:paraId="00000029">
            <w:r>
              <w:rPr>
                <w:rtl w:val="0"/>
              </w:rPr>
              <w:t>Category</w:t>
            </w:r>
          </w:p>
        </w:tc>
        <w:tc>
          <w:tcPr>
            <w:tcW w:w="833" w:type="pct"/>
            <w:shd w:val="clear" w:color="auto" w:fill="FFFFFF"/>
            <w:vAlign w:val="top"/>
          </w:tcPr>
          <w:p w14:paraId="0000002A">
            <w:r>
              <w:rPr>
                <w:rtl w:val="0"/>
              </w:rPr>
              <w:t>Score (-2 to 2)</w:t>
            </w:r>
          </w:p>
        </w:tc>
        <w:tc>
          <w:tcPr>
            <w:tcW w:w="833" w:type="pct"/>
            <w:shd w:val="clear" w:color="auto" w:fill="FFFFFF"/>
            <w:vAlign w:val="top"/>
          </w:tcPr>
          <w:p w14:paraId="0000002B">
            <w:r>
              <w:rPr>
                <w:rtl w:val="0"/>
              </w:rPr>
              <w:t>Rationale &amp; Persuasive Effect</w:t>
            </w:r>
          </w:p>
        </w:tc>
        <w:tc>
          <w:tcPr>
            <w:tcW w:w="833" w:type="pct"/>
            <w:shd w:val="clear" w:color="auto" w:fill="FFFFFF"/>
            <w:vAlign w:val="top"/>
          </w:tcPr>
          <w:p w14:paraId="0000002C">
            <w:r>
              <w:rPr>
                <w:rtl w:val="0"/>
              </w:rPr>
              <w:t>Alternative Considered &amp; Rejected</w:t>
            </w:r>
          </w:p>
        </w:tc>
      </w:tr>
      <w:tr w14:paraId="0CABFD2E">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00" w:type="dxa"/>
            <w:bottom w:w="160" w:type="dxa"/>
            <w:right w:w="200" w:type="dxa"/>
          </w:tblCellMar>
        </w:tblPrEx>
        <w:tc>
          <w:tcPr>
            <w:tcW w:w="833" w:type="pct"/>
            <w:shd w:val="clear" w:color="auto" w:fill="FFFFFF"/>
            <w:vAlign w:val="top"/>
          </w:tcPr>
          <w:p w14:paraId="0000002D">
            <w:r>
              <w:rPr>
                <w:b/>
                <w:bCs/>
                <w:rtl w:val="0"/>
              </w:rPr>
              <w:t>1</w:t>
            </w:r>
          </w:p>
        </w:tc>
        <w:tc>
          <w:tcPr>
            <w:tcW w:w="833" w:type="pct"/>
            <w:shd w:val="clear" w:color="auto" w:fill="FFFFFF"/>
            <w:vAlign w:val="top"/>
          </w:tcPr>
          <w:p w14:paraId="0000002E">
            <w:r>
              <w:rPr>
                <w:b/>
                <w:bCs/>
                <w:rtl w:val="0"/>
              </w:rPr>
              <w:t>Metric: Raw Tonnage vs. Per-Capita</w:t>
            </w:r>
          </w:p>
        </w:tc>
        <w:tc>
          <w:tcPr>
            <w:tcW w:w="833" w:type="pct"/>
            <w:shd w:val="clear" w:color="auto" w:fill="FFFFFF"/>
            <w:vAlign w:val="top"/>
          </w:tcPr>
          <w:p w14:paraId="0000002F">
            <w:r>
              <w:rPr>
                <w:rtl w:val="0"/>
              </w:rPr>
              <w:t>Data Transform</w:t>
            </w:r>
          </w:p>
        </w:tc>
        <w:tc>
          <w:tcPr>
            <w:tcW w:w="833" w:type="pct"/>
            <w:shd w:val="clear" w:color="auto" w:fill="FFFFFF"/>
            <w:vAlign w:val="top"/>
          </w:tcPr>
          <w:p w14:paraId="00000030">
            <w:r>
              <w:rPr>
                <w:b/>
                <w:bCs/>
                <w:rtl w:val="0"/>
              </w:rPr>
              <w:t>-1.5</w:t>
            </w:r>
          </w:p>
        </w:tc>
        <w:tc>
          <w:tcPr>
            <w:tcW w:w="833" w:type="pct"/>
            <w:shd w:val="clear" w:color="auto" w:fill="FFFFFF"/>
            <w:vAlign w:val="top"/>
          </w:tcPr>
          <w:p w14:paraId="00000031">
            <w:r>
              <w:rPr>
                <w:rtl w:val="0"/>
              </w:rPr>
              <w:t>Plotted gross physical mass without adjusting for population size. This singles out large industrial nations (China &gt;9,400 Mt) while obscuring that their per-capita footprints remain well below Western levels.</w:t>
            </w:r>
          </w:p>
        </w:tc>
        <w:tc>
          <w:tcPr>
            <w:tcW w:w="833" w:type="pct"/>
            <w:shd w:val="clear" w:color="auto" w:fill="FFFFFF"/>
            <w:vAlign w:val="top"/>
          </w:tcPr>
          <w:p w14:paraId="00000032">
            <w:r>
              <w:rPr>
                <w:i/>
                <w:iCs/>
                <w:rtl w:val="0"/>
              </w:rPr>
              <w:t>Per-Capita Normalization</w:t>
            </w:r>
            <w:r>
              <w:rPr>
                <w:rtl w:val="0"/>
              </w:rPr>
              <w:t>: Rejected because dividing by 1.4B residents lowers China's curve below the US.</w:t>
            </w:r>
          </w:p>
        </w:tc>
      </w:tr>
      <w:tr w14:paraId="3D255928">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00" w:type="dxa"/>
            <w:bottom w:w="160" w:type="dxa"/>
            <w:right w:w="200" w:type="dxa"/>
          </w:tblCellMar>
        </w:tblPrEx>
        <w:tc>
          <w:tcPr>
            <w:tcW w:w="833" w:type="pct"/>
            <w:shd w:val="clear" w:color="auto" w:fill="FFFFFF"/>
            <w:vAlign w:val="top"/>
          </w:tcPr>
          <w:p w14:paraId="00000033">
            <w:r>
              <w:rPr>
                <w:b/>
                <w:bCs/>
                <w:rtl w:val="0"/>
              </w:rPr>
              <w:t>2</w:t>
            </w:r>
          </w:p>
        </w:tc>
        <w:tc>
          <w:tcPr>
            <w:tcW w:w="833" w:type="pct"/>
            <w:shd w:val="clear" w:color="auto" w:fill="FFFFFF"/>
            <w:vAlign w:val="top"/>
          </w:tcPr>
          <w:p w14:paraId="00000034">
            <w:r>
              <w:rPr>
                <w:b/>
                <w:bCs/>
                <w:rtl w:val="0"/>
              </w:rPr>
              <w:t>Temporal Cherry-Picking (2004–2018)</w:t>
            </w:r>
          </w:p>
        </w:tc>
        <w:tc>
          <w:tcPr>
            <w:tcW w:w="833" w:type="pct"/>
            <w:shd w:val="clear" w:color="auto" w:fill="FFFFFF"/>
            <w:vAlign w:val="top"/>
          </w:tcPr>
          <w:p w14:paraId="00000035">
            <w:r>
              <w:rPr>
                <w:rtl w:val="0"/>
              </w:rPr>
              <w:t>Data Filtering</w:t>
            </w:r>
          </w:p>
        </w:tc>
        <w:tc>
          <w:tcPr>
            <w:tcW w:w="833" w:type="pct"/>
            <w:shd w:val="clear" w:color="auto" w:fill="FFFFFF"/>
            <w:vAlign w:val="top"/>
          </w:tcPr>
          <w:p w14:paraId="00000036">
            <w:r>
              <w:rPr>
                <w:b/>
                <w:bCs/>
                <w:rtl w:val="0"/>
              </w:rPr>
              <w:t>-1.0</w:t>
            </w:r>
          </w:p>
        </w:tc>
        <w:tc>
          <w:tcPr>
            <w:tcW w:w="833" w:type="pct"/>
            <w:shd w:val="clear" w:color="auto" w:fill="FFFFFF"/>
            <w:vAlign w:val="top"/>
          </w:tcPr>
          <w:p w14:paraId="00000037">
            <w:r>
              <w:rPr>
                <w:rtl w:val="0"/>
              </w:rPr>
              <w:t>Truncated the start year to 2004, capturing the rapid post-2004 industrial surge while excluding the flatter 1995–2003 segment. This frames the trend as an urgent, runaway crisis.</w:t>
            </w:r>
          </w:p>
        </w:tc>
        <w:tc>
          <w:tcPr>
            <w:tcW w:w="833" w:type="pct"/>
            <w:shd w:val="clear" w:color="auto" w:fill="FFFFFF"/>
            <w:vAlign w:val="top"/>
          </w:tcPr>
          <w:p w14:paraId="00000038">
            <w:r>
              <w:rPr>
                <w:i/>
                <w:iCs/>
                <w:rtl w:val="0"/>
              </w:rPr>
              <w:t>Complete 1995–2018 Window</w:t>
            </w:r>
            <w:r>
              <w:rPr>
                <w:rtl w:val="0"/>
              </w:rPr>
              <w:t>: Rejected because earlier stable data dilutes the visual acceleration.</w:t>
            </w:r>
          </w:p>
        </w:tc>
      </w:tr>
      <w:tr w14:paraId="7F9E8441">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00" w:type="dxa"/>
            <w:bottom w:w="160" w:type="dxa"/>
            <w:right w:w="200" w:type="dxa"/>
          </w:tblCellMar>
        </w:tblPrEx>
        <w:tc>
          <w:tcPr>
            <w:tcW w:w="833" w:type="pct"/>
            <w:shd w:val="clear" w:color="auto" w:fill="FFFFFF"/>
            <w:vAlign w:val="top"/>
          </w:tcPr>
          <w:p w14:paraId="00000039">
            <w:r>
              <w:rPr>
                <w:b/>
                <w:bCs/>
                <w:rtl w:val="0"/>
              </w:rPr>
              <w:t>3</w:t>
            </w:r>
          </w:p>
        </w:tc>
        <w:tc>
          <w:tcPr>
            <w:tcW w:w="833" w:type="pct"/>
            <w:shd w:val="clear" w:color="auto" w:fill="FFFFFF"/>
            <w:vAlign w:val="top"/>
          </w:tcPr>
          <w:p w14:paraId="0000003A">
            <w:r>
              <w:rPr>
                <w:b/>
                <w:bCs/>
                <w:rtl w:val="0"/>
              </w:rPr>
              <w:t>Zero-Baseline Preservation for Contrast</w:t>
            </w:r>
          </w:p>
        </w:tc>
        <w:tc>
          <w:tcPr>
            <w:tcW w:w="833" w:type="pct"/>
            <w:shd w:val="clear" w:color="auto" w:fill="FFFFFF"/>
            <w:vAlign w:val="top"/>
          </w:tcPr>
          <w:p w14:paraId="0000003B">
            <w:r>
              <w:rPr>
                <w:rtl w:val="0"/>
              </w:rPr>
              <w:t>Visual Encoding</w:t>
            </w:r>
          </w:p>
        </w:tc>
        <w:tc>
          <w:tcPr>
            <w:tcW w:w="833" w:type="pct"/>
            <w:shd w:val="clear" w:color="auto" w:fill="FFFFFF"/>
            <w:vAlign w:val="top"/>
          </w:tcPr>
          <w:p w14:paraId="0000003C">
            <w:r>
              <w:rPr>
                <w:b/>
                <w:bCs/>
                <w:rtl w:val="0"/>
              </w:rPr>
              <w:t>+1.5</w:t>
            </w:r>
          </w:p>
        </w:tc>
        <w:tc>
          <w:tcPr>
            <w:tcW w:w="833" w:type="pct"/>
            <w:shd w:val="clear" w:color="auto" w:fill="FFFFFF"/>
            <w:vAlign w:val="top"/>
          </w:tcPr>
          <w:p w14:paraId="0000003D">
            <w:r>
              <w:rPr>
                <w:rtl w:val="0"/>
              </w:rPr>
              <w:t>Retained the full vertical scale starting at 0 (0–9,500 Mt). This preserves geometric honesty while emphasizing the vast, visual chasm between the top emitter and other nations (&lt;2,000 Mt).</w:t>
            </w:r>
          </w:p>
        </w:tc>
        <w:tc>
          <w:tcPr>
            <w:tcW w:w="833" w:type="pct"/>
            <w:shd w:val="clear" w:color="auto" w:fill="FFFFFF"/>
            <w:vAlign w:val="top"/>
          </w:tcPr>
          <w:p w14:paraId="0000003E">
            <w:r>
              <w:rPr>
                <w:i/>
                <w:iCs/>
                <w:rtl w:val="0"/>
              </w:rPr>
              <w:t>Cropped Baseline (e.g., at 2,000 Mt)</w:t>
            </w:r>
            <w:r>
              <w:rPr>
                <w:rtl w:val="0"/>
              </w:rPr>
              <w:t>: Rejected because cutting lines looks like obvious manipulation and risks backlash.</w:t>
            </w:r>
          </w:p>
        </w:tc>
      </w:tr>
      <w:tr w14:paraId="02AE1C29">
        <w:tblPrEx>
          <w:tblBorders>
            <w:top w:val="single" w:color="E2E8F0" w:sz="8" w:space="0"/>
            <w:left w:val="none" w:color="000000" w:sz="0" w:space="0"/>
            <w:bottom w:val="single" w:color="E2E8F0" w:sz="8" w:space="0"/>
            <w:right w:val="none" w:color="000000" w:sz="0" w:space="0"/>
            <w:insideH w:val="single" w:color="F1F5F9" w:sz="8" w:space="0"/>
            <w:insideV w:val="none" w:color="000000" w:sz="0" w:space="0"/>
          </w:tblBorders>
          <w:tblCellMar>
            <w:top w:w="160" w:type="dxa"/>
            <w:left w:w="200" w:type="dxa"/>
            <w:bottom w:w="160" w:type="dxa"/>
            <w:right w:w="200" w:type="dxa"/>
          </w:tblCellMar>
        </w:tblPrEx>
        <w:tc>
          <w:tcPr>
            <w:tcW w:w="833" w:type="pct"/>
            <w:shd w:val="clear" w:color="auto" w:fill="FFFFFF"/>
            <w:vAlign w:val="top"/>
          </w:tcPr>
          <w:p w14:paraId="0000003F">
            <w:r>
              <w:rPr>
                <w:b/>
                <w:bCs/>
                <w:rtl w:val="0"/>
              </w:rPr>
              <w:t>4</w:t>
            </w:r>
          </w:p>
        </w:tc>
        <w:tc>
          <w:tcPr>
            <w:tcW w:w="833" w:type="pct"/>
            <w:shd w:val="clear" w:color="auto" w:fill="FFFFFF"/>
            <w:vAlign w:val="top"/>
          </w:tcPr>
          <w:p w14:paraId="00000040">
            <w:r>
              <w:rPr>
                <w:b/>
                <w:bCs/>
                <w:rtl w:val="0"/>
              </w:rPr>
              <w:t>Subtle Directive Title &amp; Accent Color</w:t>
            </w:r>
          </w:p>
        </w:tc>
        <w:tc>
          <w:tcPr>
            <w:tcW w:w="833" w:type="pct"/>
            <w:shd w:val="clear" w:color="auto" w:fill="FFFFFF"/>
            <w:vAlign w:val="top"/>
          </w:tcPr>
          <w:p w14:paraId="00000041">
            <w:r>
              <w:rPr>
                <w:rtl w:val="0"/>
              </w:rPr>
              <w:t>Visual / Text</w:t>
            </w:r>
          </w:p>
        </w:tc>
        <w:tc>
          <w:tcPr>
            <w:tcW w:w="833" w:type="pct"/>
            <w:shd w:val="clear" w:color="auto" w:fill="FFFFFF"/>
            <w:vAlign w:val="top"/>
          </w:tcPr>
          <w:p w14:paraId="00000042">
            <w:r>
              <w:rPr>
                <w:b/>
                <w:bCs/>
                <w:rtl w:val="0"/>
              </w:rPr>
              <w:t>-0.5</w:t>
            </w:r>
          </w:p>
        </w:tc>
        <w:tc>
          <w:tcPr>
            <w:tcW w:w="833" w:type="pct"/>
            <w:shd w:val="clear" w:color="auto" w:fill="FFFFFF"/>
            <w:vAlign w:val="top"/>
          </w:tcPr>
          <w:p w14:paraId="00000043">
            <w:r>
              <w:rPr>
                <w:rtl w:val="0"/>
              </w:rPr>
              <w:t>Used a measured yet slanted title (</w:t>
            </w:r>
            <w:r>
              <w:rPr>
                <w:i/>
                <w:iCs/>
                <w:rtl w:val="0"/>
              </w:rPr>
              <w:t>"Accelerating Trajectory: Absolute CO2 Emissions Across Leading Industrial Powers"</w:t>
            </w:r>
            <w:r>
              <w:rPr>
                <w:rtl w:val="0"/>
              </w:rPr>
              <w:t>) and highlighted China in high-contrast red-orange. This guides viewer interpretation toward crisis without using overtly sensational words.</w:t>
            </w:r>
          </w:p>
        </w:tc>
        <w:tc>
          <w:tcPr>
            <w:tcW w:w="833" w:type="pct"/>
            <w:shd w:val="clear" w:color="auto" w:fill="FFFFFF"/>
            <w:vAlign w:val="top"/>
          </w:tcPr>
          <w:p w14:paraId="00000044">
            <w:r>
              <w:rPr>
                <w:i/>
                <w:iCs/>
                <w:rtl w:val="0"/>
              </w:rPr>
              <w:t>Overt Alarmist Title</w:t>
            </w:r>
            <w:r>
              <w:rPr>
                <w:rtl w:val="0"/>
              </w:rPr>
              <w:t>: Rejected because explicit words like "Dangerous" are easily flagged as biased propaganda.</w:t>
            </w:r>
          </w:p>
        </w:tc>
      </w:tr>
    </w:tbl>
    <w:p w14:paraId="00000045">
      <w:pPr>
        <w:pStyle w:val="2"/>
      </w:pPr>
      <w:bookmarkStart w:id="5" w:name="_gi1kldm8af7g" w:colFirst="0" w:colLast="0"/>
      <w:bookmarkEnd w:id="5"/>
      <w:r>
        <w:rPr>
          <w:rtl w:val="0"/>
        </w:rPr>
        <w:t>3. Final Ethical Reflection</w:t>
      </w:r>
    </w:p>
    <w:p w14:paraId="00000046">
      <w:pPr>
        <w:pStyle w:val="3"/>
      </w:pPr>
      <w:bookmarkStart w:id="6" w:name="_nzls2sqmo09q" w:colFirst="0" w:colLast="0"/>
      <w:bookmarkEnd w:id="6"/>
      <w:r>
        <w:rPr>
          <w:rtl w:val="0"/>
        </w:rPr>
        <w:t>1. Straightforward vs. Difficult</w:t>
      </w:r>
    </w:p>
    <w:p w14:paraId="00000047">
      <w:r>
        <w:rPr>
          <w:rtl w:val="0"/>
        </w:rPr>
        <w:t>Crafting Side A was straightforward because normalizing emissions by GDP naturally produces steep downward slopes across major economies. The real challenge was Side B: executing subtle deception without resorting to amateurish tricks. Early ideas to truncate the Y-axis into a near-vertical cliff were discarded because experienced readers spot them instantly. The breakthrough was realizing that framing is more potent than visual distortion: keeping an honest zero baseline while cherry-picking the timeframe (2004–2018) and omitting per-capita scaling built a devastatingly persuasive crisis argument that remains geometrically clean.</w:t>
      </w:r>
    </w:p>
    <w:p w14:paraId="00000048">
      <w:pPr>
        <w:pStyle w:val="3"/>
      </w:pPr>
      <w:bookmarkStart w:id="7" w:name="_qdazjv1zixx" w:colFirst="0" w:colLast="0"/>
      <w:bookmarkEnd w:id="7"/>
      <w:r>
        <w:rPr>
          <w:rtl w:val="0"/>
        </w:rPr>
        <w:t>2. Surprises &amp; Insights</w:t>
      </w:r>
    </w:p>
    <w:p w14:paraId="00000049">
      <w:r>
        <w:rPr>
          <w:rtl w:val="0"/>
        </w:rPr>
        <w:t>The biggest surprise was realizing that two diametrically opposed, highly persuasive arguments can be constructed from the exact same dataset without fabricating a single data point. Both charts are mathematically accurate: industrial processes are radically cleaner per dollar of output (Side A), yet total atmospheric emissions are simultaneously at record highs (Side B). Deception in visualization rarely happens through broken axes or distorted scales; it happens at the semantic level—deciding which denominator to divide by and where to draw the time boundaries.</w:t>
      </w:r>
    </w:p>
    <w:p w14:paraId="0000004A">
      <w:pPr>
        <w:pStyle w:val="3"/>
      </w:pPr>
      <w:bookmarkStart w:id="8" w:name="_l46e487sqi6z" w:colFirst="0" w:colLast="0"/>
      <w:bookmarkEnd w:id="8"/>
      <w:r>
        <w:rPr>
          <w:rtl w:val="0"/>
        </w:rPr>
        <w:t>3. Defining Ethical Visualization</w:t>
      </w:r>
    </w:p>
    <w:p w14:paraId="0000004B">
      <w:r>
        <w:rPr>
          <w:rtl w:val="0"/>
        </w:rPr>
        <w:t>I define ethical visualization as epistemic transparency and contextual completeness. Data is never neutral once human curation begins. An ethical visualization must provide enough contextual baseline for the audience to build an accurate mental model of reality. If a visual choice exploits cognitive heuristics to imply a false conclusion (e.g., suggesting that economic efficiency means atmospheric recovery), it ceases to be earnest communication and becomes misleading propaganda.</w:t>
      </w:r>
    </w:p>
    <w:p w14:paraId="0000004C">
      <w:pPr>
        <w:pStyle w:val="3"/>
      </w:pPr>
      <w:bookmarkStart w:id="9" w:name="_cs0frorahz26" w:colFirst="0" w:colLast="0"/>
      <w:bookmarkEnd w:id="9"/>
      <w:r>
        <w:rPr>
          <w:rtl w:val="0"/>
        </w:rPr>
        <w:t>4. Acceptable Persuasion vs. Unethical Deception</w:t>
      </w:r>
    </w:p>
    <w:p w14:paraId="0000004D">
      <w:r>
        <w:rPr>
          <w:rtl w:val="0"/>
        </w:rPr>
        <w:t>The boundary lies in heuristic integrity and reversibility. Acceptable persuasion uses visual hierarchy, salient colors, and clear annotations to guide attention toward genuine, empirically supported insights without breaking graphical norms. Unethical deception deliberately breaks graphical conventions (e.g., truncated bar charts) or weaponizes selective metrics to hide contradictory context. If a visualization's core conclusion collapses the moment a standard baseline or normalization (such as population) is added, it is not persuasion—it is deception.</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F00020F5-06D5-400C-A6AE-71C87F1F8568}"/>
  </w:font>
  <w:font w:name="Arial">
    <w:panose1 w:val="020B0604020202020204"/>
    <w:charset w:val="01"/>
    <w:family w:val="swiss"/>
    <w:pitch w:val="default"/>
    <w:sig w:usb0="E0002EFF" w:usb1="C000785B" w:usb2="00000009" w:usb3="00000000" w:csb0="400001FF" w:csb1="FFFF0000"/>
    <w:embedRegular r:id="rId2" w:fontKey="{5D34A063-7539-4DF6-872D-07D6044AA57A}"/>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25C0AFA6-B8BF-416C-B3A5-9A17E8F84C62}"/>
  </w:font>
  <w:font w:name="Symbol">
    <w:panose1 w:val="05050102010706020507"/>
    <w:charset w:val="02"/>
    <w:family w:val="roman"/>
    <w:pitch w:val="default"/>
    <w:sig w:usb0="00000000" w:usb1="00000000" w:usb2="00000000" w:usb3="00000000" w:csb0="80000000" w:csb1="00000000"/>
    <w:embedRegular r:id="rId4" w:fontKey="{3C8F25FD-FD25-4C17-B203-783A73D4AF2B}"/>
  </w:font>
  <w:font w:name="Calibri">
    <w:panose1 w:val="020F0502020204030204"/>
    <w:charset w:val="00"/>
    <w:family w:val="swiss"/>
    <w:pitch w:val="default"/>
    <w:sig w:usb0="E4002EFF" w:usb1="C200247B" w:usb2="00000009" w:usb3="00000000" w:csb0="200001FF" w:csb1="00000000"/>
    <w:embedRegular r:id="rId5" w:fontKey="{57C20B28-7913-4606-8E49-BFA9BE6851B9}"/>
  </w:font>
  <w:font w:name="Inter">
    <w:altName w:val="宋体"/>
    <w:panose1 w:val="00000000000000000000"/>
    <w:charset w:val="86"/>
    <w:family w:val="auto"/>
    <w:pitch w:val="default"/>
    <w:sig w:usb0="00000000" w:usb1="00000000" w:usb2="00000000" w:usb3="00000000" w:csb0="00000000" w:csb1="00000000"/>
    <w:embedRegular r:id="rId6" w:fontKey="{97158FB3-DA80-4B82-8FB2-030C68CC0F52}"/>
  </w:font>
  <w:font w:name="Arial">
    <w:panose1 w:val="020B0604020202020204"/>
    <w:charset w:val="00"/>
    <w:family w:val="auto"/>
    <w:pitch w:val="default"/>
    <w:sig w:usb0="E0002EFF" w:usb1="C000785B" w:usb2="00000009" w:usb3="00000000" w:csb0="400001FF" w:csb1="FFFF0000"/>
    <w:embedRegular r:id="rId7" w:fontKey="{CF979C77-6589-4E08-9069-425526A92DA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35" w:lineRule="auto"/>
      </w:pPr>
      <w:r>
        <w:separator/>
      </w:r>
    </w:p>
  </w:footnote>
  <w:footnote w:type="continuationSeparator" w:id="1">
    <w:p>
      <w:pPr>
        <w:spacing w:line="33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footnotePr>
    <w:footnote w:id="0"/>
    <w:footnote w:id="1"/>
  </w:footnotePr>
  <w:endnotePr>
    <w:endnote w:id="0"/>
    <w:endnote w:id="1"/>
  </w:endnotePr>
  <w:compat>
    <w:useFELayout/>
    <w:compatSetting w:name="compatibilityMode" w:uri="http://schemas.microsoft.com/office/word" w:val="15"/>
  </w:compat>
  <w:rsids>
    <w:rsidRoot w:val="00000000"/>
    <w:rsid w:val="702145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Inter" w:hAnsi="Inter" w:eastAsia="Inter" w:cs="Inter"/>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35" w:lineRule="auto"/>
    </w:pPr>
    <w:rPr>
      <w:rFonts w:ascii="Inter" w:hAnsi="Inter" w:eastAsia="Inter" w:cs="Inter"/>
      <w:color w:val="334155"/>
      <w:sz w:val="22"/>
      <w:szCs w:val="22"/>
      <w:lang w:val="en"/>
    </w:rPr>
  </w:style>
  <w:style w:type="paragraph" w:styleId="2">
    <w:name w:val="heading 1"/>
    <w:basedOn w:val="1"/>
    <w:next w:val="1"/>
    <w:qFormat/>
    <w:uiPriority w:val="0"/>
    <w:pPr>
      <w:keepNext/>
      <w:keepLines/>
      <w:pageBreakBefore w:val="0"/>
      <w:spacing w:before="480" w:after="120" w:line="300" w:lineRule="auto"/>
    </w:pPr>
    <w:rPr>
      <w:rFonts w:ascii="Inter" w:hAnsi="Inter" w:eastAsia="Inter" w:cs="Inter"/>
      <w:b/>
      <w:bCs/>
      <w:color w:val="0F172A"/>
      <w:sz w:val="30"/>
      <w:szCs w:val="30"/>
    </w:rPr>
  </w:style>
  <w:style w:type="paragraph" w:styleId="3">
    <w:name w:val="heading 2"/>
    <w:basedOn w:val="1"/>
    <w:next w:val="1"/>
    <w:qFormat/>
    <w:uiPriority w:val="0"/>
    <w:pPr>
      <w:keepNext/>
      <w:keepLines/>
      <w:pageBreakBefore w:val="0"/>
      <w:spacing w:before="360" w:after="80" w:line="300" w:lineRule="auto"/>
    </w:pPr>
    <w:rPr>
      <w:rFonts w:ascii="Inter" w:hAnsi="Inter" w:eastAsia="Inter" w:cs="Inter"/>
      <w:b/>
      <w:bCs/>
      <w:color w:val="1E293B"/>
      <w:sz w:val="26"/>
      <w:szCs w:val="26"/>
    </w:rPr>
  </w:style>
  <w:style w:type="paragraph" w:styleId="4">
    <w:name w:val="heading 3"/>
    <w:basedOn w:val="1"/>
    <w:next w:val="1"/>
    <w:qFormat/>
    <w:uiPriority w:val="0"/>
    <w:pPr>
      <w:keepNext/>
      <w:keepLines/>
      <w:pageBreakBefore w:val="0"/>
      <w:spacing w:before="280" w:after="80" w:line="300" w:lineRule="auto"/>
    </w:pPr>
    <w:rPr>
      <w:rFonts w:ascii="Inter" w:hAnsi="Inter" w:eastAsia="Inter" w:cs="Inter"/>
      <w:b/>
      <w:bCs/>
      <w:color w:val="334155"/>
      <w:sz w:val="23"/>
      <w:szCs w:val="23"/>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360" w:after="80" w:line="324" w:lineRule="auto"/>
    </w:pPr>
    <w:rPr>
      <w:rFonts w:ascii="Inter" w:hAnsi="Inter" w:eastAsia="Inter" w:cs="Inter"/>
      <w:color w:val="64748B"/>
      <w:sz w:val="22"/>
      <w:szCs w:val="22"/>
    </w:rPr>
  </w:style>
  <w:style w:type="paragraph" w:styleId="9">
    <w:name w:val="Title"/>
    <w:basedOn w:val="1"/>
    <w:next w:val="1"/>
    <w:qFormat/>
    <w:uiPriority w:val="0"/>
    <w:pPr>
      <w:keepNext/>
      <w:keepLines/>
      <w:pageBreakBefore w:val="0"/>
      <w:spacing w:before="480" w:after="120" w:line="276" w:lineRule="auto"/>
    </w:pPr>
    <w:rPr>
      <w:rFonts w:ascii="Inter" w:hAnsi="Inter" w:eastAsia="Inter" w:cs="Inter"/>
      <w:b/>
      <w:bCs/>
      <w:color w:val="0F172A"/>
      <w:sz w:val="44"/>
      <w:szCs w:val="44"/>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160" w:type="dxa"/>
        <w:left w:w="200" w:type="dxa"/>
        <w:bottom w:w="160" w:type="dxa"/>
        <w:right w:w="200" w:type="dxa"/>
      </w:tblCellMar>
    </w:tblPr>
    <w:tcPr>
      <w:shd w:val="clear" w:color="auto" w:fill="FFFFFF"/>
      <w:vAlign w:val="top"/>
    </w:tcPr>
    <w:tblStylePr w:type="firstRow">
      <w:rPr>
        <w:rFonts w:ascii="Inter" w:hAnsi="Inter" w:eastAsia="Inter" w:cs="Inter"/>
        <w:b/>
        <w:bCs/>
        <w:i w:val="0"/>
        <w:iCs w:val="0"/>
        <w:color w:val="475569"/>
        <w:sz w:val="20"/>
        <w:szCs w:val="20"/>
      </w:rPr>
      <w:tcPr>
        <w:shd w:val="clear" w:color="auto" w:fill="F8FAFC"/>
        <w:vAlign w:val="bottom"/>
      </w:tcPr>
    </w:tblStylePr>
  </w:style>
  <w:style w:type="table" w:customStyle="1" w:styleId="14">
    <w:name w:val="_Style 11"/>
    <w:basedOn w:val="12"/>
    <w:qFormat/>
    <w:uiPriority w:val="0"/>
    <w:tblPr>
      <w:tblCellMar>
        <w:top w:w="160" w:type="dxa"/>
        <w:left w:w="200" w:type="dxa"/>
        <w:bottom w:w="160" w:type="dxa"/>
        <w:right w:w="200" w:type="dxa"/>
      </w:tblCellMar>
    </w:tblPr>
    <w:tcPr>
      <w:shd w:val="clear" w:color="auto" w:fill="FFFFFF"/>
      <w:vAlign w:val="top"/>
    </w:tcPr>
    <w:tblStylePr w:type="firstRow">
      <w:rPr>
        <w:rFonts w:ascii="Inter" w:hAnsi="Inter" w:eastAsia="Inter" w:cs="Inter"/>
        <w:b/>
        <w:bCs/>
        <w:i w:val="0"/>
        <w:iCs w:val="0"/>
        <w:color w:val="475569"/>
        <w:sz w:val="20"/>
        <w:szCs w:val="20"/>
      </w:rPr>
      <w:tcPr>
        <w:shd w:val="clear" w:color="auto" w:fill="F8FAFC"/>
        <w:vAlign w:val="bottom"/>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8</Pages>
  <Words>927</Words>
  <Characters>5763</Characters>
  <TotalTime>0</TotalTime>
  <ScaleCrop>false</ScaleCrop>
  <LinksUpToDate>false</LinksUpToDate>
  <CharactersWithSpaces>6582</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2026-10-19T02:14:17Z</dcterms:created>
  <dc:creator>hewen</dc:creator>
  <cp:lastModifiedBy>LikeH❥</cp:lastModifiedBy>
  <dcterms:modified xsi:type="dcterms:W3CDTF">2026-10-19T02:15:00Z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eyJoZGlkIjoiODk4NjVjMDE2NjhlNWIzZDNmOWQ1NTBmNzExNzVlMzMiLCJ1c2VySWQiOiI0NjI0MTE3MzkifQ==</vt:lpwstr>
  </property>
  <property fmtid="{D5CDD505-2E9C-101B-9397-08002B2CF9AE}" pid="3" name="KSOProductBuildVer">
    <vt:lpwstr>2052-12.1.0.29161</vt:lpwstr>
  </property>
  <property fmtid="{D5CDD505-2E9C-101B-9397-08002B2CF9AE}" pid="4" name="ICV">
    <vt:lpwstr>C2A93810AF984793A9D2832953265210_12</vt:lpwstr>
  </property>
</Properties>
</file>