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580823" w14:textId="77777777" w:rsidR="00190B00" w:rsidRDefault="008E0891">
      <w:pPr>
        <w:rPr>
          <w:rFonts w:ascii="Times New Roman" w:hAnsi="Times New Roman" w:cs="Times New Roman"/>
        </w:rPr>
      </w:pPr>
      <w:bookmarkStart w:id="0" w:name="_GoBack"/>
      <w:bookmarkEnd w:id="0"/>
      <w:r>
        <w:rPr>
          <w:rFonts w:ascii="Times New Roman" w:hAnsi="Times New Roman" w:cs="Times New Roman"/>
        </w:rPr>
        <w:t>Tyler Terbrusch</w:t>
      </w:r>
    </w:p>
    <w:p w14:paraId="073D0C2C" w14:textId="77777777" w:rsidR="008E0891" w:rsidRDefault="008E0891">
      <w:pPr>
        <w:rPr>
          <w:rFonts w:ascii="Times New Roman" w:hAnsi="Times New Roman" w:cs="Times New Roman"/>
        </w:rPr>
      </w:pPr>
      <w:r>
        <w:rPr>
          <w:rFonts w:ascii="Times New Roman" w:hAnsi="Times New Roman" w:cs="Times New Roman"/>
        </w:rPr>
        <w:t>ECON 5495</w:t>
      </w:r>
    </w:p>
    <w:p w14:paraId="4C08A55D" w14:textId="77777777" w:rsidR="008E0891" w:rsidRDefault="008E0891">
      <w:pPr>
        <w:rPr>
          <w:rFonts w:ascii="Times New Roman" w:hAnsi="Times New Roman" w:cs="Times New Roman"/>
        </w:rPr>
      </w:pPr>
      <w:r>
        <w:rPr>
          <w:rFonts w:ascii="Times New Roman" w:hAnsi="Times New Roman" w:cs="Times New Roman"/>
        </w:rPr>
        <w:t>Professor Kim</w:t>
      </w:r>
    </w:p>
    <w:p w14:paraId="02BCAF2A" w14:textId="77777777" w:rsidR="008E0891" w:rsidRDefault="008E0891">
      <w:pPr>
        <w:rPr>
          <w:rFonts w:ascii="Times New Roman" w:hAnsi="Times New Roman" w:cs="Times New Roman"/>
        </w:rPr>
      </w:pPr>
      <w:r>
        <w:rPr>
          <w:rFonts w:ascii="Times New Roman" w:hAnsi="Times New Roman" w:cs="Times New Roman"/>
        </w:rPr>
        <w:t xml:space="preserve">Final Project </w:t>
      </w:r>
    </w:p>
    <w:p w14:paraId="72C660D2" w14:textId="77777777" w:rsidR="00763BBC" w:rsidRDefault="00763BBC" w:rsidP="00763BBC">
      <w:pPr>
        <w:spacing w:line="480" w:lineRule="auto"/>
        <w:contextualSpacing/>
        <w:rPr>
          <w:rFonts w:ascii="Times New Roman" w:hAnsi="Times New Roman" w:cs="Times New Roman"/>
          <w:u w:val="single"/>
        </w:rPr>
      </w:pPr>
    </w:p>
    <w:p w14:paraId="46D9A756" w14:textId="3F7D58DE" w:rsidR="007D35FC" w:rsidRPr="007D35FC" w:rsidRDefault="007D35FC" w:rsidP="00763BBC">
      <w:pPr>
        <w:spacing w:line="480" w:lineRule="auto"/>
        <w:contextualSpacing/>
        <w:jc w:val="center"/>
        <w:rPr>
          <w:rFonts w:ascii="Times New Roman" w:hAnsi="Times New Roman" w:cs="Times New Roman"/>
          <w:u w:val="single"/>
        </w:rPr>
      </w:pPr>
      <w:r>
        <w:rPr>
          <w:rFonts w:ascii="Times New Roman" w:hAnsi="Times New Roman" w:cs="Times New Roman"/>
          <w:u w:val="single"/>
        </w:rPr>
        <w:t>Analysis of NCAA’s Academic Progress Rate Scoring System</w:t>
      </w:r>
    </w:p>
    <w:p w14:paraId="4715EB3B" w14:textId="10201C14" w:rsidR="00D421D1" w:rsidRDefault="007D35FC" w:rsidP="007D35FC">
      <w:pPr>
        <w:spacing w:line="480" w:lineRule="auto"/>
        <w:contextualSpacing/>
        <w:rPr>
          <w:rFonts w:ascii="Times New Roman" w:hAnsi="Times New Roman" w:cs="Times New Roman"/>
        </w:rPr>
      </w:pPr>
      <w:r>
        <w:rPr>
          <w:rFonts w:ascii="Times New Roman" w:hAnsi="Times New Roman" w:cs="Times New Roman"/>
        </w:rPr>
        <w:tab/>
        <w:t xml:space="preserve">Collegiate athletics play an important role on the campuses of </w:t>
      </w:r>
      <w:r w:rsidR="004108FD">
        <w:rPr>
          <w:rFonts w:ascii="Times New Roman" w:hAnsi="Times New Roman" w:cs="Times New Roman"/>
        </w:rPr>
        <w:t>United States colleges</w:t>
      </w:r>
      <w:r>
        <w:rPr>
          <w:rFonts w:ascii="Times New Roman" w:hAnsi="Times New Roman" w:cs="Times New Roman"/>
        </w:rPr>
        <w:t xml:space="preserve"> and universities.  Rooting for these athletic teams supply opportunities for students to show school pride and for the community to come together.  Collegiate athletics also provide schools with areas to generate revenue from ticket sales, selling merchandise, and broadcasting deals.  Collegiate athletics also equip thousands of student-athletes with the opportunity to attend an institution of higher education at a reduced cost or at no cost altogether through scholarships while also being a member of one of the school’s varsity athletic teams.  While the topic of fairly compensating these student-athletes with paychecks on top of their scholarships is a hotly debated one</w:t>
      </w:r>
      <w:r w:rsidR="00CC41BA">
        <w:rPr>
          <w:rFonts w:ascii="Times New Roman" w:hAnsi="Times New Roman" w:cs="Times New Roman"/>
        </w:rPr>
        <w:t xml:space="preserve"> (“Should NCAA”)</w:t>
      </w:r>
      <w:r w:rsidR="00811D23">
        <w:rPr>
          <w:rFonts w:ascii="Times New Roman" w:hAnsi="Times New Roman" w:cs="Times New Roman"/>
        </w:rPr>
        <w:t>, this report will not focus on that issue.  This analysis instead examines the National Collegiate Athletic Association’s (NCAA) Academic Progress Rate (APR) scoring system that was instituted in August of 2003.  In response to concerns that student-athletes were not being prepared adequately for post-education life or being held to the same academic standard as their non-athlete peers, the NCAA installed the APR scoring system.  This system assigns scores to NCAA teams to hold them accountable to make sure their student-athletes are succeeding in their schoolwork.  This analysis will examine the effects that certain characteristics of schools, sports seasons, and student-athletes have on their academic outcomes and their teams’ APR scores</w:t>
      </w:r>
      <w:r w:rsidR="00E41E69">
        <w:rPr>
          <w:rFonts w:ascii="Times New Roman" w:hAnsi="Times New Roman" w:cs="Times New Roman"/>
        </w:rPr>
        <w:t xml:space="preserve"> and whether this policy was effective in raising the academic performance of student-athletes</w:t>
      </w:r>
      <w:r w:rsidR="00811D23">
        <w:rPr>
          <w:rFonts w:ascii="Times New Roman" w:hAnsi="Times New Roman" w:cs="Times New Roman"/>
        </w:rPr>
        <w:t xml:space="preserve">.  This report will identify where statistically significant </w:t>
      </w:r>
      <w:r w:rsidR="00811D23">
        <w:rPr>
          <w:rFonts w:ascii="Times New Roman" w:hAnsi="Times New Roman" w:cs="Times New Roman"/>
        </w:rPr>
        <w:lastRenderedPageBreak/>
        <w:t>differences ex</w:t>
      </w:r>
      <w:r w:rsidR="00DD7009">
        <w:rPr>
          <w:rFonts w:ascii="Times New Roman" w:hAnsi="Times New Roman" w:cs="Times New Roman"/>
        </w:rPr>
        <w:t xml:space="preserve">ist and will recommend areas of need </w:t>
      </w:r>
      <w:r w:rsidR="00811D23">
        <w:rPr>
          <w:rFonts w:ascii="Times New Roman" w:hAnsi="Times New Roman" w:cs="Times New Roman"/>
        </w:rPr>
        <w:t>to even out academic outcomes so that all student-athletes can be set up for success.</w:t>
      </w:r>
    </w:p>
    <w:p w14:paraId="57FF296E" w14:textId="005C5B60" w:rsidR="00811D23" w:rsidRDefault="00811D23" w:rsidP="007D35FC">
      <w:pPr>
        <w:spacing w:line="480" w:lineRule="auto"/>
        <w:contextualSpacing/>
        <w:rPr>
          <w:rFonts w:ascii="Times New Roman" w:hAnsi="Times New Roman" w:cs="Times New Roman"/>
        </w:rPr>
      </w:pPr>
      <w:r>
        <w:rPr>
          <w:rFonts w:ascii="Times New Roman" w:hAnsi="Times New Roman" w:cs="Times New Roman"/>
        </w:rPr>
        <w:tab/>
      </w:r>
      <w:r w:rsidR="00A97AA3">
        <w:rPr>
          <w:rFonts w:ascii="Times New Roman" w:hAnsi="Times New Roman" w:cs="Times New Roman"/>
        </w:rPr>
        <w:t>Before the analysis of the APR Score policy, som</w:t>
      </w:r>
      <w:r w:rsidR="008E6DCB">
        <w:rPr>
          <w:rFonts w:ascii="Times New Roman" w:hAnsi="Times New Roman" w:cs="Times New Roman"/>
        </w:rPr>
        <w:t xml:space="preserve">e more background on this rule </w:t>
      </w:r>
      <w:r w:rsidR="00D95EBC">
        <w:rPr>
          <w:rFonts w:ascii="Times New Roman" w:hAnsi="Times New Roman" w:cs="Times New Roman"/>
        </w:rPr>
        <w:t xml:space="preserve">will be provided.  </w:t>
      </w:r>
      <w:r w:rsidR="00E57F0D">
        <w:rPr>
          <w:rFonts w:ascii="Times New Roman" w:hAnsi="Times New Roman" w:cs="Times New Roman"/>
        </w:rPr>
        <w:t>The APR is a measure of how well student-athletes are progressing through their academic coursework.</w:t>
      </w:r>
      <w:r w:rsidR="00735E5F">
        <w:rPr>
          <w:rFonts w:ascii="Times New Roman" w:hAnsi="Times New Roman" w:cs="Times New Roman"/>
        </w:rPr>
        <w:t xml:space="preserve">  </w:t>
      </w:r>
      <w:r w:rsidR="00E57F0D">
        <w:rPr>
          <w:rFonts w:ascii="Times New Roman" w:hAnsi="Times New Roman" w:cs="Times New Roman"/>
        </w:rPr>
        <w:t>This measure is calculated by taking the total number of student athletes on a team who are receiving athletically awarded financial aid, and awarding one point for each student who is still in school from the previous year, and another point to the student if he or she is academically eligible to participate that year.  The teams</w:t>
      </w:r>
      <w:r w:rsidR="00735E5F">
        <w:rPr>
          <w:rFonts w:ascii="Times New Roman" w:hAnsi="Times New Roman" w:cs="Times New Roman"/>
        </w:rPr>
        <w:t>’</w:t>
      </w:r>
      <w:r w:rsidR="00E57F0D">
        <w:rPr>
          <w:rFonts w:ascii="Times New Roman" w:hAnsi="Times New Roman" w:cs="Times New Roman"/>
        </w:rPr>
        <w:t xml:space="preserve"> number of points accumulated divided by their total number of points possible multiplied by 1000 gives them their APR score</w:t>
      </w:r>
      <w:r w:rsidR="00CC41BA">
        <w:rPr>
          <w:rFonts w:ascii="Times New Roman" w:hAnsi="Times New Roman" w:cs="Times New Roman"/>
        </w:rPr>
        <w:t xml:space="preserve"> (“Academic Progress Rate Explained”)</w:t>
      </w:r>
      <w:r w:rsidR="00E57F0D">
        <w:rPr>
          <w:rFonts w:ascii="Times New Roman" w:hAnsi="Times New Roman" w:cs="Times New Roman"/>
        </w:rPr>
        <w:t xml:space="preserve">.  </w:t>
      </w:r>
      <w:r w:rsidR="00D95EBC">
        <w:rPr>
          <w:rFonts w:ascii="Times New Roman" w:hAnsi="Times New Roman" w:cs="Times New Roman"/>
        </w:rPr>
        <w:t>The APR was put into place before the start of the 2003-2004 academic and collegiate athletic year</w:t>
      </w:r>
      <w:r w:rsidR="00E57F0D">
        <w:rPr>
          <w:rFonts w:ascii="Times New Roman" w:hAnsi="Times New Roman" w:cs="Times New Roman"/>
        </w:rPr>
        <w:t>s</w:t>
      </w:r>
      <w:r w:rsidR="00D95EBC">
        <w:rPr>
          <w:rFonts w:ascii="Times New Roman" w:hAnsi="Times New Roman" w:cs="Times New Roman"/>
        </w:rPr>
        <w:t xml:space="preserve">.  </w:t>
      </w:r>
      <w:r w:rsidR="00D82380">
        <w:rPr>
          <w:rFonts w:ascii="Times New Roman" w:hAnsi="Times New Roman" w:cs="Times New Roman"/>
        </w:rPr>
        <w:t xml:space="preserve">While scores were kept track of over the next 3 years, sanctions and penalties were not administered until after the end of the 2007-2008 school year, which allowed for an entire cohort of student-athletes to </w:t>
      </w:r>
      <w:r w:rsidR="00104158">
        <w:rPr>
          <w:rFonts w:ascii="Times New Roman" w:hAnsi="Times New Roman" w:cs="Times New Roman"/>
        </w:rPr>
        <w:t>matriculate through their four years of college</w:t>
      </w:r>
      <w:r w:rsidR="00D82380">
        <w:rPr>
          <w:rFonts w:ascii="Times New Roman" w:hAnsi="Times New Roman" w:cs="Times New Roman"/>
        </w:rPr>
        <w:t xml:space="preserve">.  </w:t>
      </w:r>
      <w:r w:rsidR="00D95EBC">
        <w:rPr>
          <w:rFonts w:ascii="Times New Roman" w:hAnsi="Times New Roman" w:cs="Times New Roman"/>
        </w:rPr>
        <w:t xml:space="preserve">From that point on, NCAA teams needed to maintain </w:t>
      </w:r>
      <w:r w:rsidR="00E57F0D">
        <w:rPr>
          <w:rFonts w:ascii="Times New Roman" w:hAnsi="Times New Roman" w:cs="Times New Roman"/>
        </w:rPr>
        <w:t xml:space="preserve">a four-year average APR score of 930 in order to be eligible </w:t>
      </w:r>
      <w:r w:rsidR="00735E5F">
        <w:rPr>
          <w:rFonts w:ascii="Times New Roman" w:hAnsi="Times New Roman" w:cs="Times New Roman"/>
        </w:rPr>
        <w:t>for postseason tournaments.  Teams that repeatedly fall below the 930 APR score mark will also be subject to other penalties that include diminished scholarships available to award and restrictions on competition</w:t>
      </w:r>
      <w:r w:rsidR="00CC41BA">
        <w:rPr>
          <w:rFonts w:ascii="Times New Roman" w:hAnsi="Times New Roman" w:cs="Times New Roman"/>
        </w:rPr>
        <w:t xml:space="preserve"> (“Academic Progress Rate Timeline”)</w:t>
      </w:r>
      <w:r w:rsidR="00735E5F">
        <w:rPr>
          <w:rFonts w:ascii="Times New Roman" w:hAnsi="Times New Roman" w:cs="Times New Roman"/>
        </w:rPr>
        <w:t>.  Many schools look to their teams to participate in competitions, tournaments, and championships to provide not just a monetary boost to the school,</w:t>
      </w:r>
      <w:r w:rsidR="000A4F7F">
        <w:rPr>
          <w:rFonts w:ascii="Times New Roman" w:hAnsi="Times New Roman" w:cs="Times New Roman"/>
        </w:rPr>
        <w:t xml:space="preserve"> but also to provide an indirect</w:t>
      </w:r>
      <w:r w:rsidR="00735E5F">
        <w:rPr>
          <w:rFonts w:ascii="Times New Roman" w:hAnsi="Times New Roman" w:cs="Times New Roman"/>
        </w:rPr>
        <w:t xml:space="preserve"> benefit of notoriety with potential applicants on a regional or eve</w:t>
      </w:r>
      <w:r w:rsidR="008E6DCB">
        <w:rPr>
          <w:rFonts w:ascii="Times New Roman" w:hAnsi="Times New Roman" w:cs="Times New Roman"/>
        </w:rPr>
        <w:t>n a national scale.  Success by NCAA teams has been linked to increased application numbers</w:t>
      </w:r>
      <w:r w:rsidR="00786F71">
        <w:rPr>
          <w:rFonts w:ascii="Times New Roman" w:hAnsi="Times New Roman" w:cs="Times New Roman"/>
        </w:rPr>
        <w:t xml:space="preserve"> (Glatter) (Mosendz et al.)</w:t>
      </w:r>
      <w:r w:rsidR="008E6DCB">
        <w:rPr>
          <w:rFonts w:ascii="Times New Roman" w:hAnsi="Times New Roman" w:cs="Times New Roman"/>
        </w:rPr>
        <w:t xml:space="preserve">.  There is a penalty worth avoiding that comes with not meeting the 930 APR score, and these penalties were created as incentives for schools to raise their standards for student-athletes.  In the following section, the success of this policy on raising student-athlete academic outcomes will be analyzed.    </w:t>
      </w:r>
    </w:p>
    <w:p w14:paraId="5DE4AB69" w14:textId="67EFFC58" w:rsidR="00351BE1" w:rsidRDefault="008E6DCB" w:rsidP="007D35FC">
      <w:pPr>
        <w:spacing w:line="480" w:lineRule="auto"/>
        <w:contextualSpacing/>
        <w:rPr>
          <w:rFonts w:ascii="Times New Roman" w:hAnsi="Times New Roman" w:cs="Times New Roman"/>
        </w:rPr>
      </w:pPr>
      <w:r>
        <w:rPr>
          <w:rFonts w:ascii="Times New Roman" w:hAnsi="Times New Roman" w:cs="Times New Roman"/>
        </w:rPr>
        <w:tab/>
        <w:t xml:space="preserve">The dataset being used for the following analysis is comprised of all Division I athletic teams </w:t>
      </w:r>
      <w:r w:rsidR="00D4704F">
        <w:rPr>
          <w:rFonts w:ascii="Times New Roman" w:hAnsi="Times New Roman" w:cs="Times New Roman"/>
        </w:rPr>
        <w:t>and their APR Scores, their rates of Eligibility, and rates of Retent</w:t>
      </w:r>
      <w:r w:rsidR="00786F71">
        <w:rPr>
          <w:rFonts w:ascii="Times New Roman" w:hAnsi="Times New Roman" w:cs="Times New Roman"/>
        </w:rPr>
        <w:t>ion for every year since 2004, t</w:t>
      </w:r>
      <w:r w:rsidR="00D4704F">
        <w:rPr>
          <w:rFonts w:ascii="Times New Roman" w:hAnsi="Times New Roman" w:cs="Times New Roman"/>
        </w:rPr>
        <w:t>he year</w:t>
      </w:r>
      <w:r w:rsidR="00786F71">
        <w:rPr>
          <w:rFonts w:ascii="Times New Roman" w:hAnsi="Times New Roman" w:cs="Times New Roman"/>
        </w:rPr>
        <w:t xml:space="preserve"> the APR policy was implemented</w:t>
      </w:r>
      <w:r w:rsidR="00D4704F">
        <w:rPr>
          <w:rFonts w:ascii="Times New Roman" w:hAnsi="Times New Roman" w:cs="Times New Roman"/>
        </w:rPr>
        <w:t xml:space="preserve">.  This dataset has 6511 observations from teams across 38 sports and from 385 </w:t>
      </w:r>
      <w:r w:rsidR="00E214B3">
        <w:rPr>
          <w:rFonts w:ascii="Times New Roman" w:hAnsi="Times New Roman" w:cs="Times New Roman"/>
        </w:rPr>
        <w:t xml:space="preserve">Division I </w:t>
      </w:r>
      <w:r w:rsidR="00D4704F">
        <w:rPr>
          <w:rFonts w:ascii="Times New Roman" w:hAnsi="Times New Roman" w:cs="Times New Roman"/>
        </w:rPr>
        <w:t>schools</w:t>
      </w:r>
      <w:r w:rsidR="00CC41BA">
        <w:rPr>
          <w:rFonts w:ascii="Times New Roman" w:hAnsi="Times New Roman" w:cs="Times New Roman"/>
        </w:rPr>
        <w:t xml:space="preserve"> (“Academic Scores”)</w:t>
      </w:r>
      <w:r w:rsidR="00D4704F">
        <w:rPr>
          <w:rFonts w:ascii="Times New Roman" w:hAnsi="Times New Roman" w:cs="Times New Roman"/>
        </w:rPr>
        <w:t>.  Also of note, there are 48 conferences of schoo</w:t>
      </w:r>
      <w:r w:rsidR="00EA3529">
        <w:rPr>
          <w:rFonts w:ascii="Times New Roman" w:hAnsi="Times New Roman" w:cs="Times New Roman"/>
        </w:rPr>
        <w:t>ls represented in this dataset</w:t>
      </w:r>
      <w:r w:rsidR="00CC41BA">
        <w:rPr>
          <w:rFonts w:ascii="Times New Roman" w:hAnsi="Times New Roman" w:cs="Times New Roman"/>
        </w:rPr>
        <w:t xml:space="preserve"> (“NCAA Conferences”)</w:t>
      </w:r>
      <w:r w:rsidR="00EA3529">
        <w:rPr>
          <w:rFonts w:ascii="Times New Roman" w:hAnsi="Times New Roman" w:cs="Times New Roman"/>
        </w:rPr>
        <w:t>.  All data analysis was done using R.  Commands, code, and explanations on different codes and processes can be found in the accompanying code file.</w:t>
      </w:r>
      <w:r w:rsidR="00D4704F">
        <w:rPr>
          <w:rFonts w:ascii="Times New Roman" w:hAnsi="Times New Roman" w:cs="Times New Roman"/>
        </w:rPr>
        <w:t xml:space="preserve"> The following graphs demonstrate how student-athlete academic outcomes have changed over time since the implementation of the APR score in 2004.  As we can see</w:t>
      </w:r>
      <w:r w:rsidR="00850E45">
        <w:rPr>
          <w:rFonts w:ascii="Times New Roman" w:hAnsi="Times New Roman" w:cs="Times New Roman"/>
        </w:rPr>
        <w:t xml:space="preserve"> from the following graph that measures </w:t>
      </w:r>
      <w:r w:rsidR="00547AC3">
        <w:rPr>
          <w:rFonts w:ascii="Times New Roman" w:hAnsi="Times New Roman" w:cs="Times New Roman"/>
        </w:rPr>
        <w:t>APR s</w:t>
      </w:r>
      <w:r w:rsidR="00351BE1">
        <w:rPr>
          <w:rFonts w:ascii="Times New Roman" w:hAnsi="Times New Roman" w:cs="Times New Roman"/>
        </w:rPr>
        <w:t>cores over time, average APR sco</w:t>
      </w:r>
      <w:r w:rsidR="005B2F7E">
        <w:rPr>
          <w:rFonts w:ascii="Times New Roman" w:hAnsi="Times New Roman" w:cs="Times New Roman"/>
        </w:rPr>
        <w:t>res have risen consistently since</w:t>
      </w:r>
      <w:r w:rsidR="00351BE1">
        <w:rPr>
          <w:rFonts w:ascii="Times New Roman" w:hAnsi="Times New Roman" w:cs="Times New Roman"/>
        </w:rPr>
        <w:t xml:space="preserve"> their introduction in 2004.  The punishments for not meeting the 930 score benchmark which became effective in 2008 had an easily seen effect as average APR scores across the entire NCAA jumped by over 6 points from 2007 to 2008.</w:t>
      </w:r>
    </w:p>
    <w:p w14:paraId="1930DD2D" w14:textId="297728C7" w:rsidR="00351BE1" w:rsidRDefault="005A27FA" w:rsidP="00351BE1">
      <w:pPr>
        <w:spacing w:line="480" w:lineRule="auto"/>
        <w:contextualSpacing/>
        <w:jc w:val="center"/>
        <w:rPr>
          <w:rFonts w:ascii="Times New Roman" w:hAnsi="Times New Roman" w:cs="Times New Roman"/>
        </w:rPr>
      </w:pPr>
      <w:r>
        <w:rPr>
          <w:rFonts w:ascii="Times New Roman" w:hAnsi="Times New Roman" w:cs="Times New Roman"/>
          <w:noProof/>
        </w:rPr>
        <w:drawing>
          <wp:inline distT="0" distB="0" distL="0" distR="0" wp14:anchorId="5B642BF7" wp14:editId="597532BA">
            <wp:extent cx="4488024" cy="422910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R Scores by Year.pdf"/>
                    <pic:cNvPicPr/>
                  </pic:nvPicPr>
                  <pic:blipFill>
                    <a:blip r:embed="rId8">
                      <a:extLst>
                        <a:ext uri="{28A0092B-C50C-407E-A947-70E740481C1C}">
                          <a14:useLocalDpi xmlns:a14="http://schemas.microsoft.com/office/drawing/2010/main" val="0"/>
                        </a:ext>
                      </a:extLst>
                    </a:blip>
                    <a:stretch>
                      <a:fillRect/>
                    </a:stretch>
                  </pic:blipFill>
                  <pic:spPr>
                    <a:xfrm>
                      <a:off x="0" y="0"/>
                      <a:ext cx="4488024" cy="4229100"/>
                    </a:xfrm>
                    <a:prstGeom prst="rect">
                      <a:avLst/>
                    </a:prstGeom>
                  </pic:spPr>
                </pic:pic>
              </a:graphicData>
            </a:graphic>
          </wp:inline>
        </w:drawing>
      </w:r>
    </w:p>
    <w:p w14:paraId="1A0EBD2A" w14:textId="188A23F0" w:rsidR="001B66EB" w:rsidRDefault="00351BE1" w:rsidP="00351BE1">
      <w:pPr>
        <w:spacing w:line="480" w:lineRule="auto"/>
        <w:rPr>
          <w:rFonts w:ascii="Times New Roman" w:hAnsi="Times New Roman" w:cs="Times New Roman"/>
        </w:rPr>
      </w:pPr>
      <w:r>
        <w:rPr>
          <w:rFonts w:ascii="Times New Roman" w:hAnsi="Times New Roman" w:cs="Times New Roman"/>
        </w:rPr>
        <w:t>The graphs below also show how the advent of the APR score policy had positive effects on stud</w:t>
      </w:r>
      <w:r w:rsidR="001B66EB">
        <w:rPr>
          <w:rFonts w:ascii="Times New Roman" w:hAnsi="Times New Roman" w:cs="Times New Roman"/>
        </w:rPr>
        <w:t xml:space="preserve">ent-athlete </w:t>
      </w:r>
      <w:r>
        <w:rPr>
          <w:rFonts w:ascii="Times New Roman" w:hAnsi="Times New Roman" w:cs="Times New Roman"/>
        </w:rPr>
        <w:t>eligibility rates</w:t>
      </w:r>
      <w:r w:rsidR="001B66EB">
        <w:rPr>
          <w:rFonts w:ascii="Times New Roman" w:hAnsi="Times New Roman" w:cs="Times New Roman"/>
        </w:rPr>
        <w:t xml:space="preserve"> and retention rates</w:t>
      </w:r>
      <w:r>
        <w:rPr>
          <w:rFonts w:ascii="Times New Roman" w:hAnsi="Times New Roman" w:cs="Times New Roman"/>
        </w:rPr>
        <w:t xml:space="preserve">.  We see steady climbs in these rates for every year since 2004 when the policy was first enacted.  </w:t>
      </w:r>
    </w:p>
    <w:p w14:paraId="51DAD2BB" w14:textId="77777777" w:rsidR="001B66EB" w:rsidRDefault="001B66EB" w:rsidP="00351BE1">
      <w:pPr>
        <w:spacing w:line="480" w:lineRule="auto"/>
        <w:rPr>
          <w:rFonts w:ascii="Times New Roman" w:hAnsi="Times New Roman" w:cs="Times New Roman"/>
        </w:rPr>
      </w:pPr>
    </w:p>
    <w:p w14:paraId="6F82397A" w14:textId="14C4723D" w:rsidR="001B66EB" w:rsidRDefault="005A27FA" w:rsidP="00351BE1">
      <w:pPr>
        <w:spacing w:line="48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5817CFEC" wp14:editId="54810569">
                <wp:simplePos x="0" y="0"/>
                <wp:positionH relativeFrom="column">
                  <wp:posOffset>342900</wp:posOffset>
                </wp:positionH>
                <wp:positionV relativeFrom="paragraph">
                  <wp:posOffset>-228600</wp:posOffset>
                </wp:positionV>
                <wp:extent cx="2743200" cy="3314700"/>
                <wp:effectExtent l="0" t="0" r="0" b="12700"/>
                <wp:wrapSquare wrapText="bothSides"/>
                <wp:docPr id="6" name="Text Box 6"/>
                <wp:cNvGraphicFramePr/>
                <a:graphic xmlns:a="http://schemas.openxmlformats.org/drawingml/2006/main">
                  <a:graphicData uri="http://schemas.microsoft.com/office/word/2010/wordprocessingShape">
                    <wps:wsp>
                      <wps:cNvSpPr txBox="1"/>
                      <wps:spPr>
                        <a:xfrm>
                          <a:off x="0" y="0"/>
                          <a:ext cx="2743200" cy="3314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6D072FB" w14:textId="19009A24" w:rsidR="00CC41BA" w:rsidRDefault="00CC41BA">
                            <w:r>
                              <w:rPr>
                                <w:noProof/>
                              </w:rPr>
                              <w:drawing>
                                <wp:inline distT="0" distB="0" distL="0" distR="0" wp14:anchorId="47261F3C" wp14:editId="06C4EDD4">
                                  <wp:extent cx="2490470" cy="32232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igibility Rates by Year.pdf"/>
                                          <pic:cNvPicPr/>
                                        </pic:nvPicPr>
                                        <pic:blipFill>
                                          <a:blip r:embed="rId9">
                                            <a:extLst>
                                              <a:ext uri="{28A0092B-C50C-407E-A947-70E740481C1C}">
                                                <a14:useLocalDpi xmlns:a14="http://schemas.microsoft.com/office/drawing/2010/main" val="0"/>
                                              </a:ext>
                                            </a:extLst>
                                          </a:blip>
                                          <a:stretch>
                                            <a:fillRect/>
                                          </a:stretch>
                                        </pic:blipFill>
                                        <pic:spPr>
                                          <a:xfrm>
                                            <a:off x="0" y="0"/>
                                            <a:ext cx="2490470" cy="32232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6" o:spid="_x0000_s1026" type="#_x0000_t202" style="position:absolute;margin-left:27pt;margin-top:-17.95pt;width:3in;height:26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" filled="f" stroked="f">
                <v:textbox>
                  <w:txbxContent>
                    <w:p w14:paraId="56D072FB" w14:textId="19009A24" w:rsidR="00686D20" w:rsidRDefault="00686D20">
                      <w:r>
                        <w:rPr>
                          <w:noProof/>
                        </w:rPr>
                        <w:drawing>
                          <wp:inline distT="0" distB="0" distL="0" distR="0" wp14:anchorId="47261F3C" wp14:editId="06C4EDD4">
                            <wp:extent cx="2490470" cy="32232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igibility Rates by Year.pdf"/>
                                    <pic:cNvPicPr/>
                                  </pic:nvPicPr>
                                  <pic:blipFill>
                                    <a:blip r:embed="rId10">
                                      <a:extLst>
                                        <a:ext uri="{28A0092B-C50C-407E-A947-70E740481C1C}">
                                          <a14:useLocalDpi xmlns:a14="http://schemas.microsoft.com/office/drawing/2010/main" val="0"/>
                                        </a:ext>
                                      </a:extLst>
                                    </a:blip>
                                    <a:stretch>
                                      <a:fillRect/>
                                    </a:stretch>
                                  </pic:blipFill>
                                  <pic:spPr>
                                    <a:xfrm>
                                      <a:off x="0" y="0"/>
                                      <a:ext cx="2490470" cy="3223260"/>
                                    </a:xfrm>
                                    <a:prstGeom prst="rect">
                                      <a:avLst/>
                                    </a:prstGeom>
                                  </pic:spPr>
                                </pic:pic>
                              </a:graphicData>
                            </a:graphic>
                          </wp:inline>
                        </w:drawing>
                      </w:r>
                    </w:p>
                  </w:txbxContent>
                </v:textbox>
                <w10:wrap type="square"/>
              </v:shape>
            </w:pict>
          </mc:Fallback>
        </mc:AlternateContent>
      </w: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0089FB70" wp14:editId="19E14A31">
                <wp:simplePos x="0" y="0"/>
                <wp:positionH relativeFrom="column">
                  <wp:posOffset>3314700</wp:posOffset>
                </wp:positionH>
                <wp:positionV relativeFrom="paragraph">
                  <wp:posOffset>-228600</wp:posOffset>
                </wp:positionV>
                <wp:extent cx="2743200" cy="3314700"/>
                <wp:effectExtent l="0" t="0" r="0" b="12700"/>
                <wp:wrapSquare wrapText="bothSides"/>
                <wp:docPr id="4" name="Text Box 4"/>
                <wp:cNvGraphicFramePr/>
                <a:graphic xmlns:a="http://schemas.openxmlformats.org/drawingml/2006/main">
                  <a:graphicData uri="http://schemas.microsoft.com/office/word/2010/wordprocessingShape">
                    <wps:wsp>
                      <wps:cNvSpPr txBox="1"/>
                      <wps:spPr>
                        <a:xfrm>
                          <a:off x="0" y="0"/>
                          <a:ext cx="2743200" cy="3314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B3C9E9E" w14:textId="19836DE6" w:rsidR="00CC41BA" w:rsidRDefault="00CC41BA" w:rsidP="005A27FA">
                            <w:r>
                              <w:rPr>
                                <w:noProof/>
                              </w:rPr>
                              <w:drawing>
                                <wp:inline distT="0" distB="0" distL="0" distR="0" wp14:anchorId="621BCA2C" wp14:editId="49638D7D">
                                  <wp:extent cx="2490470" cy="32232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tention Rates by Year.pdf"/>
                                          <pic:cNvPicPr/>
                                        </pic:nvPicPr>
                                        <pic:blipFill>
                                          <a:blip r:embed="rId11">
                                            <a:extLst>
                                              <a:ext uri="{28A0092B-C50C-407E-A947-70E740481C1C}">
                                                <a14:useLocalDpi xmlns:a14="http://schemas.microsoft.com/office/drawing/2010/main" val="0"/>
                                              </a:ext>
                                            </a:extLst>
                                          </a:blip>
                                          <a:stretch>
                                            <a:fillRect/>
                                          </a:stretch>
                                        </pic:blipFill>
                                        <pic:spPr>
                                          <a:xfrm>
                                            <a:off x="0" y="0"/>
                                            <a:ext cx="2490470" cy="32232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27" type="#_x0000_t202" style="position:absolute;margin-left:261pt;margin-top:-17.95pt;width:3in;height:26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" filled="f" stroked="f">
                <v:textbox>
                  <w:txbxContent>
                    <w:p w14:paraId="7B3C9E9E" w14:textId="19836DE6" w:rsidR="00686D20" w:rsidRDefault="00686D20" w:rsidP="005A27FA">
                      <w:r>
                        <w:rPr>
                          <w:noProof/>
                        </w:rPr>
                        <w:drawing>
                          <wp:inline distT="0" distB="0" distL="0" distR="0" wp14:anchorId="621BCA2C" wp14:editId="49638D7D">
                            <wp:extent cx="2490470" cy="32232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tention Rates by Year.pdf"/>
                                    <pic:cNvPicPr/>
                                  </pic:nvPicPr>
                                  <pic:blipFill>
                                    <a:blip r:embed="rId12">
                                      <a:extLst>
                                        <a:ext uri="{28A0092B-C50C-407E-A947-70E740481C1C}">
                                          <a14:useLocalDpi xmlns:a14="http://schemas.microsoft.com/office/drawing/2010/main" val="0"/>
                                        </a:ext>
                                      </a:extLst>
                                    </a:blip>
                                    <a:stretch>
                                      <a:fillRect/>
                                    </a:stretch>
                                  </pic:blipFill>
                                  <pic:spPr>
                                    <a:xfrm>
                                      <a:off x="0" y="0"/>
                                      <a:ext cx="2490470" cy="3223260"/>
                                    </a:xfrm>
                                    <a:prstGeom prst="rect">
                                      <a:avLst/>
                                    </a:prstGeom>
                                  </pic:spPr>
                                </pic:pic>
                              </a:graphicData>
                            </a:graphic>
                          </wp:inline>
                        </w:drawing>
                      </w:r>
                    </w:p>
                  </w:txbxContent>
                </v:textbox>
                <w10:wrap type="square"/>
              </v:shape>
            </w:pict>
          </mc:Fallback>
        </mc:AlternateContent>
      </w:r>
    </w:p>
    <w:p w14:paraId="16E0DCA0" w14:textId="77777777" w:rsidR="005A27FA" w:rsidRDefault="005A27FA" w:rsidP="00351BE1">
      <w:pPr>
        <w:spacing w:line="480" w:lineRule="auto"/>
        <w:rPr>
          <w:rFonts w:ascii="Times New Roman" w:hAnsi="Times New Roman" w:cs="Times New Roman"/>
        </w:rPr>
      </w:pPr>
    </w:p>
    <w:p w14:paraId="4B7C9867" w14:textId="77777777" w:rsidR="005A27FA" w:rsidRDefault="005A27FA" w:rsidP="00351BE1">
      <w:pPr>
        <w:spacing w:line="480" w:lineRule="auto"/>
        <w:rPr>
          <w:rFonts w:ascii="Times New Roman" w:hAnsi="Times New Roman" w:cs="Times New Roman"/>
        </w:rPr>
      </w:pPr>
    </w:p>
    <w:p w14:paraId="05EF7CB1" w14:textId="77777777" w:rsidR="005A27FA" w:rsidRDefault="005A27FA" w:rsidP="00351BE1">
      <w:pPr>
        <w:spacing w:line="480" w:lineRule="auto"/>
        <w:rPr>
          <w:rFonts w:ascii="Times New Roman" w:hAnsi="Times New Roman" w:cs="Times New Roman"/>
        </w:rPr>
      </w:pPr>
    </w:p>
    <w:p w14:paraId="4F8F3A89" w14:textId="77777777" w:rsidR="005A27FA" w:rsidRDefault="005A27FA" w:rsidP="00351BE1">
      <w:pPr>
        <w:spacing w:line="480" w:lineRule="auto"/>
        <w:rPr>
          <w:rFonts w:ascii="Times New Roman" w:hAnsi="Times New Roman" w:cs="Times New Roman"/>
        </w:rPr>
      </w:pPr>
    </w:p>
    <w:p w14:paraId="1B8125D1" w14:textId="77777777" w:rsidR="005A27FA" w:rsidRDefault="005A27FA" w:rsidP="00351BE1">
      <w:pPr>
        <w:spacing w:line="480" w:lineRule="auto"/>
        <w:rPr>
          <w:rFonts w:ascii="Times New Roman" w:hAnsi="Times New Roman" w:cs="Times New Roman"/>
        </w:rPr>
      </w:pPr>
    </w:p>
    <w:p w14:paraId="77B4EA34" w14:textId="37136B98" w:rsidR="005B2F7E" w:rsidRDefault="00351BE1" w:rsidP="005B2F7E">
      <w:pPr>
        <w:spacing w:line="480" w:lineRule="auto"/>
        <w:rPr>
          <w:rFonts w:ascii="Times New Roman" w:hAnsi="Times New Roman" w:cs="Times New Roman"/>
        </w:rPr>
      </w:pPr>
      <w:r>
        <w:rPr>
          <w:rFonts w:ascii="Times New Roman" w:hAnsi="Times New Roman" w:cs="Times New Roman"/>
        </w:rPr>
        <w:t xml:space="preserve">The year 2008 also acts as a threshold of when the punishments were first mediated for low APR scores.  To test that APR scores, retention rates, and eligibility rates are significantly different on either side of this year, t-tests were conducted between the 2007 measures and the 2009 measures.  These tests yielded results rejecting the null hypothesis that the values in 2007 were the same as in 2009.  A t-test on the </w:t>
      </w:r>
      <w:r w:rsidR="001B66EB">
        <w:rPr>
          <w:rFonts w:ascii="Times New Roman" w:hAnsi="Times New Roman" w:cs="Times New Roman"/>
        </w:rPr>
        <w:t xml:space="preserve">average </w:t>
      </w:r>
      <w:r>
        <w:rPr>
          <w:rFonts w:ascii="Times New Roman" w:hAnsi="Times New Roman" w:cs="Times New Roman"/>
        </w:rPr>
        <w:t>number of athletes</w:t>
      </w:r>
      <w:r w:rsidR="001B66EB">
        <w:rPr>
          <w:rFonts w:ascii="Times New Roman" w:hAnsi="Times New Roman" w:cs="Times New Roman"/>
        </w:rPr>
        <w:t xml:space="preserve"> per team in 2007 and 2009 was also conducted to see if the samples in 2007 and 2009 were comparable and that t-test gave a p-value of 0.481, which is much higher than the p-value of 0.05</w:t>
      </w:r>
      <w:r w:rsidR="00AF10C7">
        <w:rPr>
          <w:rFonts w:ascii="Times New Roman" w:hAnsi="Times New Roman" w:cs="Times New Roman"/>
        </w:rPr>
        <w:t xml:space="preserve"> for statistical significance at the 95% confidence level</w:t>
      </w:r>
      <w:r w:rsidR="001B66EB">
        <w:rPr>
          <w:rFonts w:ascii="Times New Roman" w:hAnsi="Times New Roman" w:cs="Times New Roman"/>
        </w:rPr>
        <w:t>.  This high p-value means that we are confident that the average number of athletes per team is the same in 2007 and 2009 and</w:t>
      </w:r>
      <w:r w:rsidR="00D30CC1">
        <w:rPr>
          <w:rFonts w:ascii="Times New Roman" w:hAnsi="Times New Roman" w:cs="Times New Roman"/>
        </w:rPr>
        <w:t xml:space="preserve"> these samples are comparable.  There is a higher rate of student athletes who are maintaining their eligibility and staying in school now than when this policy was first started in 2004.</w:t>
      </w:r>
      <w:r w:rsidR="005B2F7E">
        <w:rPr>
          <w:rFonts w:ascii="Times New Roman" w:hAnsi="Times New Roman" w:cs="Times New Roman"/>
        </w:rPr>
        <w:t xml:space="preserve">  It is also noteworthy that since the implementation of the APR score policy, the number of teams who have had APR scores below this 930-point benchmark that makes a team subject to punishment has fallen dramatically.  In the first year that APR scores were calculated, there were 1099 athletic teams across the NCAA that had APR scores less than 930 points.  In 2014, there were only 345 teams that had APR scores lower than the necessary 930 points.  The graph below shows how the number of teams not meeting the 930 points has continuously dropped every year since this policy was first started.</w:t>
      </w:r>
    </w:p>
    <w:p w14:paraId="6AE98D9F" w14:textId="77777777" w:rsidR="009408FA" w:rsidRDefault="005B2F7E" w:rsidP="009408FA">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4A85E652" wp14:editId="110D73BF">
            <wp:extent cx="5207713" cy="4515273"/>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mber of Teams Below APR Score of 930 by Year.pdf"/>
                    <pic:cNvPicPr/>
                  </pic:nvPicPr>
                  <pic:blipFill>
                    <a:blip r:embed="rId13">
                      <a:extLst>
                        <a:ext uri="{28A0092B-C50C-407E-A947-70E740481C1C}">
                          <a14:useLocalDpi xmlns:a14="http://schemas.microsoft.com/office/drawing/2010/main" val="0"/>
                        </a:ext>
                      </a:extLst>
                    </a:blip>
                    <a:stretch>
                      <a:fillRect/>
                    </a:stretch>
                  </pic:blipFill>
                  <pic:spPr>
                    <a:xfrm>
                      <a:off x="0" y="0"/>
                      <a:ext cx="5209573" cy="4516885"/>
                    </a:xfrm>
                    <a:prstGeom prst="rect">
                      <a:avLst/>
                    </a:prstGeom>
                  </pic:spPr>
                </pic:pic>
              </a:graphicData>
            </a:graphic>
          </wp:inline>
        </w:drawing>
      </w:r>
    </w:p>
    <w:p w14:paraId="04ACE18C" w14:textId="26A662BE" w:rsidR="00D30CC1" w:rsidRDefault="001B66EB" w:rsidP="009408FA">
      <w:pPr>
        <w:spacing w:line="480" w:lineRule="auto"/>
        <w:rPr>
          <w:rFonts w:ascii="Times New Roman" w:hAnsi="Times New Roman" w:cs="Times New Roman"/>
        </w:rPr>
      </w:pPr>
      <w:r>
        <w:rPr>
          <w:rFonts w:ascii="Times New Roman" w:hAnsi="Times New Roman" w:cs="Times New Roman"/>
        </w:rPr>
        <w:t>By observing the graphs above and the results of the t-tests, it can be said that the implementation of the AP</w:t>
      </w:r>
      <w:r w:rsidR="0068231E">
        <w:rPr>
          <w:rFonts w:ascii="Times New Roman" w:hAnsi="Times New Roman" w:cs="Times New Roman"/>
        </w:rPr>
        <w:t>R policy had a positive effect i</w:t>
      </w:r>
      <w:r>
        <w:rPr>
          <w:rFonts w:ascii="Times New Roman" w:hAnsi="Times New Roman" w:cs="Times New Roman"/>
        </w:rPr>
        <w:t>n</w:t>
      </w:r>
      <w:r w:rsidR="0068231E">
        <w:rPr>
          <w:rFonts w:ascii="Times New Roman" w:hAnsi="Times New Roman" w:cs="Times New Roman"/>
        </w:rPr>
        <w:t xml:space="preserve"> raising</w:t>
      </w:r>
      <w:r>
        <w:rPr>
          <w:rFonts w:ascii="Times New Roman" w:hAnsi="Times New Roman" w:cs="Times New Roman"/>
        </w:rPr>
        <w:t xml:space="preserve"> student-athlete academic outcomes. </w:t>
      </w:r>
    </w:p>
    <w:p w14:paraId="636A8DE5" w14:textId="226C3E74" w:rsidR="00351BE1" w:rsidRDefault="00D30CC1" w:rsidP="00D30CC1">
      <w:pPr>
        <w:spacing w:line="480" w:lineRule="auto"/>
        <w:ind w:firstLine="720"/>
        <w:rPr>
          <w:rFonts w:ascii="Times New Roman" w:hAnsi="Times New Roman" w:cs="Times New Roman"/>
        </w:rPr>
      </w:pPr>
      <w:r>
        <w:rPr>
          <w:rFonts w:ascii="Times New Roman" w:hAnsi="Times New Roman" w:cs="Times New Roman"/>
        </w:rPr>
        <w:t>The</w:t>
      </w:r>
      <w:r w:rsidR="00786F71">
        <w:rPr>
          <w:rFonts w:ascii="Times New Roman" w:hAnsi="Times New Roman" w:cs="Times New Roman"/>
        </w:rPr>
        <w:t xml:space="preserve"> above figure</w:t>
      </w:r>
      <w:r>
        <w:rPr>
          <w:rFonts w:ascii="Times New Roman" w:hAnsi="Times New Roman" w:cs="Times New Roman"/>
        </w:rPr>
        <w:t>s look at means across all NCAA collegiate teams and we can see that this policy has made a positive impact as on average, APR scores, retention rates, and eligibility rates have all been climbing.  However, there are still areas where improvements can be made.  The following sections will look at differences</w:t>
      </w:r>
      <w:r w:rsidR="00F85E92">
        <w:rPr>
          <w:rFonts w:ascii="Times New Roman" w:hAnsi="Times New Roman" w:cs="Times New Roman"/>
        </w:rPr>
        <w:t xml:space="preserve"> in student-athlete academic outcomes</w:t>
      </w:r>
      <w:r w:rsidR="00AB131D">
        <w:rPr>
          <w:rFonts w:ascii="Times New Roman" w:hAnsi="Times New Roman" w:cs="Times New Roman"/>
        </w:rPr>
        <w:t xml:space="preserve"> across observable </w:t>
      </w:r>
      <w:r>
        <w:rPr>
          <w:rFonts w:ascii="Times New Roman" w:hAnsi="Times New Roman" w:cs="Times New Roman"/>
        </w:rPr>
        <w:t>characteristics</w:t>
      </w:r>
      <w:r w:rsidR="00F85E92">
        <w:rPr>
          <w:rFonts w:ascii="Times New Roman" w:hAnsi="Times New Roman" w:cs="Times New Roman"/>
        </w:rPr>
        <w:t xml:space="preserve"> </w:t>
      </w:r>
      <w:r w:rsidR="000B75D7">
        <w:rPr>
          <w:rFonts w:ascii="Times New Roman" w:hAnsi="Times New Roman" w:cs="Times New Roman"/>
        </w:rPr>
        <w:t>to see w</w:t>
      </w:r>
      <w:r w:rsidR="00AF10C7">
        <w:rPr>
          <w:rFonts w:ascii="Times New Roman" w:hAnsi="Times New Roman" w:cs="Times New Roman"/>
        </w:rPr>
        <w:t>h</w:t>
      </w:r>
      <w:r w:rsidR="000B75D7">
        <w:rPr>
          <w:rFonts w:ascii="Times New Roman" w:hAnsi="Times New Roman" w:cs="Times New Roman"/>
        </w:rPr>
        <w:t>ere there are still discrepancies</w:t>
      </w:r>
      <w:r w:rsidR="00AB131D">
        <w:rPr>
          <w:rFonts w:ascii="Times New Roman" w:hAnsi="Times New Roman" w:cs="Times New Roman"/>
        </w:rPr>
        <w:t>.</w:t>
      </w:r>
      <w:r w:rsidR="000B75D7">
        <w:rPr>
          <w:rFonts w:ascii="Times New Roman" w:hAnsi="Times New Roman" w:cs="Times New Roman"/>
        </w:rPr>
        <w:t xml:space="preserve">  We will first look at the academic outcomes of men’s teams versus women’s teams.  In the dataset, th</w:t>
      </w:r>
      <w:r w:rsidR="006176DE">
        <w:rPr>
          <w:rFonts w:ascii="Times New Roman" w:hAnsi="Times New Roman" w:cs="Times New Roman"/>
        </w:rPr>
        <w:t xml:space="preserve">ere are 2,945 men’s </w:t>
      </w:r>
      <w:r w:rsidR="000A4F7F">
        <w:rPr>
          <w:rFonts w:ascii="Times New Roman" w:hAnsi="Times New Roman" w:cs="Times New Roman"/>
        </w:rPr>
        <w:t xml:space="preserve">teams </w:t>
      </w:r>
      <w:r w:rsidR="006176DE">
        <w:rPr>
          <w:rFonts w:ascii="Times New Roman" w:hAnsi="Times New Roman" w:cs="Times New Roman"/>
        </w:rPr>
        <w:t>comprised from</w:t>
      </w:r>
      <w:r w:rsidR="000B75D7">
        <w:rPr>
          <w:rFonts w:ascii="Times New Roman" w:hAnsi="Times New Roman" w:cs="Times New Roman"/>
        </w:rPr>
        <w:t xml:space="preserve"> over 66,000 athletes and </w:t>
      </w:r>
      <w:r w:rsidR="006176DE">
        <w:rPr>
          <w:rFonts w:ascii="Times New Roman" w:hAnsi="Times New Roman" w:cs="Times New Roman"/>
        </w:rPr>
        <w:t>3,544 women’s teams comprised from</w:t>
      </w:r>
      <w:r w:rsidR="000B75D7">
        <w:rPr>
          <w:rFonts w:ascii="Times New Roman" w:hAnsi="Times New Roman" w:cs="Times New Roman"/>
        </w:rPr>
        <w:t xml:space="preserve"> over 61</w:t>
      </w:r>
      <w:r w:rsidR="006176DE">
        <w:rPr>
          <w:rFonts w:ascii="Times New Roman" w:hAnsi="Times New Roman" w:cs="Times New Roman"/>
        </w:rPr>
        <w:t>,000 athletes.  Using a t-test to determine whether there are statistically significant differences in APR scores, eligibility rates</w:t>
      </w:r>
      <w:r w:rsidR="00AF7EDA">
        <w:rPr>
          <w:rFonts w:ascii="Times New Roman" w:hAnsi="Times New Roman" w:cs="Times New Roman"/>
        </w:rPr>
        <w:t>,</w:t>
      </w:r>
      <w:r w:rsidR="006176DE">
        <w:rPr>
          <w:rFonts w:ascii="Times New Roman" w:hAnsi="Times New Roman" w:cs="Times New Roman"/>
        </w:rPr>
        <w:t xml:space="preserve"> and retention rates</w:t>
      </w:r>
      <w:r w:rsidR="00AF7EDA">
        <w:rPr>
          <w:rFonts w:ascii="Times New Roman" w:hAnsi="Times New Roman" w:cs="Times New Roman"/>
        </w:rPr>
        <w:t xml:space="preserve"> all over the past four years</w:t>
      </w:r>
      <w:r w:rsidR="006176DE">
        <w:rPr>
          <w:rFonts w:ascii="Times New Roman" w:hAnsi="Times New Roman" w:cs="Times New Roman"/>
        </w:rPr>
        <w:t xml:space="preserve">, I find that teams of female athletes will have higher APR scores, rates of eligibility, and rates of retention.  The average APR score for female teams (984.7) was over 11 points higher than the average for male teams (973.0).  I will now turn to look at the differences in academic outcomes between “revenue sports” and “non-revenue sports.”  There are often three collegiate teams at universities that bring in substantial revenue to the school through ticket sales, merchandise sales, and money from contracts on broadcasting the games on television.  These sports are football and men’s and women’s basketball.  In testing the difference of academic outcomes between teams that are in this revenue sport category and teams that are not considered a part of this group, it was found that non-revenue sports were found to have significantly higher averages of APR scores, retention rates, and </w:t>
      </w:r>
      <w:r w:rsidR="000361E2">
        <w:rPr>
          <w:rFonts w:ascii="Times New Roman" w:hAnsi="Times New Roman" w:cs="Times New Roman"/>
        </w:rPr>
        <w:t xml:space="preserve">eligibility rates.  Non-revenue sports have an average APR score over the past four years of 981.8 while revenue sports have average scores of 965.4.  While these average scores are above the 930-point threshold to avoid punishment, it is still found that revenue sports and male teams have lower rates of eligibility and retention meaning there are some athletes on these teams who are having negative academic outcomes.  As an administrator looking at these differences, I would try to direct more academic resources to these teams so that male teams and revenue sports can raise their eligibility and retention rates.  </w:t>
      </w:r>
    </w:p>
    <w:p w14:paraId="00750386" w14:textId="3B574255" w:rsidR="00EA0737" w:rsidRDefault="000361E2" w:rsidP="00686D20">
      <w:pPr>
        <w:spacing w:line="480" w:lineRule="auto"/>
        <w:ind w:firstLine="720"/>
        <w:rPr>
          <w:rFonts w:ascii="Times New Roman" w:hAnsi="Times New Roman" w:cs="Times New Roman"/>
        </w:rPr>
      </w:pPr>
      <w:r>
        <w:rPr>
          <w:rFonts w:ascii="Times New Roman" w:hAnsi="Times New Roman" w:cs="Times New Roman"/>
        </w:rPr>
        <w:t>I was also interested in examining if there were any effects of when the sport is in season on academic outcomes.  Conducting pairwise t-tests between sports who compete only in the fall semester, only in the spring semester, and the sports who compete during the “winter season” which spans both semesters</w:t>
      </w:r>
      <w:r w:rsidR="00786F71">
        <w:rPr>
          <w:rFonts w:ascii="Times New Roman" w:hAnsi="Times New Roman" w:cs="Times New Roman"/>
        </w:rPr>
        <w:t xml:space="preserve"> (Burrell)</w:t>
      </w:r>
      <w:r>
        <w:rPr>
          <w:rFonts w:ascii="Times New Roman" w:hAnsi="Times New Roman" w:cs="Times New Roman"/>
        </w:rPr>
        <w:t>, I found that there were significant differences in academic outcomes.  From pairwise t-test results</w:t>
      </w:r>
      <w:r w:rsidR="00CC1C20">
        <w:rPr>
          <w:rFonts w:ascii="Times New Roman" w:hAnsi="Times New Roman" w:cs="Times New Roman"/>
        </w:rPr>
        <w:t xml:space="preserve"> using Bonferroni adjusted p-values, it was determined that APR scores and eligibility rates of sports that are played in the spring are expected to be significantly higher than those measures of sports played in the fall and winter.  There was not a significant difference between fall and spring sports’ retention rates,</w:t>
      </w:r>
      <w:r w:rsidR="00214014">
        <w:rPr>
          <w:rFonts w:ascii="Times New Roman" w:hAnsi="Times New Roman" w:cs="Times New Roman"/>
        </w:rPr>
        <w:t xml:space="preserve"> but fall and spring sports both </w:t>
      </w:r>
      <w:r w:rsidR="00CC1C20">
        <w:rPr>
          <w:rFonts w:ascii="Times New Roman" w:hAnsi="Times New Roman" w:cs="Times New Roman"/>
        </w:rPr>
        <w:t xml:space="preserve">had significantly higher measures of eligibility, retention, and APR scores than those sports played in the winter season that spans both semesters.  Winter season sports, which begin in the fall semester and end in the spring semester, have significantly lower academic measures than their counterparts who play their entire season in one semester.  This indicates that student-athletes who are playing these winter sports are negatively affected by having the rigors of their season affect two semesters and do not have a semester where they do not need to practice, play, and travel to games.  These results show </w:t>
      </w:r>
      <w:r w:rsidR="00822C57">
        <w:rPr>
          <w:rFonts w:ascii="Times New Roman" w:hAnsi="Times New Roman" w:cs="Times New Roman"/>
        </w:rPr>
        <w:t xml:space="preserve">winter sports teams need to have more academic resources and options, such as summer classes, </w:t>
      </w:r>
      <w:r w:rsidR="00CC1C20">
        <w:rPr>
          <w:rFonts w:ascii="Times New Roman" w:hAnsi="Times New Roman" w:cs="Times New Roman"/>
        </w:rPr>
        <w:t>in order to raise the</w:t>
      </w:r>
      <w:r w:rsidR="00822C57">
        <w:rPr>
          <w:rFonts w:ascii="Times New Roman" w:hAnsi="Times New Roman" w:cs="Times New Roman"/>
        </w:rPr>
        <w:t>ir academic outcomes because both semesters are affected by having their sport in season.</w:t>
      </w:r>
      <w:r w:rsidR="00EA0737">
        <w:rPr>
          <w:rFonts w:ascii="Times New Roman" w:hAnsi="Times New Roman" w:cs="Times New Roman"/>
        </w:rPr>
        <w:t xml:space="preserve">  The differences in APR scores across sports by season can be seen in the boxplot below.</w:t>
      </w:r>
    </w:p>
    <w:p w14:paraId="50B34857" w14:textId="2971C015" w:rsidR="00EA0737" w:rsidRDefault="00EA0737" w:rsidP="00EA0737">
      <w:pPr>
        <w:spacing w:line="480" w:lineRule="auto"/>
        <w:ind w:firstLine="720"/>
        <w:jc w:val="center"/>
        <w:rPr>
          <w:rFonts w:ascii="Times New Roman" w:hAnsi="Times New Roman" w:cs="Times New Roman"/>
        </w:rPr>
      </w:pPr>
      <w:r>
        <w:rPr>
          <w:rFonts w:ascii="Times New Roman" w:hAnsi="Times New Roman" w:cs="Times New Roman"/>
          <w:noProof/>
        </w:rPr>
        <w:drawing>
          <wp:inline distT="0" distB="0" distL="0" distR="0" wp14:anchorId="0BE2B20F" wp14:editId="56B75098">
            <wp:extent cx="4894580" cy="4000500"/>
            <wp:effectExtent l="0" t="0" r="762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erage APR Score by Season Boxplot.pdf"/>
                    <pic:cNvPicPr/>
                  </pic:nvPicPr>
                  <pic:blipFill>
                    <a:blip r:embed="rId14">
                      <a:extLst>
                        <a:ext uri="{28A0092B-C50C-407E-A947-70E740481C1C}">
                          <a14:useLocalDpi xmlns:a14="http://schemas.microsoft.com/office/drawing/2010/main" val="0"/>
                        </a:ext>
                      </a:extLst>
                    </a:blip>
                    <a:stretch>
                      <a:fillRect/>
                    </a:stretch>
                  </pic:blipFill>
                  <pic:spPr>
                    <a:xfrm>
                      <a:off x="0" y="0"/>
                      <a:ext cx="4896419" cy="4002003"/>
                    </a:xfrm>
                    <a:prstGeom prst="rect">
                      <a:avLst/>
                    </a:prstGeom>
                  </pic:spPr>
                </pic:pic>
              </a:graphicData>
            </a:graphic>
          </wp:inline>
        </w:drawing>
      </w:r>
    </w:p>
    <w:p w14:paraId="08E99A98" w14:textId="0B64067B" w:rsidR="00686D20" w:rsidRDefault="00686D20" w:rsidP="00686D20">
      <w:pPr>
        <w:spacing w:line="480" w:lineRule="auto"/>
        <w:ind w:firstLine="720"/>
        <w:rPr>
          <w:rFonts w:ascii="Times New Roman" w:hAnsi="Times New Roman" w:cs="Times New Roman"/>
        </w:rPr>
      </w:pPr>
      <w:r>
        <w:rPr>
          <w:rFonts w:ascii="Times New Roman" w:hAnsi="Times New Roman" w:cs="Times New Roman"/>
        </w:rPr>
        <w:t xml:space="preserve">  To finish this section on t-tests,</w:t>
      </w:r>
      <w:r w:rsidR="00822C57">
        <w:rPr>
          <w:rFonts w:ascii="Times New Roman" w:hAnsi="Times New Roman" w:cs="Times New Roman"/>
        </w:rPr>
        <w:t xml:space="preserve"> the differences between </w:t>
      </w:r>
      <w:r w:rsidR="004A22A5">
        <w:rPr>
          <w:rFonts w:ascii="Times New Roman" w:hAnsi="Times New Roman" w:cs="Times New Roman"/>
        </w:rPr>
        <w:t>public and private schools</w:t>
      </w:r>
      <w:r>
        <w:rPr>
          <w:rFonts w:ascii="Times New Roman" w:hAnsi="Times New Roman" w:cs="Times New Roman"/>
        </w:rPr>
        <w:t xml:space="preserve"> were looked at and </w:t>
      </w:r>
      <w:r w:rsidR="004A22A5">
        <w:rPr>
          <w:rFonts w:ascii="Times New Roman" w:hAnsi="Times New Roman" w:cs="Times New Roman"/>
        </w:rPr>
        <w:t xml:space="preserve">it was found that </w:t>
      </w:r>
      <w:r>
        <w:rPr>
          <w:rFonts w:ascii="Times New Roman" w:hAnsi="Times New Roman" w:cs="Times New Roman"/>
        </w:rPr>
        <w:t>private schools had significantly higher academic measures than the outcomes of public schools.  Private schools</w:t>
      </w:r>
      <w:r w:rsidR="00101055">
        <w:rPr>
          <w:rFonts w:ascii="Times New Roman" w:hAnsi="Times New Roman" w:cs="Times New Roman"/>
        </w:rPr>
        <w:t>’ teams</w:t>
      </w:r>
      <w:r>
        <w:rPr>
          <w:rFonts w:ascii="Times New Roman" w:hAnsi="Times New Roman" w:cs="Times New Roman"/>
        </w:rPr>
        <w:t xml:space="preserve"> averaged APR scores close to ten points higher than the scores of </w:t>
      </w:r>
      <w:r w:rsidR="00101055">
        <w:rPr>
          <w:rFonts w:ascii="Times New Roman" w:hAnsi="Times New Roman" w:cs="Times New Roman"/>
        </w:rPr>
        <w:t xml:space="preserve">teams from </w:t>
      </w:r>
      <w:r>
        <w:rPr>
          <w:rFonts w:ascii="Times New Roman" w:hAnsi="Times New Roman" w:cs="Times New Roman"/>
        </w:rPr>
        <w:t>public schools.  While this is an expected result, I was unsure what the magnitude of this difference would be.  The above t-test results were very informative on the differences that exist between academic outcomes on measurable and observable characteristics.  These results will be used to build regression models that will be discussed in the following section.  These regression models will help show how there are disparities that exist between groups of schools and the academic outcomes for their student-athletes.</w:t>
      </w:r>
    </w:p>
    <w:p w14:paraId="7FBB2C19" w14:textId="48FDA9BF" w:rsidR="00B317D2" w:rsidRDefault="00686D20" w:rsidP="00686D20">
      <w:pPr>
        <w:spacing w:line="480" w:lineRule="auto"/>
        <w:ind w:firstLine="720"/>
        <w:rPr>
          <w:rFonts w:ascii="Times New Roman" w:hAnsi="Times New Roman" w:cs="Times New Roman"/>
        </w:rPr>
      </w:pPr>
      <w:r>
        <w:rPr>
          <w:rFonts w:ascii="Times New Roman" w:hAnsi="Times New Roman" w:cs="Times New Roman"/>
        </w:rPr>
        <w:t xml:space="preserve">One of the largest topics of discussion in college athletics that influences schools’ </w:t>
      </w:r>
      <w:r w:rsidR="00A254AC">
        <w:rPr>
          <w:rFonts w:ascii="Times New Roman" w:hAnsi="Times New Roman" w:cs="Times New Roman"/>
        </w:rPr>
        <w:t>administrators’</w:t>
      </w:r>
      <w:r>
        <w:rPr>
          <w:rFonts w:ascii="Times New Roman" w:hAnsi="Times New Roman" w:cs="Times New Roman"/>
        </w:rPr>
        <w:t xml:space="preserve"> decisions and </w:t>
      </w:r>
      <w:r w:rsidR="00A254AC">
        <w:rPr>
          <w:rFonts w:ascii="Times New Roman" w:hAnsi="Times New Roman" w:cs="Times New Roman"/>
        </w:rPr>
        <w:t>education policies is that of which other schools to align with.  In college athletics, teams join conferences of similar schools that share certain characteristics, academic standings, and geography.  However, a recent trend in collegiate athletics has been for schools to change conferences trying to climb the ladder and join conferences that will provide more lucrative payouts in television and media contracts.</w:t>
      </w:r>
      <w:r w:rsidR="00B06264">
        <w:rPr>
          <w:rFonts w:ascii="Times New Roman" w:hAnsi="Times New Roman" w:cs="Times New Roman"/>
        </w:rPr>
        <w:t xml:space="preserve">  </w:t>
      </w:r>
      <w:r w:rsidR="000A4F7F">
        <w:rPr>
          <w:rFonts w:ascii="Times New Roman" w:hAnsi="Times New Roman" w:cs="Times New Roman"/>
        </w:rPr>
        <w:t>While schools look to escalate their standing in the sports landscape by jumping to new conferences, this movement is not always what is best for the student-athletes.  Often when teams join new conferences, the geographic fit is not the same and thus during the season, teams will need to travel further from campus f</w:t>
      </w:r>
      <w:r w:rsidR="00B90752">
        <w:rPr>
          <w:rFonts w:ascii="Times New Roman" w:hAnsi="Times New Roman" w:cs="Times New Roman"/>
        </w:rPr>
        <w:t>or longer stretches of time.  An example of this is the University of Connecticut’s athletic teams.  UConn used to compete in the Big East Conference that was made up of schools in New York, Rhode Island, New Jersey</w:t>
      </w:r>
      <w:r w:rsidR="00EC292B">
        <w:rPr>
          <w:rFonts w:ascii="Times New Roman" w:hAnsi="Times New Roman" w:cs="Times New Roman"/>
        </w:rPr>
        <w:t>, and Pennsylvania.  However</w:t>
      </w:r>
      <w:r w:rsidR="00B90752">
        <w:rPr>
          <w:rFonts w:ascii="Times New Roman" w:hAnsi="Times New Roman" w:cs="Times New Roman"/>
        </w:rPr>
        <w:t>, UConn’s teams now compete in the American Athletic Conferen</w:t>
      </w:r>
      <w:r w:rsidR="00E93F57">
        <w:rPr>
          <w:rFonts w:ascii="Times New Roman" w:hAnsi="Times New Roman" w:cs="Times New Roman"/>
        </w:rPr>
        <w:t xml:space="preserve">ce that has these teams </w:t>
      </w:r>
      <w:r w:rsidR="00B90752">
        <w:rPr>
          <w:rFonts w:ascii="Times New Roman" w:hAnsi="Times New Roman" w:cs="Times New Roman"/>
        </w:rPr>
        <w:t xml:space="preserve">routinely travel to Texas, Oklahoma, </w:t>
      </w:r>
      <w:r w:rsidR="005223D2">
        <w:rPr>
          <w:rFonts w:ascii="Times New Roman" w:hAnsi="Times New Roman" w:cs="Times New Roman"/>
        </w:rPr>
        <w:t xml:space="preserve">Louisiana, Kansas, and Florida.  </w:t>
      </w:r>
      <w:r w:rsidR="000A4F7F">
        <w:rPr>
          <w:rFonts w:ascii="Times New Roman" w:hAnsi="Times New Roman" w:cs="Times New Roman"/>
        </w:rPr>
        <w:t xml:space="preserve">I am hypothesizing that this effect of more rigorous travel </w:t>
      </w:r>
      <w:r w:rsidR="00B90752">
        <w:rPr>
          <w:rFonts w:ascii="Times New Roman" w:hAnsi="Times New Roman" w:cs="Times New Roman"/>
        </w:rPr>
        <w:t xml:space="preserve">due to changing conferences </w:t>
      </w:r>
      <w:r w:rsidR="000A4F7F">
        <w:rPr>
          <w:rFonts w:ascii="Times New Roman" w:hAnsi="Times New Roman" w:cs="Times New Roman"/>
        </w:rPr>
        <w:t>will have a negative effect on APR scores, eligibility rates, and retention rates as student-athletes are away</w:t>
      </w:r>
      <w:r w:rsidR="00B90752">
        <w:rPr>
          <w:rFonts w:ascii="Times New Roman" w:hAnsi="Times New Roman" w:cs="Times New Roman"/>
        </w:rPr>
        <w:t xml:space="preserve"> from campus and missing class</w:t>
      </w:r>
      <w:r w:rsidR="00214014">
        <w:rPr>
          <w:rFonts w:ascii="Times New Roman" w:hAnsi="Times New Roman" w:cs="Times New Roman"/>
        </w:rPr>
        <w:t xml:space="preserve"> for an extended period</w:t>
      </w:r>
      <w:r w:rsidR="00CF11A2">
        <w:rPr>
          <w:rFonts w:ascii="Times New Roman" w:hAnsi="Times New Roman" w:cs="Times New Roman"/>
        </w:rPr>
        <w:t xml:space="preserve"> of time</w:t>
      </w:r>
      <w:r w:rsidR="00B90752">
        <w:rPr>
          <w:rFonts w:ascii="Times New Roman" w:hAnsi="Times New Roman" w:cs="Times New Roman"/>
        </w:rPr>
        <w:t>.  To estimate this effect, I needed to create a dummy variable that equaled one if a school changed athletic conferences</w:t>
      </w:r>
      <w:r w:rsidR="005223D2">
        <w:rPr>
          <w:rFonts w:ascii="Times New Roman" w:hAnsi="Times New Roman" w:cs="Times New Roman"/>
        </w:rPr>
        <w:t xml:space="preserve"> since 20</w:t>
      </w:r>
      <w:r w:rsidR="00E93F57">
        <w:rPr>
          <w:rFonts w:ascii="Times New Roman" w:hAnsi="Times New Roman" w:cs="Times New Roman"/>
        </w:rPr>
        <w:t>04</w:t>
      </w:r>
      <w:r w:rsidR="00D31CCA">
        <w:rPr>
          <w:rFonts w:ascii="Times New Roman" w:hAnsi="Times New Roman" w:cs="Times New Roman"/>
        </w:rPr>
        <w:t>.  From creating this indicator variable, it was shown that 128 schools out of the 385 in the dataset changed conferences and this affected 1908 teams.  This creates a treatment group of 1908 observations and a control group</w:t>
      </w:r>
      <w:r w:rsidR="00CE6C21">
        <w:rPr>
          <w:rFonts w:ascii="Times New Roman" w:hAnsi="Times New Roman" w:cs="Times New Roman"/>
        </w:rPr>
        <w:t xml:space="preserve"> of 4603 observations.  The analysis is started</w:t>
      </w:r>
      <w:r w:rsidR="005223D2">
        <w:rPr>
          <w:rFonts w:ascii="Times New Roman" w:hAnsi="Times New Roman" w:cs="Times New Roman"/>
        </w:rPr>
        <w:t xml:space="preserve"> with simple linear regressions regressing the latest four-year academic measures of APR score, eligibility rates, and retention rates on the dummy variable of whether a school changed conferences or not.  These simple linear regressions reported results indicating that there was a statistically significant negative impact on all three of these academic success measures</w:t>
      </w:r>
      <w:r w:rsidR="000A4F7F">
        <w:rPr>
          <w:rFonts w:ascii="Times New Roman" w:hAnsi="Times New Roman" w:cs="Times New Roman"/>
        </w:rPr>
        <w:t xml:space="preserve"> </w:t>
      </w:r>
      <w:r w:rsidR="005223D2">
        <w:rPr>
          <w:rFonts w:ascii="Times New Roman" w:hAnsi="Times New Roman" w:cs="Times New Roman"/>
        </w:rPr>
        <w:t>for schools that had changed conferences</w:t>
      </w:r>
      <w:r w:rsidR="003F6FA4">
        <w:rPr>
          <w:rFonts w:ascii="Times New Roman" w:hAnsi="Times New Roman" w:cs="Times New Roman"/>
        </w:rPr>
        <w:t>.</w:t>
      </w:r>
      <w:r w:rsidR="000339D4">
        <w:rPr>
          <w:rFonts w:ascii="Times New Roman" w:hAnsi="Times New Roman" w:cs="Times New Roman"/>
        </w:rPr>
        <w:t xml:space="preserve">  From the simple linear regression model estimating the impact of conference change on APR scores, there was an estimated negative impact of 1.7173.  This estimate shows that relative to schools that did not change co</w:t>
      </w:r>
      <w:r w:rsidR="006A59BF">
        <w:rPr>
          <w:rFonts w:ascii="Times New Roman" w:hAnsi="Times New Roman" w:cs="Times New Roman"/>
        </w:rPr>
        <w:t>nferences, schools that did had</w:t>
      </w:r>
      <w:r w:rsidR="000339D4">
        <w:rPr>
          <w:rFonts w:ascii="Times New Roman" w:hAnsi="Times New Roman" w:cs="Times New Roman"/>
        </w:rPr>
        <w:t xml:space="preserve"> a four year APR score from the 2011 season to the 2014 season 1.7173 points lower.  The p-value on this estimate was 0.00107, showing that this estimate is significant at the 99% confidence level.  In addition, the estimated effects of a school changing conferences on their eligibility rates and retention rates over the past four years were also statistically significant at the 99% level both with p-values that were essentially equal to zero.  The statistically significant effects estimated for the impact on eligibility rates (-0.00325) and on retention rates (-0.00347) showed that relative to schools who did not change conferences, those schools that did had eligibility and retention rates that were lower by 0.3%.  While these estimated effects are small, it is important to note that there is a statistically significant impact on student-athlete academic measures when schools change the conferences that their athletic teams compete in.  </w:t>
      </w:r>
      <w:r w:rsidR="00B317D2">
        <w:rPr>
          <w:rFonts w:ascii="Times New Roman" w:hAnsi="Times New Roman" w:cs="Times New Roman"/>
        </w:rPr>
        <w:t>These models reported R-squared measures that were considerably low, but these models did exhibit that there is a relation between these factors.  The next section will discuss methods to improve the explanatory power of these regression models in order to bolster confidence in these results.</w:t>
      </w:r>
    </w:p>
    <w:p w14:paraId="2D1A0595" w14:textId="7F391E7A" w:rsidR="00F3254F" w:rsidRDefault="00B317D2" w:rsidP="00DE3952">
      <w:pPr>
        <w:spacing w:line="480" w:lineRule="auto"/>
        <w:ind w:firstLine="720"/>
        <w:rPr>
          <w:rFonts w:ascii="Times New Roman" w:hAnsi="Times New Roman" w:cs="Times New Roman"/>
        </w:rPr>
      </w:pPr>
      <w:r>
        <w:rPr>
          <w:rFonts w:ascii="Times New Roman" w:hAnsi="Times New Roman" w:cs="Times New Roman"/>
        </w:rPr>
        <w:t>The simple linear regression models were able to display that there was a</w:t>
      </w:r>
      <w:r w:rsidR="00413626">
        <w:rPr>
          <w:rFonts w:ascii="Times New Roman" w:hAnsi="Times New Roman" w:cs="Times New Roman"/>
        </w:rPr>
        <w:t xml:space="preserve"> negative</w:t>
      </w:r>
      <w:r>
        <w:rPr>
          <w:rFonts w:ascii="Times New Roman" w:hAnsi="Times New Roman" w:cs="Times New Roman"/>
        </w:rPr>
        <w:t xml:space="preserve"> relationship between </w:t>
      </w:r>
      <w:r w:rsidR="00413626">
        <w:rPr>
          <w:rFonts w:ascii="Times New Roman" w:hAnsi="Times New Roman" w:cs="Times New Roman"/>
        </w:rPr>
        <w:t xml:space="preserve">a school changing conference and </w:t>
      </w:r>
      <w:r>
        <w:rPr>
          <w:rFonts w:ascii="Times New Roman" w:hAnsi="Times New Roman" w:cs="Times New Roman"/>
        </w:rPr>
        <w:t>student athletes’ acade</w:t>
      </w:r>
      <w:r w:rsidR="00F3254F">
        <w:rPr>
          <w:rFonts w:ascii="Times New Roman" w:hAnsi="Times New Roman" w:cs="Times New Roman"/>
        </w:rPr>
        <w:t xml:space="preserve">mic measures of APR scores, eligibility rates, and retention rates, but now </w:t>
      </w:r>
      <w:r w:rsidR="00AB09D0">
        <w:rPr>
          <w:rFonts w:ascii="Times New Roman" w:hAnsi="Times New Roman" w:cs="Times New Roman"/>
        </w:rPr>
        <w:t xml:space="preserve">pairwise </w:t>
      </w:r>
      <w:r w:rsidR="00F3254F">
        <w:rPr>
          <w:rFonts w:ascii="Times New Roman" w:hAnsi="Times New Roman" w:cs="Times New Roman"/>
        </w:rPr>
        <w:t>bootstrapped regression will be used to est</w:t>
      </w:r>
      <w:r w:rsidR="00AB09D0">
        <w:rPr>
          <w:rFonts w:ascii="Times New Roman" w:hAnsi="Times New Roman" w:cs="Times New Roman"/>
        </w:rPr>
        <w:t>imate these possible effects.  Pairwise b</w:t>
      </w:r>
      <w:r w:rsidR="00F3254F">
        <w:rPr>
          <w:rFonts w:ascii="Times New Roman" w:hAnsi="Times New Roman" w:cs="Times New Roman"/>
        </w:rPr>
        <w:t>ootstrap sampling regressions were used in order</w:t>
      </w:r>
      <w:r w:rsidR="00DE3952">
        <w:rPr>
          <w:rFonts w:ascii="Times New Roman" w:hAnsi="Times New Roman" w:cs="Times New Roman"/>
        </w:rPr>
        <w:t xml:space="preserve"> to estimate stronger results and reinforce the statistical significance found from the simple linear regressions.  </w:t>
      </w:r>
      <w:r w:rsidR="00F3254F">
        <w:rPr>
          <w:rFonts w:ascii="Times New Roman" w:hAnsi="Times New Roman" w:cs="Times New Roman"/>
        </w:rPr>
        <w:t xml:space="preserve">For each dependent variable, one thousand iterations of a </w:t>
      </w:r>
      <w:r w:rsidR="00AB09D0">
        <w:rPr>
          <w:rFonts w:ascii="Times New Roman" w:hAnsi="Times New Roman" w:cs="Times New Roman"/>
        </w:rPr>
        <w:t xml:space="preserve">pairwise </w:t>
      </w:r>
      <w:r w:rsidR="00F3254F">
        <w:rPr>
          <w:rFonts w:ascii="Times New Roman" w:hAnsi="Times New Roman" w:cs="Times New Roman"/>
        </w:rPr>
        <w:t xml:space="preserve">bootstrap sampled simple linear regression on the conference change dummy was conducted and the estimated results </w:t>
      </w:r>
      <w:r w:rsidR="00AB09D0">
        <w:rPr>
          <w:rFonts w:ascii="Times New Roman" w:hAnsi="Times New Roman" w:cs="Times New Roman"/>
        </w:rPr>
        <w:t xml:space="preserve">reinforced confidence in the statistical significance of the impact of changing conferences on student athlete academic outcomes.  For the bootstrapped regressions for APR scores, the estimated effect </w:t>
      </w:r>
      <w:r w:rsidR="00480BAE">
        <w:rPr>
          <w:rFonts w:ascii="Times New Roman" w:hAnsi="Times New Roman" w:cs="Times New Roman"/>
        </w:rPr>
        <w:t>of changing conferences dropping</w:t>
      </w:r>
      <w:r w:rsidR="00AB09D0">
        <w:rPr>
          <w:rFonts w:ascii="Times New Roman" w:hAnsi="Times New Roman" w:cs="Times New Roman"/>
        </w:rPr>
        <w:t xml:space="preserve"> expected APR scores over the latest </w:t>
      </w:r>
      <w:r w:rsidR="00475A2F">
        <w:rPr>
          <w:rFonts w:ascii="Times New Roman" w:hAnsi="Times New Roman" w:cs="Times New Roman"/>
        </w:rPr>
        <w:t>four-year</w:t>
      </w:r>
      <w:r w:rsidR="00E25C81">
        <w:rPr>
          <w:rFonts w:ascii="Times New Roman" w:hAnsi="Times New Roman" w:cs="Times New Roman"/>
        </w:rPr>
        <w:t xml:space="preserve"> </w:t>
      </w:r>
      <w:r w:rsidR="00AB09D0">
        <w:rPr>
          <w:rFonts w:ascii="Times New Roman" w:hAnsi="Times New Roman" w:cs="Times New Roman"/>
        </w:rPr>
        <w:t>period</w:t>
      </w:r>
      <w:r w:rsidR="00E25C81">
        <w:rPr>
          <w:rFonts w:ascii="Times New Roman" w:hAnsi="Times New Roman" w:cs="Times New Roman"/>
        </w:rPr>
        <w:t xml:space="preserve"> of</w:t>
      </w:r>
      <w:r w:rsidR="00AB09D0">
        <w:rPr>
          <w:rFonts w:ascii="Times New Roman" w:hAnsi="Times New Roman" w:cs="Times New Roman"/>
        </w:rPr>
        <w:t xml:space="preserve"> 1.717 points matched the result found from the simple linear regressions.  More importantly, the estimated t-stat from this bootstrap model was -3.194, which exceeded the estimated </w:t>
      </w:r>
      <w:r w:rsidR="0044161E">
        <w:rPr>
          <w:rFonts w:ascii="Times New Roman" w:hAnsi="Times New Roman" w:cs="Times New Roman"/>
        </w:rPr>
        <w:t xml:space="preserve">95% confidence level </w:t>
      </w:r>
      <w:r w:rsidR="00AB09D0">
        <w:rPr>
          <w:rFonts w:ascii="Times New Roman" w:hAnsi="Times New Roman" w:cs="Times New Roman"/>
        </w:rPr>
        <w:t>critical values of -2.178 and 2.017</w:t>
      </w:r>
      <w:r w:rsidR="00480BAE">
        <w:rPr>
          <w:rFonts w:ascii="Times New Roman" w:hAnsi="Times New Roman" w:cs="Times New Roman"/>
        </w:rPr>
        <w:t xml:space="preserve"> found by the bootstrap method</w:t>
      </w:r>
      <w:r w:rsidR="00AB09D0">
        <w:rPr>
          <w:rFonts w:ascii="Times New Roman" w:hAnsi="Times New Roman" w:cs="Times New Roman"/>
        </w:rPr>
        <w:t xml:space="preserve">.  Additionally, for the bootstrap model for eligibility rates, an estimated effect </w:t>
      </w:r>
      <w:r w:rsidR="0044161E">
        <w:rPr>
          <w:rFonts w:ascii="Times New Roman" w:hAnsi="Times New Roman" w:cs="Times New Roman"/>
        </w:rPr>
        <w:t>of a decrease in eligibility rates of 0.3% for schools that changed conferences relative to those that did not</w:t>
      </w:r>
      <w:r w:rsidR="00413626">
        <w:rPr>
          <w:rFonts w:ascii="Times New Roman" w:hAnsi="Times New Roman" w:cs="Times New Roman"/>
        </w:rPr>
        <w:t xml:space="preserve"> change conferences</w:t>
      </w:r>
      <w:r w:rsidR="0044161E">
        <w:rPr>
          <w:rFonts w:ascii="Times New Roman" w:hAnsi="Times New Roman" w:cs="Times New Roman"/>
        </w:rPr>
        <w:t xml:space="preserve"> matched what was found in the simple linear regression models</w:t>
      </w:r>
      <w:r w:rsidR="002D0244">
        <w:rPr>
          <w:rFonts w:ascii="Times New Roman" w:hAnsi="Times New Roman" w:cs="Times New Roman"/>
        </w:rPr>
        <w:t xml:space="preserve">.  The t-stat on this </w:t>
      </w:r>
      <w:r w:rsidR="0044161E">
        <w:rPr>
          <w:rFonts w:ascii="Times New Roman" w:hAnsi="Times New Roman" w:cs="Times New Roman"/>
        </w:rPr>
        <w:t>estimate was -4.265 that was also well outside of the range set by the bootstrapped 95% level critical values of -2.123 and 1.824.  Likewise, the model for retention rates also estimated lower rates of 0.3% for schools who changed conferences relative to those who did not, again matching the estimate from the simple linear regression models.  The t-stat from this model was -5.04, which was clear of the estimated critical values of -2.192 and 1.984 at the 95% level.  The results from the pairwise bootstrapped regressions adjusted the critical values for confidence at the 95% level, but the t-statisti</w:t>
      </w:r>
      <w:r w:rsidR="00480BAE">
        <w:rPr>
          <w:rFonts w:ascii="Times New Roman" w:hAnsi="Times New Roman" w:cs="Times New Roman"/>
        </w:rPr>
        <w:t>cs from these regressions w</w:t>
      </w:r>
      <w:r w:rsidR="0044161E">
        <w:rPr>
          <w:rFonts w:ascii="Times New Roman" w:hAnsi="Times New Roman" w:cs="Times New Roman"/>
        </w:rPr>
        <w:t>ere outside of these rang</w:t>
      </w:r>
      <w:r w:rsidR="00A245FC">
        <w:rPr>
          <w:rFonts w:ascii="Times New Roman" w:hAnsi="Times New Roman" w:cs="Times New Roman"/>
        </w:rPr>
        <w:t>es reinforcing the statistical</w:t>
      </w:r>
      <w:r w:rsidR="0044161E">
        <w:rPr>
          <w:rFonts w:ascii="Times New Roman" w:hAnsi="Times New Roman" w:cs="Times New Roman"/>
        </w:rPr>
        <w:t xml:space="preserve"> significance of the estimated effects of changing conference</w:t>
      </w:r>
      <w:r w:rsidR="00A245FC">
        <w:rPr>
          <w:rFonts w:ascii="Times New Roman" w:hAnsi="Times New Roman" w:cs="Times New Roman"/>
        </w:rPr>
        <w:t xml:space="preserve"> on student athletes academic measures.  </w:t>
      </w:r>
    </w:p>
    <w:p w14:paraId="2F91DA81" w14:textId="2131424A" w:rsidR="00A245FC" w:rsidRDefault="00A245FC" w:rsidP="00F3254F">
      <w:pPr>
        <w:spacing w:line="480" w:lineRule="auto"/>
        <w:rPr>
          <w:rFonts w:ascii="Times New Roman" w:hAnsi="Times New Roman" w:cs="Times New Roman"/>
        </w:rPr>
      </w:pPr>
      <w:r>
        <w:rPr>
          <w:rFonts w:ascii="Times New Roman" w:hAnsi="Times New Roman" w:cs="Times New Roman"/>
        </w:rPr>
        <w:tab/>
      </w:r>
      <w:r w:rsidR="00B06264">
        <w:rPr>
          <w:rFonts w:ascii="Times New Roman" w:hAnsi="Times New Roman" w:cs="Times New Roman"/>
        </w:rPr>
        <w:t xml:space="preserve">In </w:t>
      </w:r>
      <w:r w:rsidR="00E47149">
        <w:rPr>
          <w:rFonts w:ascii="Times New Roman" w:hAnsi="Times New Roman" w:cs="Times New Roman"/>
        </w:rPr>
        <w:t xml:space="preserve">order to improve the explanatory power of regression models estimating the effect of a school changing conferences on their student athlete’s academic outcomes measured by eligibility rates, retention rates, and the NCAA standard of APR scores, covariates will be added to the models.  The following models will be estimated </w:t>
      </w:r>
      <w:r w:rsidR="006A11F1">
        <w:rPr>
          <w:rFonts w:ascii="Times New Roman" w:hAnsi="Times New Roman" w:cs="Times New Roman"/>
        </w:rPr>
        <w:t>to see how the impact of a school’s new conference affiliation has on their student athlete’s academic outcomes:</w:t>
      </w:r>
    </w:p>
    <w:p w14:paraId="42B40D4B" w14:textId="33D29524" w:rsidR="00D31CCA" w:rsidRPr="00CD66FE" w:rsidRDefault="00D31CCA" w:rsidP="00CD66FE">
      <w:pPr>
        <w:pStyle w:val="ListParagraph"/>
        <w:numPr>
          <w:ilvl w:val="0"/>
          <w:numId w:val="2"/>
        </w:numPr>
        <w:rPr>
          <w:rFonts w:ascii="Times New Roman" w:hAnsi="Times New Roman" w:cs="Times New Roman"/>
        </w:rPr>
      </w:pPr>
      <w:r w:rsidRPr="00CD66FE">
        <w:rPr>
          <w:rFonts w:ascii="Times New Roman" w:hAnsi="Times New Roman" w:cs="Times New Roman"/>
        </w:rPr>
        <w:t xml:space="preserve">Four year APR Score =  B0 + B1(Conference Change Indicator) + B2(Private) + </w:t>
      </w:r>
      <w:r w:rsidR="00AA3F59" w:rsidRPr="00CD66FE">
        <w:rPr>
          <w:rFonts w:ascii="Times New Roman" w:hAnsi="Times New Roman" w:cs="Times New Roman"/>
        </w:rPr>
        <w:t>B3(Sport)</w:t>
      </w:r>
      <w:r w:rsidRPr="00CD66FE">
        <w:rPr>
          <w:rFonts w:ascii="Times New Roman" w:hAnsi="Times New Roman" w:cs="Times New Roman"/>
        </w:rPr>
        <w:t xml:space="preserve"> + </w:t>
      </w:r>
      <w:r w:rsidR="00AA3F59" w:rsidRPr="00CD66FE">
        <w:rPr>
          <w:rFonts w:ascii="Times New Roman" w:hAnsi="Times New Roman" w:cs="Times New Roman"/>
        </w:rPr>
        <w:t>B4(Athletes)</w:t>
      </w:r>
      <w:r w:rsidRPr="00CD66FE">
        <w:rPr>
          <w:rFonts w:ascii="Times New Roman" w:hAnsi="Times New Roman" w:cs="Times New Roman"/>
        </w:rPr>
        <w:t xml:space="preserve"> + </w:t>
      </w:r>
      <w:r w:rsidR="00AA3F59" w:rsidRPr="00CD66FE">
        <w:rPr>
          <w:rFonts w:ascii="Times New Roman" w:hAnsi="Times New Roman" w:cs="Times New Roman"/>
        </w:rPr>
        <w:t>B5(Conference)</w:t>
      </w:r>
    </w:p>
    <w:p w14:paraId="3CBC79A2" w14:textId="77777777" w:rsidR="00CD66FE" w:rsidRDefault="00CD66FE" w:rsidP="00CD66FE">
      <w:pPr>
        <w:rPr>
          <w:rFonts w:ascii="Times New Roman" w:hAnsi="Times New Roman" w:cs="Times New Roman"/>
        </w:rPr>
      </w:pPr>
    </w:p>
    <w:p w14:paraId="3F0CF0C0" w14:textId="1701957C" w:rsidR="00AA3F59" w:rsidRPr="00CD66FE" w:rsidRDefault="00AA3F59" w:rsidP="00CD66FE">
      <w:pPr>
        <w:pStyle w:val="ListParagraph"/>
        <w:numPr>
          <w:ilvl w:val="0"/>
          <w:numId w:val="2"/>
        </w:numPr>
        <w:rPr>
          <w:rFonts w:ascii="Times New Roman" w:hAnsi="Times New Roman" w:cs="Times New Roman"/>
        </w:rPr>
      </w:pPr>
      <w:r w:rsidRPr="00CD66FE">
        <w:rPr>
          <w:rFonts w:ascii="Times New Roman" w:hAnsi="Times New Roman" w:cs="Times New Roman"/>
        </w:rPr>
        <w:t>Four Year Eligibility Rates</w:t>
      </w:r>
      <w:r w:rsidR="00D31CCA" w:rsidRPr="00CD66FE">
        <w:rPr>
          <w:rFonts w:ascii="Times New Roman" w:hAnsi="Times New Roman" w:cs="Times New Roman"/>
        </w:rPr>
        <w:t xml:space="preserve"> =</w:t>
      </w:r>
      <w:r w:rsidRPr="00CD66FE">
        <w:rPr>
          <w:rFonts w:ascii="Times New Roman" w:hAnsi="Times New Roman" w:cs="Times New Roman"/>
        </w:rPr>
        <w:t xml:space="preserve"> B0 + B1(Conference Change Indicator) + B2(Private) + B3(Sport) + B4(Athletes) + B5(Conference)</w:t>
      </w:r>
    </w:p>
    <w:p w14:paraId="056C0F4E" w14:textId="77777777" w:rsidR="00AA3F59" w:rsidRDefault="00AA3F59" w:rsidP="00AA3F59">
      <w:pPr>
        <w:pStyle w:val="ListParagraph"/>
        <w:rPr>
          <w:rFonts w:ascii="Times New Roman" w:hAnsi="Times New Roman" w:cs="Times New Roman"/>
        </w:rPr>
      </w:pPr>
    </w:p>
    <w:p w14:paraId="24879D9D" w14:textId="4AFDCB46" w:rsidR="00D31CCA" w:rsidRDefault="00AA3F59" w:rsidP="00CD66FE">
      <w:pPr>
        <w:pStyle w:val="ListParagraph"/>
        <w:numPr>
          <w:ilvl w:val="0"/>
          <w:numId w:val="2"/>
        </w:numPr>
        <w:rPr>
          <w:rFonts w:ascii="Times New Roman" w:hAnsi="Times New Roman" w:cs="Times New Roman"/>
        </w:rPr>
      </w:pPr>
      <w:r>
        <w:rPr>
          <w:rFonts w:ascii="Times New Roman" w:hAnsi="Times New Roman" w:cs="Times New Roman"/>
        </w:rPr>
        <w:t>Four Year Retention Rates = B0 + B1(Conference Change Indicator)</w:t>
      </w:r>
      <w:r w:rsidRPr="00D31CCA">
        <w:rPr>
          <w:rFonts w:ascii="Times New Roman" w:hAnsi="Times New Roman" w:cs="Times New Roman"/>
        </w:rPr>
        <w:t xml:space="preserve"> +</w:t>
      </w:r>
      <w:r>
        <w:rPr>
          <w:rFonts w:ascii="Times New Roman" w:hAnsi="Times New Roman" w:cs="Times New Roman"/>
        </w:rPr>
        <w:t xml:space="preserve"> B2(Private) </w:t>
      </w:r>
      <w:r w:rsidRPr="00D31CCA">
        <w:rPr>
          <w:rFonts w:ascii="Times New Roman" w:hAnsi="Times New Roman" w:cs="Times New Roman"/>
        </w:rPr>
        <w:t xml:space="preserve">+ </w:t>
      </w:r>
      <w:r>
        <w:rPr>
          <w:rFonts w:ascii="Times New Roman" w:hAnsi="Times New Roman" w:cs="Times New Roman"/>
        </w:rPr>
        <w:t>B3(Sport)</w:t>
      </w:r>
      <w:r w:rsidRPr="00D31CCA">
        <w:rPr>
          <w:rFonts w:ascii="Times New Roman" w:hAnsi="Times New Roman" w:cs="Times New Roman"/>
        </w:rPr>
        <w:t xml:space="preserve"> + </w:t>
      </w:r>
      <w:r>
        <w:rPr>
          <w:rFonts w:ascii="Times New Roman" w:hAnsi="Times New Roman" w:cs="Times New Roman"/>
        </w:rPr>
        <w:t>B4(Athletes)</w:t>
      </w:r>
      <w:r w:rsidRPr="00D31CCA">
        <w:rPr>
          <w:rFonts w:ascii="Times New Roman" w:hAnsi="Times New Roman" w:cs="Times New Roman"/>
        </w:rPr>
        <w:t xml:space="preserve"> + </w:t>
      </w:r>
      <w:r>
        <w:rPr>
          <w:rFonts w:ascii="Times New Roman" w:hAnsi="Times New Roman" w:cs="Times New Roman"/>
        </w:rPr>
        <w:t>B5(Conference)</w:t>
      </w:r>
      <w:r w:rsidR="00D31CCA">
        <w:rPr>
          <w:rFonts w:ascii="Times New Roman" w:hAnsi="Times New Roman" w:cs="Times New Roman"/>
        </w:rPr>
        <w:t xml:space="preserve"> </w:t>
      </w:r>
    </w:p>
    <w:p w14:paraId="46D57017" w14:textId="77777777" w:rsidR="00AA3F59" w:rsidRPr="00AA3F59" w:rsidRDefault="00AA3F59" w:rsidP="00AA3F59">
      <w:pPr>
        <w:rPr>
          <w:rFonts w:ascii="Times New Roman" w:hAnsi="Times New Roman" w:cs="Times New Roman"/>
        </w:rPr>
      </w:pPr>
    </w:p>
    <w:p w14:paraId="4B098238" w14:textId="1651EAF1" w:rsidR="00AA3F59" w:rsidRPr="002F4D91" w:rsidRDefault="00B06264" w:rsidP="00CD66FE">
      <w:pPr>
        <w:pStyle w:val="ListParagraph"/>
        <w:numPr>
          <w:ilvl w:val="0"/>
          <w:numId w:val="2"/>
        </w:numPr>
        <w:rPr>
          <w:rFonts w:ascii="Times New Roman" w:hAnsi="Times New Roman" w:cs="Times New Roman"/>
        </w:rPr>
      </w:pPr>
      <w:r>
        <w:rPr>
          <w:rFonts w:ascii="Times New Roman" w:hAnsi="Times New Roman" w:cs="Times New Roman"/>
        </w:rPr>
        <w:t>Four Y</w:t>
      </w:r>
      <w:r w:rsidR="00AA3F59">
        <w:rPr>
          <w:rFonts w:ascii="Times New Roman" w:hAnsi="Times New Roman" w:cs="Times New Roman"/>
        </w:rPr>
        <w:t>ear APR Score =</w:t>
      </w:r>
      <w:r w:rsidR="002F4D91">
        <w:rPr>
          <w:rFonts w:ascii="Times New Roman" w:hAnsi="Times New Roman" w:cs="Times New Roman"/>
        </w:rPr>
        <w:t xml:space="preserve"> B0 + B1(Conference Change Indicator)</w:t>
      </w:r>
      <w:r w:rsidR="002F4D91" w:rsidRPr="00D31CCA">
        <w:rPr>
          <w:rFonts w:ascii="Times New Roman" w:hAnsi="Times New Roman" w:cs="Times New Roman"/>
        </w:rPr>
        <w:t xml:space="preserve"> +</w:t>
      </w:r>
      <w:r w:rsidR="002F4D91">
        <w:rPr>
          <w:rFonts w:ascii="Times New Roman" w:hAnsi="Times New Roman" w:cs="Times New Roman"/>
        </w:rPr>
        <w:t xml:space="preserve"> B2(Private) </w:t>
      </w:r>
      <w:r w:rsidR="002F4D91" w:rsidRPr="002F4D91">
        <w:rPr>
          <w:rFonts w:ascii="Times New Roman" w:hAnsi="Times New Roman" w:cs="Times New Roman"/>
        </w:rPr>
        <w:t xml:space="preserve">+ </w:t>
      </w:r>
      <w:r w:rsidR="002F4D91">
        <w:rPr>
          <w:rFonts w:ascii="Times New Roman" w:hAnsi="Times New Roman" w:cs="Times New Roman"/>
        </w:rPr>
        <w:t>B3(Sport S</w:t>
      </w:r>
      <w:r w:rsidR="002F4D91" w:rsidRPr="002F4D91">
        <w:rPr>
          <w:rFonts w:ascii="Times New Roman" w:hAnsi="Times New Roman" w:cs="Times New Roman"/>
        </w:rPr>
        <w:t>eason</w:t>
      </w:r>
      <w:r w:rsidR="002F4D91">
        <w:rPr>
          <w:rFonts w:ascii="Times New Roman" w:hAnsi="Times New Roman" w:cs="Times New Roman"/>
        </w:rPr>
        <w:t>)</w:t>
      </w:r>
      <w:r w:rsidR="002F4D91" w:rsidRPr="002F4D91">
        <w:rPr>
          <w:rFonts w:ascii="Times New Roman" w:hAnsi="Times New Roman" w:cs="Times New Roman"/>
        </w:rPr>
        <w:t xml:space="preserve"> + </w:t>
      </w:r>
      <w:r w:rsidR="002F4D91">
        <w:rPr>
          <w:rFonts w:ascii="Times New Roman" w:hAnsi="Times New Roman" w:cs="Times New Roman"/>
        </w:rPr>
        <w:t>B4(G</w:t>
      </w:r>
      <w:r w:rsidR="002F4D91" w:rsidRPr="002F4D91">
        <w:rPr>
          <w:rFonts w:ascii="Times New Roman" w:hAnsi="Times New Roman" w:cs="Times New Roman"/>
        </w:rPr>
        <w:t>ender</w:t>
      </w:r>
      <w:r w:rsidR="002F4D91">
        <w:rPr>
          <w:rFonts w:ascii="Times New Roman" w:hAnsi="Times New Roman" w:cs="Times New Roman"/>
        </w:rPr>
        <w:t>)</w:t>
      </w:r>
      <w:r w:rsidR="002F4D91" w:rsidRPr="002F4D91">
        <w:rPr>
          <w:rFonts w:ascii="Times New Roman" w:hAnsi="Times New Roman" w:cs="Times New Roman"/>
        </w:rPr>
        <w:t xml:space="preserve"> + </w:t>
      </w:r>
      <w:r w:rsidR="002F4D91">
        <w:rPr>
          <w:rFonts w:ascii="Times New Roman" w:hAnsi="Times New Roman" w:cs="Times New Roman"/>
        </w:rPr>
        <w:t>B5(Revenue S</w:t>
      </w:r>
      <w:r w:rsidR="002F4D91" w:rsidRPr="002F4D91">
        <w:rPr>
          <w:rFonts w:ascii="Times New Roman" w:hAnsi="Times New Roman" w:cs="Times New Roman"/>
        </w:rPr>
        <w:t>port</w:t>
      </w:r>
      <w:r w:rsidR="002F4D91">
        <w:rPr>
          <w:rFonts w:ascii="Times New Roman" w:hAnsi="Times New Roman" w:cs="Times New Roman"/>
        </w:rPr>
        <w:t>)</w:t>
      </w:r>
      <w:r w:rsidR="002F4D91" w:rsidRPr="002F4D91">
        <w:rPr>
          <w:rFonts w:ascii="Times New Roman" w:hAnsi="Times New Roman" w:cs="Times New Roman"/>
        </w:rPr>
        <w:t xml:space="preserve"> +</w:t>
      </w:r>
      <w:r w:rsidR="002F4D91">
        <w:rPr>
          <w:rFonts w:ascii="Times New Roman" w:hAnsi="Times New Roman" w:cs="Times New Roman"/>
        </w:rPr>
        <w:t xml:space="preserve"> B6(Athletes)</w:t>
      </w:r>
      <w:r w:rsidR="002F4D91" w:rsidRPr="00D31CCA">
        <w:rPr>
          <w:rFonts w:ascii="Times New Roman" w:hAnsi="Times New Roman" w:cs="Times New Roman"/>
        </w:rPr>
        <w:t xml:space="preserve"> + </w:t>
      </w:r>
      <w:r w:rsidR="002F4D91">
        <w:rPr>
          <w:rFonts w:ascii="Times New Roman" w:hAnsi="Times New Roman" w:cs="Times New Roman"/>
        </w:rPr>
        <w:t>B7(Conference)</w:t>
      </w:r>
      <w:r w:rsidR="002F4D91" w:rsidRPr="002F4D91">
        <w:rPr>
          <w:rFonts w:ascii="Times New Roman" w:hAnsi="Times New Roman" w:cs="Times New Roman"/>
        </w:rPr>
        <w:t xml:space="preserve"> </w:t>
      </w:r>
    </w:p>
    <w:p w14:paraId="482D8F75" w14:textId="77777777" w:rsidR="00AA3F59" w:rsidRPr="00AA3F59" w:rsidRDefault="00AA3F59" w:rsidP="00AA3F59">
      <w:pPr>
        <w:rPr>
          <w:rFonts w:ascii="Times New Roman" w:hAnsi="Times New Roman" w:cs="Times New Roman"/>
        </w:rPr>
      </w:pPr>
    </w:p>
    <w:p w14:paraId="4838DAC5" w14:textId="7C9F63CD" w:rsidR="00AA3F59" w:rsidRDefault="00AA3F59" w:rsidP="00CD66FE">
      <w:pPr>
        <w:pStyle w:val="ListParagraph"/>
        <w:numPr>
          <w:ilvl w:val="0"/>
          <w:numId w:val="2"/>
        </w:numPr>
        <w:rPr>
          <w:rFonts w:ascii="Times New Roman" w:hAnsi="Times New Roman" w:cs="Times New Roman"/>
        </w:rPr>
      </w:pPr>
      <w:r>
        <w:rPr>
          <w:rFonts w:ascii="Times New Roman" w:hAnsi="Times New Roman" w:cs="Times New Roman"/>
        </w:rPr>
        <w:t>Four Year Eligibility Rates =</w:t>
      </w:r>
      <w:r w:rsidR="002F4D91">
        <w:rPr>
          <w:rFonts w:ascii="Times New Roman" w:hAnsi="Times New Roman" w:cs="Times New Roman"/>
        </w:rPr>
        <w:t xml:space="preserve">  B0 + B1(Conference Change Indicator)</w:t>
      </w:r>
      <w:r w:rsidR="002F4D91" w:rsidRPr="00D31CCA">
        <w:rPr>
          <w:rFonts w:ascii="Times New Roman" w:hAnsi="Times New Roman" w:cs="Times New Roman"/>
        </w:rPr>
        <w:t xml:space="preserve"> +</w:t>
      </w:r>
      <w:r w:rsidR="002F4D91">
        <w:rPr>
          <w:rFonts w:ascii="Times New Roman" w:hAnsi="Times New Roman" w:cs="Times New Roman"/>
        </w:rPr>
        <w:t xml:space="preserve"> B2(Private) </w:t>
      </w:r>
      <w:r w:rsidR="002F4D91" w:rsidRPr="002F4D91">
        <w:rPr>
          <w:rFonts w:ascii="Times New Roman" w:hAnsi="Times New Roman" w:cs="Times New Roman"/>
        </w:rPr>
        <w:t xml:space="preserve">+ </w:t>
      </w:r>
      <w:r w:rsidR="002F4D91">
        <w:rPr>
          <w:rFonts w:ascii="Times New Roman" w:hAnsi="Times New Roman" w:cs="Times New Roman"/>
        </w:rPr>
        <w:t>B3(Sport S</w:t>
      </w:r>
      <w:r w:rsidR="002F4D91" w:rsidRPr="002F4D91">
        <w:rPr>
          <w:rFonts w:ascii="Times New Roman" w:hAnsi="Times New Roman" w:cs="Times New Roman"/>
        </w:rPr>
        <w:t>eason</w:t>
      </w:r>
      <w:r w:rsidR="002F4D91">
        <w:rPr>
          <w:rFonts w:ascii="Times New Roman" w:hAnsi="Times New Roman" w:cs="Times New Roman"/>
        </w:rPr>
        <w:t>)</w:t>
      </w:r>
      <w:r w:rsidR="002F4D91" w:rsidRPr="002F4D91">
        <w:rPr>
          <w:rFonts w:ascii="Times New Roman" w:hAnsi="Times New Roman" w:cs="Times New Roman"/>
        </w:rPr>
        <w:t xml:space="preserve"> + </w:t>
      </w:r>
      <w:r w:rsidR="002F4D91">
        <w:rPr>
          <w:rFonts w:ascii="Times New Roman" w:hAnsi="Times New Roman" w:cs="Times New Roman"/>
        </w:rPr>
        <w:t>B4(G</w:t>
      </w:r>
      <w:r w:rsidR="002F4D91" w:rsidRPr="002F4D91">
        <w:rPr>
          <w:rFonts w:ascii="Times New Roman" w:hAnsi="Times New Roman" w:cs="Times New Roman"/>
        </w:rPr>
        <w:t>ender</w:t>
      </w:r>
      <w:r w:rsidR="002F4D91">
        <w:rPr>
          <w:rFonts w:ascii="Times New Roman" w:hAnsi="Times New Roman" w:cs="Times New Roman"/>
        </w:rPr>
        <w:t>)</w:t>
      </w:r>
      <w:r w:rsidR="002F4D91" w:rsidRPr="002F4D91">
        <w:rPr>
          <w:rFonts w:ascii="Times New Roman" w:hAnsi="Times New Roman" w:cs="Times New Roman"/>
        </w:rPr>
        <w:t xml:space="preserve"> + </w:t>
      </w:r>
      <w:r w:rsidR="002F4D91">
        <w:rPr>
          <w:rFonts w:ascii="Times New Roman" w:hAnsi="Times New Roman" w:cs="Times New Roman"/>
        </w:rPr>
        <w:t>B5(Revenue S</w:t>
      </w:r>
      <w:r w:rsidR="002F4D91" w:rsidRPr="002F4D91">
        <w:rPr>
          <w:rFonts w:ascii="Times New Roman" w:hAnsi="Times New Roman" w:cs="Times New Roman"/>
        </w:rPr>
        <w:t>port</w:t>
      </w:r>
      <w:r w:rsidR="002F4D91">
        <w:rPr>
          <w:rFonts w:ascii="Times New Roman" w:hAnsi="Times New Roman" w:cs="Times New Roman"/>
        </w:rPr>
        <w:t>)</w:t>
      </w:r>
      <w:r w:rsidR="002F4D91" w:rsidRPr="002F4D91">
        <w:rPr>
          <w:rFonts w:ascii="Times New Roman" w:hAnsi="Times New Roman" w:cs="Times New Roman"/>
        </w:rPr>
        <w:t xml:space="preserve"> +</w:t>
      </w:r>
      <w:r w:rsidR="002F4D91">
        <w:rPr>
          <w:rFonts w:ascii="Times New Roman" w:hAnsi="Times New Roman" w:cs="Times New Roman"/>
        </w:rPr>
        <w:t xml:space="preserve"> B6(Athletes)</w:t>
      </w:r>
      <w:r w:rsidR="002F4D91" w:rsidRPr="00D31CCA">
        <w:rPr>
          <w:rFonts w:ascii="Times New Roman" w:hAnsi="Times New Roman" w:cs="Times New Roman"/>
        </w:rPr>
        <w:t xml:space="preserve"> + </w:t>
      </w:r>
      <w:r w:rsidR="002F4D91">
        <w:rPr>
          <w:rFonts w:ascii="Times New Roman" w:hAnsi="Times New Roman" w:cs="Times New Roman"/>
        </w:rPr>
        <w:t>B7(Conference)</w:t>
      </w:r>
    </w:p>
    <w:p w14:paraId="28B966B9" w14:textId="77777777" w:rsidR="00AA3F59" w:rsidRPr="00AA3F59" w:rsidRDefault="00AA3F59" w:rsidP="00AA3F59">
      <w:pPr>
        <w:rPr>
          <w:rFonts w:ascii="Times New Roman" w:hAnsi="Times New Roman" w:cs="Times New Roman"/>
        </w:rPr>
      </w:pPr>
    </w:p>
    <w:p w14:paraId="610C1CCA" w14:textId="58639F4D" w:rsidR="00AA3F59" w:rsidRDefault="00AA3F59" w:rsidP="00CD66FE">
      <w:pPr>
        <w:pStyle w:val="ListParagraph"/>
        <w:numPr>
          <w:ilvl w:val="0"/>
          <w:numId w:val="2"/>
        </w:numPr>
        <w:rPr>
          <w:rFonts w:ascii="Times New Roman" w:hAnsi="Times New Roman" w:cs="Times New Roman"/>
        </w:rPr>
      </w:pPr>
      <w:r>
        <w:rPr>
          <w:rFonts w:ascii="Times New Roman" w:hAnsi="Times New Roman" w:cs="Times New Roman"/>
        </w:rPr>
        <w:t>Four Year Retention Rates =</w:t>
      </w:r>
      <w:r w:rsidR="002F4D91">
        <w:rPr>
          <w:rFonts w:ascii="Times New Roman" w:hAnsi="Times New Roman" w:cs="Times New Roman"/>
        </w:rPr>
        <w:t xml:space="preserve"> B0 + B1(Conference Change Indicator)</w:t>
      </w:r>
      <w:r w:rsidR="002F4D91" w:rsidRPr="00D31CCA">
        <w:rPr>
          <w:rFonts w:ascii="Times New Roman" w:hAnsi="Times New Roman" w:cs="Times New Roman"/>
        </w:rPr>
        <w:t xml:space="preserve"> +</w:t>
      </w:r>
      <w:r w:rsidR="002F4D91">
        <w:rPr>
          <w:rFonts w:ascii="Times New Roman" w:hAnsi="Times New Roman" w:cs="Times New Roman"/>
        </w:rPr>
        <w:t xml:space="preserve"> B2(Private) </w:t>
      </w:r>
      <w:r w:rsidR="002F4D91" w:rsidRPr="002F4D91">
        <w:rPr>
          <w:rFonts w:ascii="Times New Roman" w:hAnsi="Times New Roman" w:cs="Times New Roman"/>
        </w:rPr>
        <w:t xml:space="preserve">+ </w:t>
      </w:r>
      <w:r w:rsidR="002F4D91">
        <w:rPr>
          <w:rFonts w:ascii="Times New Roman" w:hAnsi="Times New Roman" w:cs="Times New Roman"/>
        </w:rPr>
        <w:t>B3(Sport S</w:t>
      </w:r>
      <w:r w:rsidR="002F4D91" w:rsidRPr="002F4D91">
        <w:rPr>
          <w:rFonts w:ascii="Times New Roman" w:hAnsi="Times New Roman" w:cs="Times New Roman"/>
        </w:rPr>
        <w:t>eason</w:t>
      </w:r>
      <w:r w:rsidR="002F4D91">
        <w:rPr>
          <w:rFonts w:ascii="Times New Roman" w:hAnsi="Times New Roman" w:cs="Times New Roman"/>
        </w:rPr>
        <w:t>)</w:t>
      </w:r>
      <w:r w:rsidR="002F4D91" w:rsidRPr="002F4D91">
        <w:rPr>
          <w:rFonts w:ascii="Times New Roman" w:hAnsi="Times New Roman" w:cs="Times New Roman"/>
        </w:rPr>
        <w:t xml:space="preserve"> + </w:t>
      </w:r>
      <w:r w:rsidR="002F4D91">
        <w:rPr>
          <w:rFonts w:ascii="Times New Roman" w:hAnsi="Times New Roman" w:cs="Times New Roman"/>
        </w:rPr>
        <w:t>B4(G</w:t>
      </w:r>
      <w:r w:rsidR="002F4D91" w:rsidRPr="002F4D91">
        <w:rPr>
          <w:rFonts w:ascii="Times New Roman" w:hAnsi="Times New Roman" w:cs="Times New Roman"/>
        </w:rPr>
        <w:t>ender</w:t>
      </w:r>
      <w:r w:rsidR="002F4D91">
        <w:rPr>
          <w:rFonts w:ascii="Times New Roman" w:hAnsi="Times New Roman" w:cs="Times New Roman"/>
        </w:rPr>
        <w:t>)</w:t>
      </w:r>
      <w:r w:rsidR="002F4D91" w:rsidRPr="002F4D91">
        <w:rPr>
          <w:rFonts w:ascii="Times New Roman" w:hAnsi="Times New Roman" w:cs="Times New Roman"/>
        </w:rPr>
        <w:t xml:space="preserve"> + </w:t>
      </w:r>
      <w:r w:rsidR="002F4D91">
        <w:rPr>
          <w:rFonts w:ascii="Times New Roman" w:hAnsi="Times New Roman" w:cs="Times New Roman"/>
        </w:rPr>
        <w:t>B5(Revenue S</w:t>
      </w:r>
      <w:r w:rsidR="002F4D91" w:rsidRPr="002F4D91">
        <w:rPr>
          <w:rFonts w:ascii="Times New Roman" w:hAnsi="Times New Roman" w:cs="Times New Roman"/>
        </w:rPr>
        <w:t>port</w:t>
      </w:r>
      <w:r w:rsidR="002F4D91">
        <w:rPr>
          <w:rFonts w:ascii="Times New Roman" w:hAnsi="Times New Roman" w:cs="Times New Roman"/>
        </w:rPr>
        <w:t>)</w:t>
      </w:r>
      <w:r w:rsidR="002F4D91" w:rsidRPr="002F4D91">
        <w:rPr>
          <w:rFonts w:ascii="Times New Roman" w:hAnsi="Times New Roman" w:cs="Times New Roman"/>
        </w:rPr>
        <w:t xml:space="preserve"> +</w:t>
      </w:r>
      <w:r w:rsidR="002F4D91">
        <w:rPr>
          <w:rFonts w:ascii="Times New Roman" w:hAnsi="Times New Roman" w:cs="Times New Roman"/>
        </w:rPr>
        <w:t xml:space="preserve"> B6(Athletes)</w:t>
      </w:r>
      <w:r w:rsidR="002F4D91" w:rsidRPr="00D31CCA">
        <w:rPr>
          <w:rFonts w:ascii="Times New Roman" w:hAnsi="Times New Roman" w:cs="Times New Roman"/>
        </w:rPr>
        <w:t xml:space="preserve"> + </w:t>
      </w:r>
      <w:r w:rsidR="002F4D91">
        <w:rPr>
          <w:rFonts w:ascii="Times New Roman" w:hAnsi="Times New Roman" w:cs="Times New Roman"/>
        </w:rPr>
        <w:t>B7(Conference)</w:t>
      </w:r>
    </w:p>
    <w:p w14:paraId="26FC4544" w14:textId="77777777" w:rsidR="00B06264" w:rsidRPr="00B06264" w:rsidRDefault="00B06264" w:rsidP="00B06264">
      <w:pPr>
        <w:rPr>
          <w:rFonts w:ascii="Times New Roman" w:hAnsi="Times New Roman" w:cs="Times New Roman"/>
        </w:rPr>
      </w:pPr>
    </w:p>
    <w:p w14:paraId="79C8CA0D" w14:textId="76566A20" w:rsidR="00B06264" w:rsidRDefault="00B06264" w:rsidP="00B06264">
      <w:pPr>
        <w:spacing w:line="480" w:lineRule="auto"/>
        <w:contextualSpacing/>
        <w:rPr>
          <w:rFonts w:ascii="Times New Roman" w:hAnsi="Times New Roman" w:cs="Times New Roman"/>
        </w:rPr>
      </w:pPr>
      <w:r>
        <w:rPr>
          <w:rFonts w:ascii="Times New Roman" w:hAnsi="Times New Roman" w:cs="Times New Roman"/>
        </w:rPr>
        <w:t>There are two different types of models that are being estimated.  One model uses the controls for whether a team is from a private school or not, what sport the team plays (this variable is a vector of dummy variables for each sport),</w:t>
      </w:r>
      <w:r w:rsidR="00327DF0">
        <w:rPr>
          <w:rFonts w:ascii="Times New Roman" w:hAnsi="Times New Roman" w:cs="Times New Roman"/>
        </w:rPr>
        <w:t xml:space="preserve"> the number of athletes on the team,</w:t>
      </w:r>
      <w:r>
        <w:rPr>
          <w:rFonts w:ascii="Times New Roman" w:hAnsi="Times New Roman" w:cs="Times New Roman"/>
        </w:rPr>
        <w:t xml:space="preserve"> and the conference the team plays in (this variable is a vector of dummy variables for each conference).  The second m</w:t>
      </w:r>
      <w:r w:rsidR="00327DF0">
        <w:rPr>
          <w:rFonts w:ascii="Times New Roman" w:hAnsi="Times New Roman" w:cs="Times New Roman"/>
        </w:rPr>
        <w:t>odel uses control variables for whether a team is from a private school or not, dummy variables for what season the sport takes place in, the gender of the team</w:t>
      </w:r>
      <w:r w:rsidR="00F453DA">
        <w:rPr>
          <w:rFonts w:ascii="Times New Roman" w:hAnsi="Times New Roman" w:cs="Times New Roman"/>
        </w:rPr>
        <w:t xml:space="preserve"> (male, female or coed)</w:t>
      </w:r>
      <w:r w:rsidR="00327DF0">
        <w:rPr>
          <w:rFonts w:ascii="Times New Roman" w:hAnsi="Times New Roman" w:cs="Times New Roman"/>
        </w:rPr>
        <w:t>, a</w:t>
      </w:r>
      <w:r w:rsidR="00AA1CBC">
        <w:rPr>
          <w:rFonts w:ascii="Times New Roman" w:hAnsi="Times New Roman" w:cs="Times New Roman"/>
        </w:rPr>
        <w:t xml:space="preserve">n indicator variable for whether the team plays a “high revenue earning sport,” the number of student-athletes on the team and a vector of dummy variables for each NCAA conference.  The results from these regression models provide informative results that consistently show that </w:t>
      </w:r>
      <w:r w:rsidR="005F1C4B">
        <w:rPr>
          <w:rFonts w:ascii="Times New Roman" w:hAnsi="Times New Roman" w:cs="Times New Roman"/>
        </w:rPr>
        <w:t xml:space="preserve">when schools </w:t>
      </w:r>
      <w:r w:rsidR="00AA1CBC">
        <w:rPr>
          <w:rFonts w:ascii="Times New Roman" w:hAnsi="Times New Roman" w:cs="Times New Roman"/>
        </w:rPr>
        <w:t>change conferen</w:t>
      </w:r>
      <w:r w:rsidR="005F1C4B">
        <w:rPr>
          <w:rFonts w:ascii="Times New Roman" w:hAnsi="Times New Roman" w:cs="Times New Roman"/>
        </w:rPr>
        <w:t>ces, their athletic teams will</w:t>
      </w:r>
      <w:r w:rsidR="00AA1CBC">
        <w:rPr>
          <w:rFonts w:ascii="Times New Roman" w:hAnsi="Times New Roman" w:cs="Times New Roman"/>
        </w:rPr>
        <w:t xml:space="preserve"> experience lower scores in measures of student-athlete academic success.  Estimates on the conference change dummy variable are consistently statistically significant at the 99% confidence level </w:t>
      </w:r>
      <w:r w:rsidR="00CD66FE">
        <w:rPr>
          <w:rFonts w:ascii="Times New Roman" w:hAnsi="Times New Roman" w:cs="Times New Roman"/>
        </w:rPr>
        <w:t xml:space="preserve">across all six of the above regressions.  </w:t>
      </w:r>
      <w:r w:rsidR="00113140">
        <w:rPr>
          <w:rFonts w:ascii="Times New Roman" w:hAnsi="Times New Roman" w:cs="Times New Roman"/>
        </w:rPr>
        <w:t xml:space="preserve">All of these estimates are negative and show that schools that have changed their conference that they compete in can expect for their athletic team’s APR scores, eligibility rates, and retention rates to decline.  </w:t>
      </w:r>
      <w:r w:rsidR="00CD66FE">
        <w:rPr>
          <w:rFonts w:ascii="Times New Roman" w:hAnsi="Times New Roman" w:cs="Times New Roman"/>
        </w:rPr>
        <w:t xml:space="preserve">Looking at the other statistics that these regressions provide, it is seen that the explanatory power of these models are all fairly large with adjusted R-squared measures of all above 0.34 except for one model, regression 6 that had an adjusted R-squared of 0.2878.  Looking at models 1 and 4, that have APR scores as the </w:t>
      </w:r>
      <w:r w:rsidR="00846943">
        <w:rPr>
          <w:rFonts w:ascii="Times New Roman" w:hAnsi="Times New Roman" w:cs="Times New Roman"/>
        </w:rPr>
        <w:t xml:space="preserve">dependent variable, </w:t>
      </w:r>
      <w:r w:rsidR="00EA3529">
        <w:rPr>
          <w:rFonts w:ascii="Times New Roman" w:hAnsi="Times New Roman" w:cs="Times New Roman"/>
        </w:rPr>
        <w:t>model 1 has an adjusted R-squared of 0.4139 and model 4 has an adjusted R-squared of 0.3786.  These measures show that the estimated models explain 41.39% and 37.86% of the variation in APR scores respectively.  All six of the estimated models have F-statistics</w:t>
      </w:r>
      <w:r w:rsidR="00793F16">
        <w:rPr>
          <w:rFonts w:ascii="Times New Roman" w:hAnsi="Times New Roman" w:cs="Times New Roman"/>
        </w:rPr>
        <w:t xml:space="preserve"> testing the overall regression that are</w:t>
      </w:r>
      <w:r w:rsidR="00EA3529">
        <w:rPr>
          <w:rFonts w:ascii="Times New Roman" w:hAnsi="Times New Roman" w:cs="Times New Roman"/>
        </w:rPr>
        <w:t xml:space="preserve"> all greater than 40 with all p-values being very small decimals that are essentially zero showing that the variables used in the model </w:t>
      </w:r>
      <w:r w:rsidR="00793F16">
        <w:rPr>
          <w:rFonts w:ascii="Times New Roman" w:hAnsi="Times New Roman" w:cs="Times New Roman"/>
        </w:rPr>
        <w:t xml:space="preserve">have a statistically significant impact on explaining the variation in their dependent variables.  There are also interesting results found by observing the estimated coefficients on the control variables used in these regressions.  In line with the t-tests that were discussed earlier, it is found that </w:t>
      </w:r>
      <w:r w:rsidR="00E46167">
        <w:rPr>
          <w:rFonts w:ascii="Times New Roman" w:hAnsi="Times New Roman" w:cs="Times New Roman"/>
        </w:rPr>
        <w:t xml:space="preserve">teams from private schools will have higher measures of APR scores, eligibility rates, </w:t>
      </w:r>
      <w:r w:rsidR="002413A5">
        <w:rPr>
          <w:rFonts w:ascii="Times New Roman" w:hAnsi="Times New Roman" w:cs="Times New Roman"/>
        </w:rPr>
        <w:t>and retention rates.  Teams that play in the winter are expected to perform worse on these measures as are teams that are considered “high revenue” sports like football and men’s and women’s basketball.  There is some statistical significance as well that female sports perform better than men’s sports and the coed teams.  These regression results are informative as to how different characteristics of a team, the school they are from, and whether or not they have changed from one conference to another that requires a more rigorous travel schedule and competition has had any effect on academic measures.  These models help show that there are statistically significant differences in academic outcomes across many characteristics of an NCAA team.</w:t>
      </w:r>
    </w:p>
    <w:p w14:paraId="10C29D80" w14:textId="5A3C46A1" w:rsidR="002413A5" w:rsidRPr="00B06264" w:rsidRDefault="00480BAE" w:rsidP="00B06264">
      <w:pPr>
        <w:spacing w:line="480" w:lineRule="auto"/>
        <w:contextualSpacing/>
        <w:rPr>
          <w:rFonts w:ascii="Times New Roman" w:hAnsi="Times New Roman" w:cs="Times New Roman"/>
        </w:rPr>
      </w:pPr>
      <w:r>
        <w:rPr>
          <w:rFonts w:ascii="Times New Roman" w:hAnsi="Times New Roman" w:cs="Times New Roman"/>
        </w:rPr>
        <w:tab/>
        <w:t xml:space="preserve">This report aimed to </w:t>
      </w:r>
      <w:r w:rsidR="002413A5">
        <w:rPr>
          <w:rFonts w:ascii="Times New Roman" w:hAnsi="Times New Roman" w:cs="Times New Roman"/>
        </w:rPr>
        <w:t>analyze the effects</w:t>
      </w:r>
      <w:r>
        <w:rPr>
          <w:rFonts w:ascii="Times New Roman" w:hAnsi="Times New Roman" w:cs="Times New Roman"/>
        </w:rPr>
        <w:t xml:space="preserve"> that the NCAA’s policy of Academic Progress Rate scores had on</w:t>
      </w:r>
      <w:r w:rsidR="000911B5">
        <w:rPr>
          <w:rFonts w:ascii="Times New Roman" w:hAnsi="Times New Roman" w:cs="Times New Roman"/>
        </w:rPr>
        <w:t xml:space="preserve"> the academic outcomes of student athletes across all sports</w:t>
      </w:r>
      <w:r w:rsidR="004C48C5">
        <w:rPr>
          <w:rFonts w:ascii="Times New Roman" w:hAnsi="Times New Roman" w:cs="Times New Roman"/>
        </w:rPr>
        <w:t xml:space="preserve">.  The analysis of this policy indicates that since APR scores were first calculated in 2004, student-athlete’s rates of eligibility and retention have increased while APR scores for these teams have continued to increase as well.  This policy seems to have created an incentive system that has been effective in having schools maintain high academic standards for their student-athletes as only 345 athletic teams out of over 6500 had APR scores below 930 in 2014 when one sixth (1099) of the dataset had failing APR scores in the first year these scores were calculated in 2004.  The creation of this policy also allowed for a measurable and quantifiable score to be given to athletic teams that can be used to observe how teams perform academically.  Analyzing these measures it was determined that teams that compete in the winter season, male athletic teams, and high revenue earning sports like football and men’s and women’s basketball teams all can be expected to have lower academic measures.  This is interesting from a policy perspective because these teams, especially the high revenue earning sports, are the teams that create the largest opportunity cost for the university or college when they fail to reach the 930-point threshold.  These teams missing out on opportunities to play in nationally televised events </w:t>
      </w:r>
      <w:r w:rsidR="000128E3">
        <w:rPr>
          <w:rFonts w:ascii="Times New Roman" w:hAnsi="Times New Roman" w:cs="Times New Roman"/>
        </w:rPr>
        <w:t>cost the university exposure</w:t>
      </w:r>
      <w:r w:rsidR="005F1C4B">
        <w:rPr>
          <w:rFonts w:ascii="Times New Roman" w:hAnsi="Times New Roman" w:cs="Times New Roman"/>
        </w:rPr>
        <w:t xml:space="preserve"> as well as revenue streams.  A</w:t>
      </w:r>
      <w:r w:rsidR="000128E3">
        <w:rPr>
          <w:rFonts w:ascii="Times New Roman" w:hAnsi="Times New Roman" w:cs="Times New Roman"/>
        </w:rPr>
        <w:t xml:space="preserve">dministrators at schools should attempt to provide more academic resources to these athletes.  It was also shown in this report that when a school changes conferences, this has a statistically significant impact on the academic performance of student-athletes due to a myriad of factors; </w:t>
      </w:r>
      <w:r w:rsidR="005F1C4B">
        <w:rPr>
          <w:rFonts w:ascii="Times New Roman" w:hAnsi="Times New Roman" w:cs="Times New Roman"/>
        </w:rPr>
        <w:t xml:space="preserve"> the </w:t>
      </w:r>
      <w:r w:rsidR="000128E3">
        <w:rPr>
          <w:rFonts w:ascii="Times New Roman" w:hAnsi="Times New Roman" w:cs="Times New Roman"/>
        </w:rPr>
        <w:t xml:space="preserve">one factor </w:t>
      </w:r>
      <w:r w:rsidR="005F1C4B">
        <w:rPr>
          <w:rFonts w:ascii="Times New Roman" w:hAnsi="Times New Roman" w:cs="Times New Roman"/>
        </w:rPr>
        <w:t xml:space="preserve">cited in this report </w:t>
      </w:r>
      <w:r w:rsidR="000128E3">
        <w:rPr>
          <w:rFonts w:ascii="Times New Roman" w:hAnsi="Times New Roman" w:cs="Times New Roman"/>
        </w:rPr>
        <w:t xml:space="preserve">being a more rigorous travel schedule.  It is important for all student-athletes to succeed both in the classroom and in competition and the above analysis highlights areas where there are statistically significant differences in academic performances between groups.  These differences should be addressed so that academic performance can be maximized for all student-athletes. </w:t>
      </w:r>
    </w:p>
    <w:p w14:paraId="28FF94E6" w14:textId="77777777" w:rsidR="008E6DCB" w:rsidRDefault="008E6DCB" w:rsidP="000128E3">
      <w:pPr>
        <w:rPr>
          <w:rFonts w:ascii="Times New Roman" w:hAnsi="Times New Roman" w:cs="Times New Roman"/>
        </w:rPr>
      </w:pPr>
    </w:p>
    <w:p w14:paraId="2C3B87D4" w14:textId="77777777" w:rsidR="00CC41BA" w:rsidRDefault="00CC41BA" w:rsidP="000128E3">
      <w:pPr>
        <w:rPr>
          <w:rFonts w:ascii="Times New Roman" w:hAnsi="Times New Roman" w:cs="Times New Roman"/>
        </w:rPr>
      </w:pPr>
    </w:p>
    <w:p w14:paraId="7F1135CE" w14:textId="77777777" w:rsidR="00CC41BA" w:rsidRDefault="00CC41BA" w:rsidP="00CC41BA">
      <w:pPr>
        <w:spacing w:line="480" w:lineRule="auto"/>
        <w:jc w:val="center"/>
      </w:pPr>
      <w:r>
        <w:rPr>
          <w:rFonts w:ascii="Times New Roman" w:hAnsi="Times New Roman" w:cs="Times New Roman"/>
          <w:color w:val="000000"/>
        </w:rPr>
        <w:t>Works Cited</w:t>
      </w:r>
    </w:p>
    <w:p w14:paraId="524A2A4E" w14:textId="77777777" w:rsidR="00CC41BA" w:rsidRDefault="00CC41BA" w:rsidP="00CC41BA">
      <w:pPr>
        <w:spacing w:line="480" w:lineRule="auto"/>
        <w:ind w:left="720" w:hanging="720"/>
      </w:pPr>
      <w:r>
        <w:rPr>
          <w:rFonts w:ascii="Times New Roman" w:hAnsi="Times New Roman" w:cs="Times New Roman"/>
          <w:color w:val="000000"/>
        </w:rPr>
        <w:t xml:space="preserve">"Academic Progress Rate Explained." </w:t>
      </w:r>
      <w:r>
        <w:rPr>
          <w:rFonts w:ascii="Times New Roman" w:hAnsi="Times New Roman" w:cs="Times New Roman"/>
          <w:i/>
          <w:color w:val="000000"/>
        </w:rPr>
        <w:t>NCAA</w:t>
      </w:r>
      <w:r>
        <w:rPr>
          <w:rFonts w:ascii="Times New Roman" w:hAnsi="Times New Roman" w:cs="Times New Roman"/>
          <w:color w:val="000000"/>
        </w:rPr>
        <w:t>, www.ncaa.org/aboutresources/research/academic-progress-rate-explained. Accessed 20 Apr. 2018.</w:t>
      </w:r>
    </w:p>
    <w:p w14:paraId="0245D6AB" w14:textId="77777777" w:rsidR="00CC41BA" w:rsidRDefault="00CC41BA" w:rsidP="00CC41BA">
      <w:pPr>
        <w:spacing w:line="480" w:lineRule="auto"/>
        <w:ind w:left="720" w:hanging="720"/>
      </w:pPr>
      <w:r>
        <w:rPr>
          <w:rFonts w:ascii="Times New Roman" w:hAnsi="Times New Roman" w:cs="Times New Roman"/>
          <w:color w:val="000000"/>
        </w:rPr>
        <w:t xml:space="preserve">"Academic Progress Rate Timeline." </w:t>
      </w:r>
      <w:r>
        <w:rPr>
          <w:rFonts w:ascii="Times New Roman" w:hAnsi="Times New Roman" w:cs="Times New Roman"/>
          <w:i/>
          <w:color w:val="000000"/>
        </w:rPr>
        <w:t>NCAA</w:t>
      </w:r>
      <w:r>
        <w:rPr>
          <w:rFonts w:ascii="Times New Roman" w:hAnsi="Times New Roman" w:cs="Times New Roman"/>
          <w:color w:val="000000"/>
        </w:rPr>
        <w:t>, www.ncaa.org/about/resources/research/academic-progress-rate-timeline. Accessed 20 Apr. 2018.</w:t>
      </w:r>
    </w:p>
    <w:p w14:paraId="4C4919EA" w14:textId="77777777" w:rsidR="00CC41BA" w:rsidRDefault="00CC41BA" w:rsidP="00CC41BA">
      <w:pPr>
        <w:spacing w:line="480" w:lineRule="auto"/>
        <w:ind w:left="720" w:hanging="720"/>
      </w:pPr>
      <w:r>
        <w:rPr>
          <w:rFonts w:ascii="Times New Roman" w:hAnsi="Times New Roman" w:cs="Times New Roman"/>
          <w:color w:val="000000"/>
        </w:rPr>
        <w:t xml:space="preserve">"Academic Scores for NCAA Athletic Programs." </w:t>
      </w:r>
      <w:r>
        <w:rPr>
          <w:rFonts w:ascii="Times New Roman" w:hAnsi="Times New Roman" w:cs="Times New Roman"/>
          <w:i/>
          <w:color w:val="000000"/>
        </w:rPr>
        <w:t>Kaggle</w:t>
      </w:r>
      <w:r>
        <w:rPr>
          <w:rFonts w:ascii="Times New Roman" w:hAnsi="Times New Roman" w:cs="Times New Roman"/>
          <w:color w:val="000000"/>
        </w:rPr>
        <w:t>, www.kaggle.com/ncaa/academic-scores/data. Accessed 20 Apr. 2018. Raw data.</w:t>
      </w:r>
    </w:p>
    <w:p w14:paraId="2B73FDE7" w14:textId="77777777" w:rsidR="00CC41BA" w:rsidRDefault="00CC41BA" w:rsidP="00CC41BA">
      <w:pPr>
        <w:spacing w:line="480" w:lineRule="auto"/>
        <w:ind w:left="720" w:hanging="720"/>
      </w:pPr>
      <w:r>
        <w:rPr>
          <w:rFonts w:ascii="Times New Roman" w:hAnsi="Times New Roman" w:cs="Times New Roman"/>
          <w:color w:val="000000"/>
        </w:rPr>
        <w:t xml:space="preserve">Burrell, Jackie. "Sports and Seasons of The National Collegiate Athletic Association." </w:t>
      </w:r>
      <w:r>
        <w:rPr>
          <w:rFonts w:ascii="Times New Roman" w:hAnsi="Times New Roman" w:cs="Times New Roman"/>
          <w:i/>
          <w:color w:val="000000"/>
        </w:rPr>
        <w:t>ThoughtCo.</w:t>
      </w:r>
      <w:r>
        <w:rPr>
          <w:rFonts w:ascii="Times New Roman" w:hAnsi="Times New Roman" w:cs="Times New Roman"/>
          <w:color w:val="000000"/>
        </w:rPr>
        <w:t>, 16 July 2017, www.thoughtco.com/sports-and-seasons-of-the-ncaa-3570382. Accessed 20 Apr. 2018.</w:t>
      </w:r>
    </w:p>
    <w:p w14:paraId="1BE053DF" w14:textId="77777777" w:rsidR="00CC41BA" w:rsidRDefault="00CC41BA" w:rsidP="00CC41BA">
      <w:pPr>
        <w:spacing w:line="480" w:lineRule="auto"/>
        <w:ind w:left="720" w:hanging="720"/>
      </w:pPr>
      <w:r>
        <w:rPr>
          <w:rFonts w:ascii="Times New Roman" w:hAnsi="Times New Roman" w:cs="Times New Roman"/>
          <w:color w:val="000000"/>
        </w:rPr>
        <w:t xml:space="preserve">"Division I Academic Eligibility." </w:t>
      </w:r>
      <w:r>
        <w:rPr>
          <w:rFonts w:ascii="Times New Roman" w:hAnsi="Times New Roman" w:cs="Times New Roman"/>
          <w:i/>
          <w:color w:val="000000"/>
        </w:rPr>
        <w:t>NCAA</w:t>
      </w:r>
      <w:r>
        <w:rPr>
          <w:rFonts w:ascii="Times New Roman" w:hAnsi="Times New Roman" w:cs="Times New Roman"/>
          <w:color w:val="000000"/>
        </w:rPr>
        <w:t>, www.ncaa.org/about/division-i-academic-eligibility. Accessed 20 Apr. 2018.</w:t>
      </w:r>
    </w:p>
    <w:p w14:paraId="07FE5A65" w14:textId="77777777" w:rsidR="00CC41BA" w:rsidRDefault="00CC41BA" w:rsidP="00CC41BA">
      <w:pPr>
        <w:spacing w:line="480" w:lineRule="auto"/>
        <w:ind w:left="720" w:hanging="720"/>
      </w:pPr>
      <w:r>
        <w:rPr>
          <w:rFonts w:ascii="Times New Roman" w:hAnsi="Times New Roman" w:cs="Times New Roman"/>
          <w:color w:val="000000"/>
        </w:rPr>
        <w:t xml:space="preserve">Glatter, Hayley. "The March Madness Application Bump." </w:t>
      </w:r>
      <w:r>
        <w:rPr>
          <w:rFonts w:ascii="Times New Roman" w:hAnsi="Times New Roman" w:cs="Times New Roman"/>
          <w:i/>
          <w:color w:val="000000"/>
        </w:rPr>
        <w:t>The Atlantic</w:t>
      </w:r>
      <w:r>
        <w:rPr>
          <w:rFonts w:ascii="Times New Roman" w:hAnsi="Times New Roman" w:cs="Times New Roman"/>
          <w:color w:val="000000"/>
        </w:rPr>
        <w:t xml:space="preserve">, 16 Mar. 2017. </w:t>
      </w:r>
      <w:r>
        <w:rPr>
          <w:rFonts w:ascii="Times New Roman" w:hAnsi="Times New Roman" w:cs="Times New Roman"/>
          <w:i/>
          <w:color w:val="000000"/>
        </w:rPr>
        <w:t>The Atlantic</w:t>
      </w:r>
      <w:r>
        <w:rPr>
          <w:rFonts w:ascii="Times New Roman" w:hAnsi="Times New Roman" w:cs="Times New Roman"/>
          <w:color w:val="000000"/>
        </w:rPr>
        <w:t>, www.theatlantic.com/education/archive/2017/03/the-march-madness-application-bump/519846/. Accessed 20 Apr. 2018.</w:t>
      </w:r>
    </w:p>
    <w:p w14:paraId="43DE9A00" w14:textId="77777777" w:rsidR="00CC41BA" w:rsidRDefault="00CC41BA" w:rsidP="00CC41BA">
      <w:pPr>
        <w:spacing w:line="480" w:lineRule="auto"/>
        <w:ind w:left="720" w:hanging="720"/>
      </w:pPr>
      <w:r>
        <w:rPr>
          <w:rFonts w:ascii="Times New Roman" w:hAnsi="Times New Roman" w:cs="Times New Roman"/>
          <w:color w:val="000000"/>
        </w:rPr>
        <w:t xml:space="preserve">Mosendz, Polly, et al. "March Madness Cinderella Stories Send Applications Soaring." </w:t>
      </w:r>
      <w:r>
        <w:rPr>
          <w:rFonts w:ascii="Times New Roman" w:hAnsi="Times New Roman" w:cs="Times New Roman"/>
          <w:i/>
          <w:color w:val="000000"/>
        </w:rPr>
        <w:t>Bloomberg</w:t>
      </w:r>
      <w:r>
        <w:rPr>
          <w:rFonts w:ascii="Times New Roman" w:hAnsi="Times New Roman" w:cs="Times New Roman"/>
          <w:color w:val="000000"/>
        </w:rPr>
        <w:t>, 13 Mar. 2017, www.bloomberg.com/news/features/2017-03-13/march-madness-more-students-apply-to-schools-that-break-brackets. Accessed 20 Apr. 2018.</w:t>
      </w:r>
    </w:p>
    <w:p w14:paraId="4DC6CC83" w14:textId="77777777" w:rsidR="00CC41BA" w:rsidRDefault="00CC41BA" w:rsidP="00CC41BA">
      <w:pPr>
        <w:spacing w:line="480" w:lineRule="auto"/>
        <w:ind w:left="720" w:hanging="720"/>
      </w:pPr>
      <w:r>
        <w:rPr>
          <w:rFonts w:ascii="Times New Roman" w:hAnsi="Times New Roman" w:cs="Times New Roman"/>
          <w:color w:val="000000"/>
        </w:rPr>
        <w:t xml:space="preserve">"NCAA Conferences." </w:t>
      </w:r>
      <w:r>
        <w:rPr>
          <w:rFonts w:ascii="Times New Roman" w:hAnsi="Times New Roman" w:cs="Times New Roman"/>
          <w:i/>
          <w:color w:val="000000"/>
        </w:rPr>
        <w:t>Kaggle</w:t>
      </w:r>
      <w:r>
        <w:rPr>
          <w:rFonts w:ascii="Times New Roman" w:hAnsi="Times New Roman" w:cs="Times New Roman"/>
          <w:color w:val="000000"/>
        </w:rPr>
        <w:t>, www.kaggle.com/jorgan/ncaa-conferences/data. Accessed 20 Apr. 2018. Raw data.</w:t>
      </w:r>
    </w:p>
    <w:p w14:paraId="02D6A1FE" w14:textId="5E33009F" w:rsidR="00CC41BA" w:rsidRPr="00CC41BA" w:rsidRDefault="00CC41BA" w:rsidP="00CC41BA">
      <w:pPr>
        <w:spacing w:line="480" w:lineRule="auto"/>
        <w:ind w:left="720" w:hanging="720"/>
      </w:pPr>
      <w:r>
        <w:rPr>
          <w:rFonts w:ascii="Times New Roman" w:hAnsi="Times New Roman" w:cs="Times New Roman"/>
          <w:color w:val="000000"/>
        </w:rPr>
        <w:t xml:space="preserve">"Should NCAA Athletes Be Paid?" </w:t>
      </w:r>
      <w:r>
        <w:rPr>
          <w:rFonts w:ascii="Times New Roman" w:hAnsi="Times New Roman" w:cs="Times New Roman"/>
          <w:i/>
          <w:color w:val="000000"/>
        </w:rPr>
        <w:t>US News and World Report</w:t>
      </w:r>
      <w:r>
        <w:rPr>
          <w:rFonts w:ascii="Times New Roman" w:hAnsi="Times New Roman" w:cs="Times New Roman"/>
          <w:color w:val="000000"/>
        </w:rPr>
        <w:t xml:space="preserve">, 2 Apr. 2013. </w:t>
      </w:r>
      <w:r>
        <w:rPr>
          <w:rFonts w:ascii="Times New Roman" w:hAnsi="Times New Roman" w:cs="Times New Roman"/>
          <w:i/>
          <w:color w:val="000000"/>
        </w:rPr>
        <w:t>US News and World Report</w:t>
      </w:r>
      <w:r>
        <w:rPr>
          <w:rFonts w:ascii="Times New Roman" w:hAnsi="Times New Roman" w:cs="Times New Roman"/>
          <w:color w:val="000000"/>
        </w:rPr>
        <w:t>, www.usnews.com/debate-club/should-ncaa-athletes-be-paid. Accessed 20 Apr. 2018</w:t>
      </w:r>
    </w:p>
    <w:sectPr w:rsidR="00CC41BA" w:rsidRPr="00CC41BA" w:rsidSect="008E0891">
      <w:headerReference w:type="even" r:id="rId15"/>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86C9A7" w14:textId="77777777" w:rsidR="00CC41BA" w:rsidRDefault="00CC41BA" w:rsidP="008E0891">
      <w:r>
        <w:separator/>
      </w:r>
    </w:p>
  </w:endnote>
  <w:endnote w:type="continuationSeparator" w:id="0">
    <w:p w14:paraId="49C0195F" w14:textId="77777777" w:rsidR="00CC41BA" w:rsidRDefault="00CC41BA" w:rsidP="008E08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EE08B5" w14:textId="77777777" w:rsidR="00CC41BA" w:rsidRDefault="00CC41BA" w:rsidP="008E0891">
      <w:r>
        <w:separator/>
      </w:r>
    </w:p>
  </w:footnote>
  <w:footnote w:type="continuationSeparator" w:id="0">
    <w:p w14:paraId="71353AE0" w14:textId="77777777" w:rsidR="00CC41BA" w:rsidRDefault="00CC41BA" w:rsidP="008E089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CE3E3C" w14:textId="77777777" w:rsidR="00CC41BA" w:rsidRDefault="00CC41BA" w:rsidP="004108F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366DC0" w14:textId="77777777" w:rsidR="00CC41BA" w:rsidRDefault="00CC41BA" w:rsidP="008E0891">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655758" w14:textId="77777777" w:rsidR="00CC41BA" w:rsidRPr="008E0891" w:rsidRDefault="00CC41BA" w:rsidP="004108FD">
    <w:pPr>
      <w:pStyle w:val="Header"/>
      <w:framePr w:wrap="around" w:vAnchor="text" w:hAnchor="margin" w:xAlign="right" w:y="1"/>
      <w:rPr>
        <w:rStyle w:val="PageNumber"/>
        <w:rFonts w:ascii="Times New Roman" w:hAnsi="Times New Roman" w:cs="Times New Roman"/>
      </w:rPr>
    </w:pPr>
    <w:r w:rsidRPr="008E0891">
      <w:rPr>
        <w:rStyle w:val="PageNumber"/>
        <w:rFonts w:ascii="Times New Roman" w:hAnsi="Times New Roman" w:cs="Times New Roman"/>
      </w:rPr>
      <w:t xml:space="preserve">Terbrusch </w:t>
    </w:r>
    <w:r w:rsidRPr="008E0891">
      <w:rPr>
        <w:rStyle w:val="PageNumber"/>
        <w:rFonts w:ascii="Times New Roman" w:hAnsi="Times New Roman" w:cs="Times New Roman"/>
      </w:rPr>
      <w:fldChar w:fldCharType="begin"/>
    </w:r>
    <w:r w:rsidRPr="008E0891">
      <w:rPr>
        <w:rStyle w:val="PageNumber"/>
        <w:rFonts w:ascii="Times New Roman" w:hAnsi="Times New Roman" w:cs="Times New Roman"/>
      </w:rPr>
      <w:instrText xml:space="preserve">PAGE  </w:instrText>
    </w:r>
    <w:r w:rsidRPr="008E0891">
      <w:rPr>
        <w:rStyle w:val="PageNumber"/>
        <w:rFonts w:ascii="Times New Roman" w:hAnsi="Times New Roman" w:cs="Times New Roman"/>
      </w:rPr>
      <w:fldChar w:fldCharType="separate"/>
    </w:r>
    <w:r w:rsidR="00A90C77">
      <w:rPr>
        <w:rStyle w:val="PageNumber"/>
        <w:rFonts w:ascii="Times New Roman" w:hAnsi="Times New Roman" w:cs="Times New Roman"/>
        <w:noProof/>
      </w:rPr>
      <w:t>1</w:t>
    </w:r>
    <w:r w:rsidRPr="008E0891">
      <w:rPr>
        <w:rStyle w:val="PageNumber"/>
        <w:rFonts w:ascii="Times New Roman" w:hAnsi="Times New Roman" w:cs="Times New Roman"/>
      </w:rPr>
      <w:fldChar w:fldCharType="end"/>
    </w:r>
  </w:p>
  <w:p w14:paraId="40D4C361" w14:textId="77777777" w:rsidR="00CC41BA" w:rsidRDefault="00CC41BA" w:rsidP="008E0891">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8F6F8D"/>
    <w:multiLevelType w:val="hybridMultilevel"/>
    <w:tmpl w:val="9DE83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A646CD"/>
    <w:multiLevelType w:val="hybridMultilevel"/>
    <w:tmpl w:val="BD365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891"/>
    <w:rsid w:val="000128E3"/>
    <w:rsid w:val="000260DB"/>
    <w:rsid w:val="000339D4"/>
    <w:rsid w:val="000361E2"/>
    <w:rsid w:val="000911B5"/>
    <w:rsid w:val="000A4F7F"/>
    <w:rsid w:val="000B72C4"/>
    <w:rsid w:val="000B75D7"/>
    <w:rsid w:val="000C485C"/>
    <w:rsid w:val="00101055"/>
    <w:rsid w:val="00104158"/>
    <w:rsid w:val="00113140"/>
    <w:rsid w:val="00153122"/>
    <w:rsid w:val="00190B00"/>
    <w:rsid w:val="001B66EB"/>
    <w:rsid w:val="00214014"/>
    <w:rsid w:val="002413A5"/>
    <w:rsid w:val="002607C2"/>
    <w:rsid w:val="002D0244"/>
    <w:rsid w:val="002F4D91"/>
    <w:rsid w:val="00327DF0"/>
    <w:rsid w:val="00351BE1"/>
    <w:rsid w:val="003F6FA4"/>
    <w:rsid w:val="00401950"/>
    <w:rsid w:val="004108FD"/>
    <w:rsid w:val="00413626"/>
    <w:rsid w:val="0044161E"/>
    <w:rsid w:val="00475A2F"/>
    <w:rsid w:val="00480BAE"/>
    <w:rsid w:val="004A22A5"/>
    <w:rsid w:val="004C48C5"/>
    <w:rsid w:val="00520C26"/>
    <w:rsid w:val="005223D2"/>
    <w:rsid w:val="00547AC3"/>
    <w:rsid w:val="005A27FA"/>
    <w:rsid w:val="005B2F7E"/>
    <w:rsid w:val="005F1C4B"/>
    <w:rsid w:val="006176DE"/>
    <w:rsid w:val="0068231E"/>
    <w:rsid w:val="00686D20"/>
    <w:rsid w:val="006A11F1"/>
    <w:rsid w:val="006A59BF"/>
    <w:rsid w:val="00735E5F"/>
    <w:rsid w:val="00763BBC"/>
    <w:rsid w:val="00786F71"/>
    <w:rsid w:val="00793F16"/>
    <w:rsid w:val="007D35FC"/>
    <w:rsid w:val="00811D23"/>
    <w:rsid w:val="00822C57"/>
    <w:rsid w:val="00846943"/>
    <w:rsid w:val="00850E45"/>
    <w:rsid w:val="008E0891"/>
    <w:rsid w:val="008E6DCB"/>
    <w:rsid w:val="008F6DCF"/>
    <w:rsid w:val="00904E4E"/>
    <w:rsid w:val="00913C82"/>
    <w:rsid w:val="009202F9"/>
    <w:rsid w:val="009408FA"/>
    <w:rsid w:val="00A245FC"/>
    <w:rsid w:val="00A254AC"/>
    <w:rsid w:val="00A90C77"/>
    <w:rsid w:val="00A97AA3"/>
    <w:rsid w:val="00AA1CBC"/>
    <w:rsid w:val="00AA3F59"/>
    <w:rsid w:val="00AA5741"/>
    <w:rsid w:val="00AB09D0"/>
    <w:rsid w:val="00AB131D"/>
    <w:rsid w:val="00AF10C7"/>
    <w:rsid w:val="00AF7EDA"/>
    <w:rsid w:val="00B06264"/>
    <w:rsid w:val="00B317D2"/>
    <w:rsid w:val="00B660D5"/>
    <w:rsid w:val="00B90752"/>
    <w:rsid w:val="00C714A9"/>
    <w:rsid w:val="00CC1C20"/>
    <w:rsid w:val="00CC41BA"/>
    <w:rsid w:val="00CD66FE"/>
    <w:rsid w:val="00CE6C21"/>
    <w:rsid w:val="00CF11A2"/>
    <w:rsid w:val="00D30CC1"/>
    <w:rsid w:val="00D31CCA"/>
    <w:rsid w:val="00D421D1"/>
    <w:rsid w:val="00D4704F"/>
    <w:rsid w:val="00D82380"/>
    <w:rsid w:val="00D95EBC"/>
    <w:rsid w:val="00DD7009"/>
    <w:rsid w:val="00DE3952"/>
    <w:rsid w:val="00E214B3"/>
    <w:rsid w:val="00E25C81"/>
    <w:rsid w:val="00E41E69"/>
    <w:rsid w:val="00E46167"/>
    <w:rsid w:val="00E47149"/>
    <w:rsid w:val="00E57F0D"/>
    <w:rsid w:val="00E93F57"/>
    <w:rsid w:val="00EA0737"/>
    <w:rsid w:val="00EA3529"/>
    <w:rsid w:val="00EC292B"/>
    <w:rsid w:val="00F3254F"/>
    <w:rsid w:val="00F453DA"/>
    <w:rsid w:val="00F85E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41B38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0891"/>
    <w:pPr>
      <w:tabs>
        <w:tab w:val="center" w:pos="4320"/>
        <w:tab w:val="right" w:pos="8640"/>
      </w:tabs>
    </w:pPr>
  </w:style>
  <w:style w:type="character" w:customStyle="1" w:styleId="HeaderChar">
    <w:name w:val="Header Char"/>
    <w:basedOn w:val="DefaultParagraphFont"/>
    <w:link w:val="Header"/>
    <w:uiPriority w:val="99"/>
    <w:rsid w:val="008E0891"/>
  </w:style>
  <w:style w:type="character" w:styleId="PageNumber">
    <w:name w:val="page number"/>
    <w:basedOn w:val="DefaultParagraphFont"/>
    <w:uiPriority w:val="99"/>
    <w:semiHidden/>
    <w:unhideWhenUsed/>
    <w:rsid w:val="008E0891"/>
  </w:style>
  <w:style w:type="paragraph" w:styleId="Footer">
    <w:name w:val="footer"/>
    <w:basedOn w:val="Normal"/>
    <w:link w:val="FooterChar"/>
    <w:uiPriority w:val="99"/>
    <w:unhideWhenUsed/>
    <w:rsid w:val="008E0891"/>
    <w:pPr>
      <w:tabs>
        <w:tab w:val="center" w:pos="4320"/>
        <w:tab w:val="right" w:pos="8640"/>
      </w:tabs>
    </w:pPr>
  </w:style>
  <w:style w:type="character" w:customStyle="1" w:styleId="FooterChar">
    <w:name w:val="Footer Char"/>
    <w:basedOn w:val="DefaultParagraphFont"/>
    <w:link w:val="Footer"/>
    <w:uiPriority w:val="99"/>
    <w:rsid w:val="008E0891"/>
  </w:style>
  <w:style w:type="paragraph" w:styleId="BalloonText">
    <w:name w:val="Balloon Text"/>
    <w:basedOn w:val="Normal"/>
    <w:link w:val="BalloonTextChar"/>
    <w:uiPriority w:val="99"/>
    <w:semiHidden/>
    <w:unhideWhenUsed/>
    <w:rsid w:val="00351BE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51BE1"/>
    <w:rPr>
      <w:rFonts w:ascii="Lucida Grande" w:hAnsi="Lucida Grande" w:cs="Lucida Grande"/>
      <w:sz w:val="18"/>
      <w:szCs w:val="18"/>
    </w:rPr>
  </w:style>
  <w:style w:type="paragraph" w:styleId="ListParagraph">
    <w:name w:val="List Paragraph"/>
    <w:basedOn w:val="Normal"/>
    <w:uiPriority w:val="34"/>
    <w:qFormat/>
    <w:rsid w:val="00D31CC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0891"/>
    <w:pPr>
      <w:tabs>
        <w:tab w:val="center" w:pos="4320"/>
        <w:tab w:val="right" w:pos="8640"/>
      </w:tabs>
    </w:pPr>
  </w:style>
  <w:style w:type="character" w:customStyle="1" w:styleId="HeaderChar">
    <w:name w:val="Header Char"/>
    <w:basedOn w:val="DefaultParagraphFont"/>
    <w:link w:val="Header"/>
    <w:uiPriority w:val="99"/>
    <w:rsid w:val="008E0891"/>
  </w:style>
  <w:style w:type="character" w:styleId="PageNumber">
    <w:name w:val="page number"/>
    <w:basedOn w:val="DefaultParagraphFont"/>
    <w:uiPriority w:val="99"/>
    <w:semiHidden/>
    <w:unhideWhenUsed/>
    <w:rsid w:val="008E0891"/>
  </w:style>
  <w:style w:type="paragraph" w:styleId="Footer">
    <w:name w:val="footer"/>
    <w:basedOn w:val="Normal"/>
    <w:link w:val="FooterChar"/>
    <w:uiPriority w:val="99"/>
    <w:unhideWhenUsed/>
    <w:rsid w:val="008E0891"/>
    <w:pPr>
      <w:tabs>
        <w:tab w:val="center" w:pos="4320"/>
        <w:tab w:val="right" w:pos="8640"/>
      </w:tabs>
    </w:pPr>
  </w:style>
  <w:style w:type="character" w:customStyle="1" w:styleId="FooterChar">
    <w:name w:val="Footer Char"/>
    <w:basedOn w:val="DefaultParagraphFont"/>
    <w:link w:val="Footer"/>
    <w:uiPriority w:val="99"/>
    <w:rsid w:val="008E0891"/>
  </w:style>
  <w:style w:type="paragraph" w:styleId="BalloonText">
    <w:name w:val="Balloon Text"/>
    <w:basedOn w:val="Normal"/>
    <w:link w:val="BalloonTextChar"/>
    <w:uiPriority w:val="99"/>
    <w:semiHidden/>
    <w:unhideWhenUsed/>
    <w:rsid w:val="00351BE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51BE1"/>
    <w:rPr>
      <w:rFonts w:ascii="Lucida Grande" w:hAnsi="Lucida Grande" w:cs="Lucida Grande"/>
      <w:sz w:val="18"/>
      <w:szCs w:val="18"/>
    </w:rPr>
  </w:style>
  <w:style w:type="paragraph" w:styleId="ListParagraph">
    <w:name w:val="List Paragraph"/>
    <w:basedOn w:val="Normal"/>
    <w:uiPriority w:val="34"/>
    <w:qFormat/>
    <w:rsid w:val="00D31C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emf"/><Relationship Id="rId12" Type="http://schemas.openxmlformats.org/officeDocument/2006/relationships/image" Target="media/image30.emf"/><Relationship Id="rId13" Type="http://schemas.openxmlformats.org/officeDocument/2006/relationships/image" Target="media/image4.emf"/><Relationship Id="rId14" Type="http://schemas.openxmlformats.org/officeDocument/2006/relationships/image" Target="media/image5.emf"/><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image" Target="media/image2.emf"/><Relationship Id="rId10" Type="http://schemas.openxmlformats.org/officeDocument/2006/relationships/image" Target="media/image2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359</TotalTime>
  <Pages>16</Pages>
  <Words>3958</Words>
  <Characters>22562</Characters>
  <Application>Microsoft Macintosh Word</Application>
  <DocSecurity>0</DocSecurity>
  <Lines>188</Lines>
  <Paragraphs>52</Paragraphs>
  <ScaleCrop>false</ScaleCrop>
  <Company>University of Connecticut</Company>
  <LinksUpToDate>false</LinksUpToDate>
  <CharactersWithSpaces>26468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Terbrusch</dc:creator>
  <cp:keywords/>
  <dc:description/>
  <cp:lastModifiedBy>Tyler Terbrusch</cp:lastModifiedBy>
  <cp:revision>63</cp:revision>
  <dcterms:created xsi:type="dcterms:W3CDTF">2018-04-04T14:35:00Z</dcterms:created>
  <dcterms:modified xsi:type="dcterms:W3CDTF">2018-04-25T17:51:00Z</dcterms:modified>
</cp:coreProperties>
</file>