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032E0" w:rsidR="000032E0" w:rsidP="00BE5DED" w:rsidRDefault="000032E0" w14:paraId="57A1AA50" w14:textId="77777777">
      <w:pPr>
        <w:rPr>
          <w:rFonts w:ascii="Times New Roman" w:hAnsi="Times New Roman" w:cs="Times New Roman"/>
          <w:sz w:val="28"/>
          <w:szCs w:val="28"/>
        </w:rPr>
      </w:pPr>
      <w:r w:rsidRPr="31EFDD8A" w:rsidR="31EFDD8A">
        <w:rPr>
          <w:rFonts w:ascii="Times New Roman" w:hAnsi="Times New Roman" w:cs="Times New Roman"/>
          <w:b w:val="1"/>
          <w:bCs w:val="1"/>
          <w:sz w:val="28"/>
          <w:szCs w:val="28"/>
        </w:rPr>
        <w:t>Optimizing Subnational Public Health Fiscal Mechanisms</w:t>
      </w:r>
    </w:p>
    <w:p w:rsidR="31EFDD8A" w:rsidP="31EFDD8A" w:rsidRDefault="31EFDD8A" w14:paraId="6FE9F986" w14:textId="799E5C0A">
      <w:pPr>
        <w:rPr>
          <w:rFonts w:ascii="Times New Roman" w:hAnsi="Times New Roman" w:cs="Times New Roman"/>
          <w:b w:val="1"/>
          <w:bCs w:val="1"/>
          <w:sz w:val="28"/>
          <w:szCs w:val="28"/>
        </w:rPr>
      </w:pPr>
    </w:p>
    <w:p w:rsidRPr="000032E0" w:rsidR="000032E0" w:rsidP="000032E0" w:rsidRDefault="000032E0" w14:paraId="700FADBB" w14:textId="77777777">
      <w:pPr>
        <w:rPr>
          <w:rFonts w:ascii="Times New Roman" w:hAnsi="Times New Roman" w:cs="Times New Roman"/>
          <w:szCs w:val="22"/>
        </w:rPr>
      </w:pPr>
      <w:r w:rsidRPr="000032E0">
        <w:rPr>
          <w:rFonts w:ascii="Times New Roman" w:hAnsi="Times New Roman" w:cs="Times New Roman"/>
          <w:i/>
          <w:iCs/>
          <w:szCs w:val="22"/>
        </w:rPr>
        <w:t>Michael J. Cohen¹, Anna Richter²</w:t>
      </w:r>
      <w:r w:rsidRPr="000032E0">
        <w:rPr>
          <w:rFonts w:ascii="Times New Roman" w:hAnsi="Times New Roman" w:cs="Times New Roman"/>
          <w:szCs w:val="22"/>
        </w:rPr>
        <w:t>*</w:t>
      </w:r>
    </w:p>
    <w:p w:rsidRPr="000032E0" w:rsidR="000032E0" w:rsidP="31EFDD8A" w:rsidRDefault="000032E0" w14:paraId="2488C3A4" w14:textId="388D119B">
      <w:pPr>
        <w:rPr>
          <w:rFonts w:ascii="Times New Roman" w:hAnsi="Times New Roman" w:cs="Times New Roman"/>
        </w:rPr>
      </w:pPr>
      <w:r w:rsidRPr="31EFDD8A" w:rsidR="31EFDD8A">
        <w:rPr>
          <w:rFonts w:ascii="Times New Roman" w:hAnsi="Times New Roman" w:cs="Times New Roman"/>
        </w:rPr>
        <w:t>¹School of Public Policy, University of Michigan, Ann Arbor, USA</w:t>
      </w:r>
      <w:r>
        <w:br/>
      </w:r>
      <w:r w:rsidRPr="31EFDD8A" w:rsidR="31EFDD8A">
        <w:rPr>
          <w:rFonts w:ascii="Times New Roman" w:hAnsi="Times New Roman" w:cs="Times New Roman"/>
        </w:rPr>
        <w:t>²Faculty of Economics and Social Sciences, University of Heidelberg, Germany</w:t>
      </w:r>
      <w:r>
        <w:br/>
      </w:r>
      <w:r w:rsidRPr="31EFDD8A" w:rsidR="31EFDD8A">
        <w:rPr>
          <w:rFonts w:ascii="Times New Roman" w:hAnsi="Times New Roman" w:cs="Times New Roman"/>
        </w:rPr>
        <w:t>*Corresponding author: Michael J. Cohen (</w:t>
      </w:r>
      <w:hyperlink r:id="R6e12a118c77c4c55">
        <w:r w:rsidRPr="31EFDD8A" w:rsidR="31EFDD8A">
          <w:rPr>
            <w:rStyle w:val="af4"/>
            <w:rFonts w:ascii="Times New Roman" w:hAnsi="Times New Roman" w:cs="Times New Roman"/>
          </w:rPr>
          <w:t>mjcohen@umich.edu</w:t>
        </w:r>
      </w:hyperlink>
      <w:r w:rsidRPr="31EFDD8A" w:rsidR="31EFDD8A">
        <w:rPr>
          <w:rFonts w:ascii="Times New Roman" w:hAnsi="Times New Roman" w:cs="Times New Roman"/>
        </w:rPr>
        <w:t>)</w:t>
      </w:r>
    </w:p>
    <w:p w:rsidR="31EFDD8A" w:rsidP="31EFDD8A" w:rsidRDefault="31EFDD8A" w14:paraId="748F4A43" w14:textId="74CF75A4">
      <w:pPr>
        <w:rPr>
          <w:rFonts w:ascii="Times New Roman" w:hAnsi="Times New Roman" w:cs="Times New Roman"/>
        </w:rPr>
      </w:pPr>
    </w:p>
    <w:p w:rsidRPr="000032E0" w:rsidR="000032E0" w:rsidP="000032E0" w:rsidRDefault="000032E0" w14:paraId="2DC622DA" w14:textId="77777777">
      <w:pPr>
        <w:jc w:val="both"/>
        <w:rPr>
          <w:rFonts w:ascii="Times New Roman" w:hAnsi="Times New Roman" w:cs="Times New Roman"/>
          <w:szCs w:val="22"/>
        </w:rPr>
      </w:pPr>
      <w:r w:rsidRPr="000032E0">
        <w:rPr>
          <w:rFonts w:ascii="Times New Roman" w:hAnsi="Times New Roman" w:cs="Times New Roman"/>
          <w:b/>
          <w:bCs/>
          <w:sz w:val="28"/>
          <w:szCs w:val="28"/>
        </w:rPr>
        <w:t>Abstract</w:t>
      </w:r>
      <w:r w:rsidRPr="000032E0">
        <w:rPr>
          <w:rFonts w:ascii="Times New Roman" w:hAnsi="Times New Roman" w:cs="Times New Roman"/>
          <w:sz w:val="28"/>
          <w:szCs w:val="28"/>
        </w:rPr>
        <w:br/>
      </w:r>
      <w:r w:rsidRPr="000032E0">
        <w:rPr>
          <w:rFonts w:ascii="Times New Roman" w:hAnsi="Times New Roman" w:cs="Times New Roman"/>
          <w:szCs w:val="22"/>
        </w:rPr>
        <w:t xml:space="preserve">This study evaluates the effectiveness and challenges of fiscal reform in China’s subnational public health financing. It focuses on earmarked transfers and their role in promoting equitable access to basic health services. Drawing on data from 31 provinces between 2015 and 2022, as well as interviews with health and finance officials, the study identifies institutional bottlenecks. It </w:t>
      </w:r>
      <w:proofErr w:type="gramStart"/>
      <w:r w:rsidRPr="000032E0">
        <w:rPr>
          <w:rFonts w:ascii="Times New Roman" w:hAnsi="Times New Roman" w:cs="Times New Roman"/>
          <w:szCs w:val="22"/>
        </w:rPr>
        <w:t>proposes</w:t>
      </w:r>
      <w:proofErr w:type="gramEnd"/>
      <w:r w:rsidRPr="000032E0">
        <w:rPr>
          <w:rFonts w:ascii="Times New Roman" w:hAnsi="Times New Roman" w:cs="Times New Roman"/>
          <w:szCs w:val="22"/>
        </w:rPr>
        <w:t xml:space="preserve"> performance-driven and data-integrated solutions. While central support has increased, policy implementation is hindered by misaligned incentives and local capacity constraints. The study recommends strengthening fiscal accountability, integrating data systems, and building local administrative capacity to improve long-term equity and efficiency.</w:t>
      </w:r>
    </w:p>
    <w:p w:rsidRPr="000032E0" w:rsidR="000032E0" w:rsidP="000032E0" w:rsidRDefault="000032E0" w14:paraId="2533C87C" w14:textId="77777777">
      <w:pPr>
        <w:rPr>
          <w:rFonts w:ascii="Times New Roman" w:hAnsi="Times New Roman" w:cs="Times New Roman"/>
          <w:szCs w:val="22"/>
        </w:rPr>
      </w:pPr>
      <w:r w:rsidRPr="31EFDD8A" w:rsidR="31EFDD8A">
        <w:rPr>
          <w:rFonts w:ascii="Times New Roman" w:hAnsi="Times New Roman" w:cs="Times New Roman"/>
          <w:b w:val="1"/>
          <w:bCs w:val="1"/>
        </w:rPr>
        <w:t>Keywords:</w:t>
      </w:r>
      <w:r w:rsidRPr="31EFDD8A" w:rsidR="31EFDD8A">
        <w:rPr>
          <w:rFonts w:ascii="Times New Roman" w:hAnsi="Times New Roman" w:cs="Times New Roman"/>
        </w:rPr>
        <w:t xml:space="preserve"> public health financing, fiscal decentralization, performance-based transfers, China, subnational governance, equity</w:t>
      </w:r>
    </w:p>
    <w:p w:rsidR="31EFDD8A" w:rsidP="31EFDD8A" w:rsidRDefault="31EFDD8A" w14:paraId="6B09EC88" w14:textId="675ACE1D">
      <w:pPr>
        <w:rPr>
          <w:rFonts w:ascii="Times New Roman" w:hAnsi="Times New Roman" w:cs="Times New Roman"/>
        </w:rPr>
      </w:pPr>
    </w:p>
    <w:p w:rsidRPr="000032E0" w:rsidR="000032E0" w:rsidP="000032E0" w:rsidRDefault="000032E0" w14:paraId="4E9EF4DE" w14:textId="77777777">
      <w:pPr>
        <w:rPr>
          <w:rFonts w:ascii="Times New Roman" w:hAnsi="Times New Roman" w:cs="Times New Roman"/>
          <w:sz w:val="28"/>
          <w:szCs w:val="28"/>
        </w:rPr>
      </w:pPr>
      <w:r w:rsidRPr="000032E0">
        <w:rPr>
          <w:rFonts w:ascii="Times New Roman" w:hAnsi="Times New Roman" w:cs="Times New Roman"/>
          <w:b/>
          <w:bCs/>
          <w:sz w:val="28"/>
          <w:szCs w:val="28"/>
        </w:rPr>
        <w:t>Evidence for Practice</w:t>
      </w:r>
    </w:p>
    <w:p w:rsidRPr="000032E0" w:rsidR="000032E0" w:rsidP="000032E0" w:rsidRDefault="000032E0" w14:paraId="4324CEDA" w14:textId="77777777">
      <w:pPr>
        <w:numPr>
          <w:ilvl w:val="0"/>
          <w:numId w:val="11"/>
        </w:numPr>
        <w:rPr>
          <w:rFonts w:ascii="Times New Roman" w:hAnsi="Times New Roman" w:cs="Times New Roman"/>
          <w:szCs w:val="22"/>
        </w:rPr>
      </w:pPr>
      <w:r w:rsidRPr="000032E0">
        <w:rPr>
          <w:rFonts w:ascii="Times New Roman" w:hAnsi="Times New Roman" w:cs="Times New Roman"/>
          <w:szCs w:val="22"/>
        </w:rPr>
        <w:t>Earmarked transfers significantly improved service equity in central and western provinces.</w:t>
      </w:r>
    </w:p>
    <w:p w:rsidRPr="000032E0" w:rsidR="000032E0" w:rsidP="000032E0" w:rsidRDefault="000032E0" w14:paraId="762051BE" w14:textId="77777777">
      <w:pPr>
        <w:numPr>
          <w:ilvl w:val="0"/>
          <w:numId w:val="11"/>
        </w:numPr>
        <w:rPr>
          <w:rFonts w:ascii="Times New Roman" w:hAnsi="Times New Roman" w:cs="Times New Roman"/>
          <w:szCs w:val="22"/>
        </w:rPr>
      </w:pPr>
      <w:r w:rsidRPr="000032E0">
        <w:rPr>
          <w:rFonts w:ascii="Times New Roman" w:hAnsi="Times New Roman" w:cs="Times New Roman"/>
          <w:szCs w:val="22"/>
        </w:rPr>
        <w:t>Substantial variation in fiscal execution undermines uniform policy effectiveness.</w:t>
      </w:r>
    </w:p>
    <w:p w:rsidRPr="000032E0" w:rsidR="000032E0" w:rsidP="000032E0" w:rsidRDefault="000032E0" w14:paraId="50ECC9FA" w14:textId="77777777">
      <w:pPr>
        <w:numPr>
          <w:ilvl w:val="0"/>
          <w:numId w:val="11"/>
        </w:numPr>
        <w:rPr>
          <w:rFonts w:ascii="Times New Roman" w:hAnsi="Times New Roman" w:cs="Times New Roman"/>
          <w:szCs w:val="22"/>
        </w:rPr>
      </w:pPr>
      <w:r w:rsidRPr="000032E0">
        <w:rPr>
          <w:rFonts w:ascii="Times New Roman" w:hAnsi="Times New Roman" w:cs="Times New Roman"/>
          <w:szCs w:val="22"/>
        </w:rPr>
        <w:t>Current performance systems prioritize compliance over actual outcomes.</w:t>
      </w:r>
    </w:p>
    <w:p w:rsidRPr="000032E0" w:rsidR="000032E0" w:rsidP="000032E0" w:rsidRDefault="000032E0" w14:paraId="270D61A6" w14:textId="77777777">
      <w:pPr>
        <w:numPr>
          <w:ilvl w:val="0"/>
          <w:numId w:val="11"/>
        </w:numPr>
        <w:rPr>
          <w:rFonts w:ascii="Times New Roman" w:hAnsi="Times New Roman" w:cs="Times New Roman"/>
          <w:szCs w:val="22"/>
        </w:rPr>
      </w:pPr>
      <w:r w:rsidRPr="000032E0">
        <w:rPr>
          <w:rFonts w:ascii="Times New Roman" w:hAnsi="Times New Roman" w:cs="Times New Roman"/>
          <w:szCs w:val="22"/>
        </w:rPr>
        <w:t>Data silos impede real-time evaluation and adaptive planning.</w:t>
      </w:r>
    </w:p>
    <w:p w:rsidRPr="000032E0" w:rsidR="000032E0" w:rsidP="31EFDD8A" w:rsidRDefault="000032E0" w14:paraId="4767F160" w14:textId="77777777" w14:noSpellErr="1">
      <w:pPr>
        <w:numPr>
          <w:ilvl w:val="0"/>
          <w:numId w:val="11"/>
        </w:numPr>
        <w:rPr>
          <w:rFonts w:ascii="Times New Roman" w:hAnsi="Times New Roman" w:cs="Times New Roman"/>
        </w:rPr>
      </w:pPr>
      <w:r w:rsidRPr="31EFDD8A" w:rsidR="31EFDD8A">
        <w:rPr>
          <w:rFonts w:ascii="Times New Roman" w:hAnsi="Times New Roman" w:cs="Times New Roman"/>
        </w:rPr>
        <w:t xml:space="preserve">Reform should target incentive alignment, system interoperability, and local </w:t>
      </w:r>
      <w:r w:rsidRPr="31EFDD8A" w:rsidR="31EFDD8A">
        <w:rPr>
          <w:rFonts w:ascii="Times New Roman" w:hAnsi="Times New Roman" w:cs="Times New Roman"/>
        </w:rPr>
        <w:t>capacity</w:t>
      </w:r>
      <w:r w:rsidRPr="31EFDD8A" w:rsidR="31EFDD8A">
        <w:rPr>
          <w:rFonts w:ascii="Times New Roman" w:hAnsi="Times New Roman" w:cs="Times New Roman"/>
        </w:rPr>
        <w:t>.</w:t>
      </w:r>
    </w:p>
    <w:p w:rsidR="31EFDD8A" w:rsidP="31EFDD8A" w:rsidRDefault="31EFDD8A" w14:paraId="4C0DD285" w14:textId="7006159A">
      <w:pPr>
        <w:rPr>
          <w:rFonts w:ascii="Times New Roman" w:hAnsi="Times New Roman" w:cs="Times New Roman"/>
        </w:rPr>
      </w:pPr>
    </w:p>
    <w:p w:rsidRPr="000032E0" w:rsidR="000032E0" w:rsidP="000032E0" w:rsidRDefault="000032E0" w14:paraId="79A3C211" w14:textId="77777777">
      <w:pPr>
        <w:jc w:val="both"/>
        <w:rPr>
          <w:rFonts w:ascii="Times New Roman" w:hAnsi="Times New Roman" w:cs="Times New Roman"/>
          <w:szCs w:val="22"/>
        </w:rPr>
      </w:pPr>
      <w:r w:rsidRPr="000032E0">
        <w:rPr>
          <w:rFonts w:ascii="Times New Roman" w:hAnsi="Times New Roman" w:cs="Times New Roman"/>
          <w:szCs w:val="22"/>
        </w:rPr>
        <w:t xml:space="preserve">China’s Healthy China 2030 strategy prioritizes equitable access to public health services as a key component of modern governance. Since the 2009 healthcare reform, the central government has employed earmarked transfers to support local delivery of basic public health programs such as immunization, chronic disease management, and health record systems. Despite growing financial commitment, implementation remains uneven due to structural tension between centralized objectives and local </w:t>
      </w:r>
      <w:proofErr w:type="gramStart"/>
      <w:r w:rsidRPr="000032E0">
        <w:rPr>
          <w:rFonts w:ascii="Times New Roman" w:hAnsi="Times New Roman" w:cs="Times New Roman"/>
          <w:szCs w:val="22"/>
        </w:rPr>
        <w:t>constraints.¹</w:t>
      </w:r>
      <w:proofErr w:type="gramEnd"/>
    </w:p>
    <w:p w:rsidRPr="000032E0" w:rsidR="000032E0" w:rsidP="31EFDD8A" w:rsidRDefault="000032E0" w14:paraId="1A591059" w14:textId="77777777" w14:noSpellErr="1">
      <w:pPr>
        <w:jc w:val="both"/>
        <w:rPr>
          <w:rFonts w:ascii="Times New Roman" w:hAnsi="Times New Roman" w:cs="Times New Roman"/>
        </w:rPr>
      </w:pPr>
      <w:r w:rsidRPr="31EFDD8A" w:rsidR="31EFDD8A">
        <w:rPr>
          <w:rFonts w:ascii="Times New Roman" w:hAnsi="Times New Roman" w:cs="Times New Roman"/>
        </w:rPr>
        <w:t xml:space="preserve">Most existing research examines service coverage or aggregate spending trends but does not sufficiently address the institutional logic of fiscal policy design. This paper fills that gap by evaluating how </w:t>
      </w:r>
      <w:r w:rsidRPr="31EFDD8A" w:rsidR="31EFDD8A">
        <w:rPr>
          <w:rFonts w:ascii="Times New Roman" w:hAnsi="Times New Roman" w:cs="Times New Roman"/>
        </w:rPr>
        <w:t xml:space="preserve">intergovernmental fiscal mechanisms influence subnational governance behavior and what institutional adjustments could improve system </w:t>
      </w:r>
      <w:r w:rsidRPr="31EFDD8A" w:rsidR="31EFDD8A">
        <w:rPr>
          <w:rFonts w:ascii="Times New Roman" w:hAnsi="Times New Roman" w:cs="Times New Roman"/>
        </w:rPr>
        <w:t>performance.²</w:t>
      </w:r>
    </w:p>
    <w:p w:rsidR="31EFDD8A" w:rsidP="31EFDD8A" w:rsidRDefault="31EFDD8A" w14:paraId="10CC81CD" w14:textId="41743D1B">
      <w:pPr>
        <w:jc w:val="both"/>
        <w:rPr>
          <w:rFonts w:ascii="Times New Roman" w:hAnsi="Times New Roman" w:cs="Times New Roman"/>
        </w:rPr>
      </w:pPr>
    </w:p>
    <w:p w:rsidRPr="000032E0" w:rsidR="000032E0" w:rsidP="000032E0" w:rsidRDefault="000032E0" w14:paraId="65D4D7B5" w14:textId="77777777">
      <w:pPr>
        <w:jc w:val="both"/>
        <w:rPr>
          <w:rFonts w:ascii="Times New Roman" w:hAnsi="Times New Roman" w:cs="Times New Roman"/>
          <w:szCs w:val="22"/>
        </w:rPr>
      </w:pPr>
      <w:r w:rsidRPr="000032E0">
        <w:rPr>
          <w:rFonts w:ascii="Times New Roman" w:hAnsi="Times New Roman" w:cs="Times New Roman"/>
          <w:b/>
          <w:bCs/>
          <w:sz w:val="28"/>
          <w:szCs w:val="28"/>
        </w:rPr>
        <w:t>Theory</w:t>
      </w:r>
      <w:r w:rsidRPr="000032E0">
        <w:rPr>
          <w:rFonts w:ascii="Times New Roman" w:hAnsi="Times New Roman" w:cs="Times New Roman"/>
          <w:sz w:val="28"/>
          <w:szCs w:val="28"/>
        </w:rPr>
        <w:br/>
      </w:r>
      <w:r w:rsidRPr="000032E0">
        <w:rPr>
          <w:rFonts w:ascii="Times New Roman" w:hAnsi="Times New Roman" w:cs="Times New Roman"/>
          <w:szCs w:val="22"/>
        </w:rPr>
        <w:t>We draw on fiscal incentive theory, which examines how financial rewards influence local government behavior, and multi-level governance theory, which explores how authority and coordination are shared across different levels of government in complex systems. The former highlights the role of performance-oriented transfers in shaping local behavior, while the latter underscores coordination complexity in hierarchical health systems.</w:t>
      </w:r>
    </w:p>
    <w:p w:rsidRPr="000032E0" w:rsidR="000032E0" w:rsidP="000032E0" w:rsidRDefault="000032E0" w14:paraId="31642F7E" w14:textId="77777777">
      <w:pPr>
        <w:jc w:val="both"/>
        <w:rPr>
          <w:rFonts w:ascii="Times New Roman" w:hAnsi="Times New Roman" w:cs="Times New Roman"/>
          <w:szCs w:val="22"/>
        </w:rPr>
      </w:pPr>
      <w:r w:rsidRPr="31EFDD8A" w:rsidR="31EFDD8A">
        <w:rPr>
          <w:rFonts w:ascii="Times New Roman" w:hAnsi="Times New Roman" w:cs="Times New Roman"/>
          <w:i w:val="1"/>
          <w:iCs w:val="1"/>
        </w:rPr>
        <w:t>Fiscal Contracts and Governance Responsiveness.</w:t>
      </w:r>
      <w:r w:rsidRPr="31EFDD8A" w:rsidR="31EFDD8A">
        <w:rPr>
          <w:rFonts w:ascii="Times New Roman" w:hAnsi="Times New Roman" w:cs="Times New Roman"/>
        </w:rPr>
        <w:t xml:space="preserve"> When earmarked transfers are tied to clear, outcome-based goals and linked to follow-up allocations, local governments are more likely to respond proactively. However, when indicators are ambiguous or feedback is delayed, formal compliance often supplants substantive performance.</w:t>
      </w:r>
    </w:p>
    <w:p w:rsidR="31EFDD8A" w:rsidP="31EFDD8A" w:rsidRDefault="31EFDD8A" w14:paraId="33A3DD92" w14:textId="3C59C6C7">
      <w:pPr>
        <w:jc w:val="both"/>
        <w:rPr>
          <w:rFonts w:ascii="Times New Roman" w:hAnsi="Times New Roman" w:cs="Times New Roman"/>
        </w:rPr>
      </w:pPr>
    </w:p>
    <w:p w:rsidRPr="000032E0" w:rsidR="000032E0" w:rsidP="000032E0" w:rsidRDefault="000032E0" w14:paraId="6B7ECE76" w14:textId="77777777">
      <w:pPr>
        <w:jc w:val="both"/>
        <w:rPr>
          <w:rFonts w:ascii="Times New Roman" w:hAnsi="Times New Roman" w:cs="Times New Roman"/>
          <w:szCs w:val="22"/>
        </w:rPr>
      </w:pPr>
      <w:r w:rsidRPr="31EFDD8A" w:rsidR="31EFDD8A">
        <w:rPr>
          <w:rFonts w:ascii="Times New Roman" w:hAnsi="Times New Roman" w:cs="Times New Roman"/>
          <w:b w:val="1"/>
          <w:bCs w:val="1"/>
          <w:sz w:val="28"/>
          <w:szCs w:val="28"/>
        </w:rPr>
        <w:t>Methods</w:t>
      </w:r>
      <w:r>
        <w:br/>
      </w:r>
      <w:r w:rsidRPr="31EFDD8A" w:rsidR="31EFDD8A">
        <w:rPr>
          <w:rFonts w:ascii="Times New Roman" w:hAnsi="Times New Roman" w:cs="Times New Roman"/>
        </w:rPr>
        <w:t>A mixed-methods approach was used to capture both measurable policy effects and the institutional mechanisms underlying fiscal decision-making. Quantitative analysis employed panel data from 31 provinces (2015–2022) using fixed effects and difference-in-differences models to assess trends in health service outcomes. Qualitative insights were derived from 40 interviews with officials from finance and health departments in Beijing, Sichuan, Gansu, and Hunan, providing context for administrative practices and interpretation of fiscal data. Thematic coding and policy discourse analysis were applied.</w:t>
      </w:r>
    </w:p>
    <w:p w:rsidR="31EFDD8A" w:rsidP="31EFDD8A" w:rsidRDefault="31EFDD8A" w14:paraId="2DCC8200" w14:textId="0ACE3DE6">
      <w:pPr>
        <w:jc w:val="both"/>
        <w:rPr>
          <w:rFonts w:ascii="Times New Roman" w:hAnsi="Times New Roman" w:cs="Times New Roman"/>
        </w:rPr>
      </w:pPr>
    </w:p>
    <w:p w:rsidRPr="000032E0" w:rsidR="000032E0" w:rsidP="008A4E9A" w:rsidRDefault="000032E0" w14:paraId="7AC36EF6" w14:textId="77777777">
      <w:pPr>
        <w:jc w:val="both"/>
        <w:rPr>
          <w:rFonts w:ascii="Times New Roman" w:hAnsi="Times New Roman" w:cs="Times New Roman"/>
          <w:sz w:val="28"/>
          <w:szCs w:val="28"/>
        </w:rPr>
      </w:pPr>
      <w:r w:rsidRPr="31EFDD8A" w:rsidR="31EFDD8A">
        <w:rPr>
          <w:rFonts w:ascii="Times New Roman" w:hAnsi="Times New Roman" w:cs="Times New Roman"/>
          <w:b w:val="1"/>
          <w:bCs w:val="1"/>
          <w:sz w:val="28"/>
          <w:szCs w:val="28"/>
        </w:rPr>
        <w:t>Results</w:t>
      </w:r>
      <w:r>
        <w:br/>
      </w:r>
      <w:r w:rsidRPr="31EFDD8A" w:rsidR="31EFDD8A">
        <w:rPr>
          <w:rFonts w:ascii="Times New Roman" w:hAnsi="Times New Roman" w:cs="Times New Roman"/>
        </w:rPr>
        <w:t>Regression results show a positive association between earmarked transfers and health coverage indicators (e.g., immunization rates, health record access), especially in central and western regions ([Table 1 here]). However, fiscal performance varied widely across provinces. Interviews revealed concerns about bureaucratic inertia, unclear performance metrics, and fragmented data systems.</w:t>
      </w:r>
    </w:p>
    <w:p w:rsidR="31EFDD8A" w:rsidP="31EFDD8A" w:rsidRDefault="31EFDD8A" w14:paraId="4A9DDC58" w14:textId="396CDA2B">
      <w:pPr>
        <w:jc w:val="both"/>
        <w:rPr>
          <w:rFonts w:ascii="Times New Roman" w:hAnsi="Times New Roman" w:cs="Times New Roman"/>
        </w:rPr>
      </w:pPr>
    </w:p>
    <w:p w:rsidRPr="000032E0" w:rsidR="000032E0" w:rsidP="000032E0" w:rsidRDefault="000032E0" w14:paraId="3684DB5D" w14:textId="77777777">
      <w:pPr>
        <w:rPr>
          <w:rFonts w:ascii="Times New Roman" w:hAnsi="Times New Roman" w:cs="Times New Roman"/>
          <w:szCs w:val="22"/>
        </w:rPr>
      </w:pPr>
      <w:r w:rsidRPr="000032E0">
        <w:rPr>
          <w:rFonts w:ascii="Times New Roman" w:hAnsi="Times New Roman" w:cs="Times New Roman"/>
          <w:b/>
          <w:bCs/>
          <w:sz w:val="28"/>
          <w:szCs w:val="28"/>
        </w:rPr>
        <w:t>Discussion</w:t>
      </w:r>
      <w:r w:rsidRPr="000032E0">
        <w:rPr>
          <w:rFonts w:ascii="Times New Roman" w:hAnsi="Times New Roman" w:cs="Times New Roman"/>
          <w:sz w:val="28"/>
          <w:szCs w:val="28"/>
        </w:rPr>
        <w:br/>
      </w:r>
      <w:r w:rsidRPr="000032E0">
        <w:rPr>
          <w:rFonts w:ascii="Times New Roman" w:hAnsi="Times New Roman" w:cs="Times New Roman"/>
          <w:szCs w:val="22"/>
        </w:rPr>
        <w:t>Findings confirm the catalytic role of fiscal incentives but highlight three systemic barriers: imprecise goals, delayed feedback, and weak local implementation capacity. Compared with OECD benchmarks, China’s centralized system lacks tailored mechanisms for horizontal and vertical policy coordination.</w:t>
      </w:r>
    </w:p>
    <w:p w:rsidRPr="000032E0" w:rsidR="000032E0" w:rsidP="000032E0" w:rsidRDefault="000032E0" w14:paraId="21E04C57" w14:textId="77777777">
      <w:pPr>
        <w:rPr>
          <w:rFonts w:ascii="Times New Roman" w:hAnsi="Times New Roman" w:cs="Times New Roman"/>
          <w:szCs w:val="22"/>
        </w:rPr>
      </w:pPr>
      <w:r w:rsidRPr="31EFDD8A" w:rsidR="31EFDD8A">
        <w:rPr>
          <w:rFonts w:ascii="Times New Roman" w:hAnsi="Times New Roman" w:cs="Times New Roman"/>
        </w:rPr>
        <w:t>A “3-in-1” reform strategy is proposed: (1) clearly defined performance contracts; (2) integrated fiscal and health information systems; (3) sustained investment in subnational public management training.</w:t>
      </w:r>
    </w:p>
    <w:p w:rsidR="31EFDD8A" w:rsidP="31EFDD8A" w:rsidRDefault="31EFDD8A" w14:paraId="1477DD0B" w14:textId="6185753B">
      <w:pPr>
        <w:rPr>
          <w:rFonts w:ascii="Times New Roman" w:hAnsi="Times New Roman" w:cs="Times New Roman"/>
        </w:rPr>
      </w:pPr>
    </w:p>
    <w:p w:rsidRPr="000032E0" w:rsidR="000032E0" w:rsidP="31EFDD8A" w:rsidRDefault="000032E0" w14:paraId="34DD5902" w14:textId="77777777" w14:noSpellErr="1">
      <w:pPr>
        <w:jc w:val="both"/>
        <w:rPr>
          <w:rFonts w:ascii="Times New Roman" w:hAnsi="Times New Roman" w:cs="Times New Roman"/>
        </w:rPr>
      </w:pPr>
      <w:r w:rsidRPr="31EFDD8A" w:rsidR="31EFDD8A">
        <w:rPr>
          <w:rFonts w:ascii="Times New Roman" w:hAnsi="Times New Roman" w:cs="Times New Roman"/>
          <w:b w:val="1"/>
          <w:bCs w:val="1"/>
          <w:sz w:val="28"/>
          <w:szCs w:val="28"/>
        </w:rPr>
        <w:t>Conclusion</w:t>
      </w:r>
      <w:r>
        <w:br/>
      </w:r>
      <w:r w:rsidRPr="31EFDD8A" w:rsidR="31EFDD8A">
        <w:rPr>
          <w:rFonts w:ascii="Times New Roman" w:hAnsi="Times New Roman" w:cs="Times New Roman"/>
        </w:rPr>
        <w:t xml:space="preserve">While earmarked transfers have improved health service equity, systemic challenges </w:t>
      </w:r>
      <w:r w:rsidRPr="31EFDD8A" w:rsidR="31EFDD8A">
        <w:rPr>
          <w:rFonts w:ascii="Times New Roman" w:hAnsi="Times New Roman" w:cs="Times New Roman"/>
        </w:rPr>
        <w:t>remain</w:t>
      </w:r>
      <w:r w:rsidRPr="31EFDD8A" w:rsidR="31EFDD8A">
        <w:rPr>
          <w:rFonts w:ascii="Times New Roman" w:hAnsi="Times New Roman" w:cs="Times New Roman"/>
        </w:rPr>
        <w:t xml:space="preserve">. To ensure long-term effectiveness, reforms must implement a "3-in-1" strategy that </w:t>
      </w:r>
      <w:r w:rsidRPr="31EFDD8A" w:rsidR="31EFDD8A">
        <w:rPr>
          <w:rFonts w:ascii="Times New Roman" w:hAnsi="Times New Roman" w:cs="Times New Roman"/>
        </w:rPr>
        <w:t>includes:</w:t>
      </w:r>
      <w:r w:rsidRPr="31EFDD8A" w:rsidR="31EFDD8A">
        <w:rPr>
          <w:rFonts w:ascii="Times New Roman" w:hAnsi="Times New Roman" w:cs="Times New Roman"/>
        </w:rPr>
        <w:t xml:space="preserve"> improving fiscal precision through clearly defined performance-based contracts; enhancing data interoperability by integrating fiscal and health information systems; and strengthening governance </w:t>
      </w:r>
      <w:r w:rsidRPr="31EFDD8A" w:rsidR="31EFDD8A">
        <w:rPr>
          <w:rFonts w:ascii="Times New Roman" w:hAnsi="Times New Roman" w:cs="Times New Roman"/>
        </w:rPr>
        <w:t>capacity</w:t>
      </w:r>
      <w:r w:rsidRPr="31EFDD8A" w:rsidR="31EFDD8A">
        <w:rPr>
          <w:rFonts w:ascii="Times New Roman" w:hAnsi="Times New Roman" w:cs="Times New Roman"/>
        </w:rPr>
        <w:t xml:space="preserve"> through sustained investment in local administrative training. Coordinated fiscal-health governance is key to realizing China’s public health goals.</w:t>
      </w:r>
    </w:p>
    <w:p w:rsidR="31EFDD8A" w:rsidP="31EFDD8A" w:rsidRDefault="31EFDD8A" w14:paraId="309CA7C2" w14:textId="2CFD09BA">
      <w:pPr>
        <w:jc w:val="both"/>
        <w:rPr>
          <w:rFonts w:ascii="Times New Roman" w:hAnsi="Times New Roman" w:cs="Times New Roman"/>
        </w:rPr>
      </w:pPr>
    </w:p>
    <w:p w:rsidR="000032E0" w:rsidP="000032E0" w:rsidRDefault="000032E0" w14:paraId="2AAC6C6F" w14:textId="77777777">
      <w:pPr>
        <w:rPr>
          <w:rFonts w:ascii="Times New Roman" w:hAnsi="Times New Roman" w:cs="Times New Roman"/>
          <w:szCs w:val="22"/>
        </w:rPr>
      </w:pPr>
      <w:r w:rsidRPr="31EFDD8A" w:rsidR="31EFDD8A">
        <w:rPr>
          <w:rFonts w:ascii="Times New Roman" w:hAnsi="Times New Roman" w:cs="Times New Roman"/>
          <w:b w:val="1"/>
          <w:bCs w:val="1"/>
          <w:sz w:val="28"/>
          <w:szCs w:val="28"/>
        </w:rPr>
        <w:t>Tables and Figures</w:t>
      </w:r>
      <w:r>
        <w:br/>
      </w:r>
      <w:r w:rsidRPr="31EFDD8A" w:rsidR="31EFDD8A">
        <w:rPr>
          <w:rFonts w:ascii="Times New Roman" w:hAnsi="Times New Roman" w:cs="Times New Roman"/>
        </w:rPr>
        <w:t>[Table 1 here] Regression Results on Transfers and Service Coverage</w:t>
      </w:r>
      <w:r>
        <w:br/>
      </w:r>
      <w:r w:rsidRPr="31EFDD8A" w:rsidR="31EFDD8A">
        <w:rPr>
          <w:rFonts w:ascii="Times New Roman" w:hAnsi="Times New Roman" w:cs="Times New Roman"/>
        </w:rPr>
        <w:t>[Figure 1 here] Geographic Distribution of Transfer Intensity and Health Indicators</w:t>
      </w:r>
    </w:p>
    <w:p w:rsidR="31EFDD8A" w:rsidP="31EFDD8A" w:rsidRDefault="31EFDD8A" w14:paraId="7A342FF2" w14:textId="771BDD97">
      <w:pPr>
        <w:rPr>
          <w:rFonts w:ascii="Times New Roman" w:hAnsi="Times New Roman" w:cs="Times New Roman"/>
        </w:rPr>
      </w:pPr>
    </w:p>
    <w:p w:rsidRPr="007471E8" w:rsidR="007471E8" w:rsidP="007471E8" w:rsidRDefault="007471E8" w14:paraId="7F354F86" w14:textId="77777777">
      <w:pPr>
        <w:pStyle w:val="afa"/>
        <w:jc w:val="both"/>
        <w:rPr>
          <w:rFonts w:ascii="Times New Roman" w:hAnsi="Times New Roman" w:cs="Times New Roman"/>
        </w:rPr>
      </w:pPr>
      <w:r w:rsidRPr="31EFDD8A" w:rsidR="31EFDD8A">
        <w:rPr>
          <w:rStyle w:val="afb"/>
          <w:rFonts w:ascii="Times New Roman" w:hAnsi="Times New Roman" w:cs="Times New Roman"/>
          <w:sz w:val="28"/>
          <w:szCs w:val="28"/>
        </w:rPr>
        <w:t>Acknowledgments</w:t>
      </w:r>
      <w:r>
        <w:br/>
      </w:r>
      <w:r w:rsidRPr="31EFDD8A" w:rsidR="31EFDD8A">
        <w:rPr>
          <w:rFonts w:ascii="Times New Roman" w:hAnsi="Times New Roman" w:cs="Times New Roman"/>
          <w:sz w:val="22"/>
          <w:szCs w:val="22"/>
        </w:rPr>
        <w:t>The authors thank Dr. Lin Zhang (Tsinghua University) for her comments on early versions of the manuscript. This research was supported by the University of Michigan Policy Innovation Lab and the German Research Foundation (DFG).</w:t>
      </w:r>
    </w:p>
    <w:p w:rsidR="31EFDD8A" w:rsidP="31EFDD8A" w:rsidRDefault="31EFDD8A" w14:paraId="4318A3FF" w14:textId="561C0E9B">
      <w:pPr>
        <w:pStyle w:val="afa"/>
        <w:jc w:val="both"/>
        <w:rPr>
          <w:rFonts w:ascii="Times New Roman" w:hAnsi="Times New Roman" w:cs="Times New Roman"/>
          <w:sz w:val="22"/>
          <w:szCs w:val="22"/>
        </w:rPr>
      </w:pPr>
    </w:p>
    <w:p w:rsidRPr="007471E8" w:rsidR="007471E8" w:rsidP="007471E8" w:rsidRDefault="007471E8" w14:paraId="3B38C32A" w14:textId="77777777">
      <w:pPr>
        <w:pStyle w:val="afa"/>
        <w:rPr>
          <w:rFonts w:ascii="Times New Roman" w:hAnsi="Times New Roman" w:cs="Times New Roman"/>
        </w:rPr>
      </w:pPr>
      <w:r w:rsidRPr="31EFDD8A" w:rsidR="31EFDD8A">
        <w:rPr>
          <w:rStyle w:val="afb"/>
          <w:rFonts w:ascii="Times New Roman" w:hAnsi="Times New Roman" w:cs="Times New Roman"/>
          <w:sz w:val="28"/>
          <w:szCs w:val="28"/>
        </w:rPr>
        <w:t>Funding</w:t>
      </w:r>
      <w:r>
        <w:br/>
      </w:r>
      <w:r w:rsidRPr="31EFDD8A" w:rsidR="31EFDD8A">
        <w:rPr>
          <w:rFonts w:ascii="Times New Roman" w:hAnsi="Times New Roman" w:cs="Times New Roman"/>
          <w:sz w:val="22"/>
          <w:szCs w:val="22"/>
        </w:rPr>
        <w:t>This study was funded by internal research grants from the University of Michigan and the University of Heidelberg.</w:t>
      </w:r>
    </w:p>
    <w:p w:rsidR="31EFDD8A" w:rsidP="31EFDD8A" w:rsidRDefault="31EFDD8A" w14:paraId="1B0556B0" w14:textId="18DFDFEC">
      <w:pPr>
        <w:pStyle w:val="afa"/>
        <w:rPr>
          <w:rFonts w:ascii="Times New Roman" w:hAnsi="Times New Roman" w:cs="Times New Roman"/>
          <w:sz w:val="22"/>
          <w:szCs w:val="22"/>
        </w:rPr>
      </w:pPr>
    </w:p>
    <w:p w:rsidRPr="007471E8" w:rsidR="007471E8" w:rsidP="007471E8" w:rsidRDefault="007471E8" w14:paraId="0BA3E2ED" w14:textId="77777777">
      <w:pPr>
        <w:pStyle w:val="afa"/>
        <w:rPr>
          <w:rFonts w:ascii="Times New Roman" w:hAnsi="Times New Roman" w:cs="Times New Roman"/>
        </w:rPr>
      </w:pPr>
      <w:r w:rsidRPr="31EFDD8A" w:rsidR="31EFDD8A">
        <w:rPr>
          <w:rStyle w:val="afb"/>
          <w:rFonts w:ascii="Times New Roman" w:hAnsi="Times New Roman" w:cs="Times New Roman"/>
          <w:sz w:val="28"/>
          <w:szCs w:val="28"/>
        </w:rPr>
        <w:t>Conflict of Interest</w:t>
      </w:r>
      <w:r>
        <w:br/>
      </w:r>
      <w:r w:rsidRPr="31EFDD8A" w:rsidR="31EFDD8A">
        <w:rPr>
          <w:rFonts w:ascii="Times New Roman" w:hAnsi="Times New Roman" w:cs="Times New Roman"/>
        </w:rPr>
        <w:t>The authors declare no conflict of interest.</w:t>
      </w:r>
    </w:p>
    <w:p w:rsidR="31EFDD8A" w:rsidP="31EFDD8A" w:rsidRDefault="31EFDD8A" w14:paraId="24889079" w14:textId="4795FEC2">
      <w:pPr>
        <w:pStyle w:val="afa"/>
        <w:rPr>
          <w:rFonts w:ascii="Times New Roman" w:hAnsi="Times New Roman" w:cs="Times New Roman"/>
        </w:rPr>
      </w:pPr>
    </w:p>
    <w:p w:rsidRPr="000032E0" w:rsidR="000032E0" w:rsidP="000032E0" w:rsidRDefault="000032E0" w14:paraId="33C89579" w14:textId="77777777">
      <w:pPr>
        <w:rPr>
          <w:rFonts w:ascii="Times New Roman" w:hAnsi="Times New Roman" w:cs="Times New Roman"/>
          <w:sz w:val="28"/>
          <w:szCs w:val="28"/>
        </w:rPr>
      </w:pPr>
      <w:r w:rsidRPr="000032E0">
        <w:rPr>
          <w:rFonts w:ascii="Times New Roman" w:hAnsi="Times New Roman" w:cs="Times New Roman"/>
          <w:b/>
          <w:bCs/>
          <w:sz w:val="28"/>
          <w:szCs w:val="28"/>
        </w:rPr>
        <w:t>Endnotes</w:t>
      </w:r>
    </w:p>
    <w:p w:rsidRPr="000032E0" w:rsidR="000032E0" w:rsidP="000032E0" w:rsidRDefault="000032E0" w14:paraId="311B10CF" w14:textId="77777777">
      <w:pPr>
        <w:numPr>
          <w:ilvl w:val="0"/>
          <w:numId w:val="12"/>
        </w:numPr>
        <w:rPr>
          <w:rFonts w:ascii="Times New Roman" w:hAnsi="Times New Roman" w:cs="Times New Roman"/>
          <w:szCs w:val="22"/>
        </w:rPr>
      </w:pPr>
      <w:r w:rsidRPr="000032E0">
        <w:rPr>
          <w:rFonts w:ascii="Times New Roman" w:hAnsi="Times New Roman" w:cs="Times New Roman"/>
          <w:szCs w:val="22"/>
        </w:rPr>
        <w:t>Data sources include the National Health Commission statistical yearbooks (2016–2023) and Ministry of Finance expenditure reports.</w:t>
      </w:r>
    </w:p>
    <w:p w:rsidRPr="000032E0" w:rsidR="000032E0" w:rsidP="000032E0" w:rsidRDefault="000032E0" w14:paraId="7660A478" w14:textId="77777777">
      <w:pPr>
        <w:numPr>
          <w:ilvl w:val="0"/>
          <w:numId w:val="12"/>
        </w:numPr>
        <w:rPr>
          <w:rFonts w:ascii="Times New Roman" w:hAnsi="Times New Roman" w:cs="Times New Roman"/>
          <w:szCs w:val="22"/>
        </w:rPr>
      </w:pPr>
      <w:r w:rsidRPr="31EFDD8A" w:rsidR="31EFDD8A">
        <w:rPr>
          <w:rFonts w:ascii="Times New Roman" w:hAnsi="Times New Roman" w:cs="Times New Roman"/>
        </w:rPr>
        <w:t>Interviews covered local officials in four provinces with varying fiscal capacity and demographic profiles.</w:t>
      </w:r>
    </w:p>
    <w:p w:rsidR="31EFDD8A" w:rsidP="31EFDD8A" w:rsidRDefault="31EFDD8A" w14:paraId="5C429A3D" w14:textId="217F9777">
      <w:pPr>
        <w:rPr>
          <w:rFonts w:ascii="Times New Roman" w:hAnsi="Times New Roman" w:cs="Times New Roman"/>
        </w:rPr>
      </w:pPr>
    </w:p>
    <w:p w:rsidR="000032E0" w:rsidP="000032E0" w:rsidRDefault="000032E0" w14:paraId="74929689" w14:textId="77777777">
      <w:pPr>
        <w:rPr>
          <w:rFonts w:ascii="Times New Roman" w:hAnsi="Times New Roman" w:cs="Times New Roman"/>
          <w:szCs w:val="22"/>
        </w:rPr>
      </w:pPr>
      <w:r w:rsidRPr="000032E0">
        <w:rPr>
          <w:rFonts w:ascii="Times New Roman" w:hAnsi="Times New Roman" w:cs="Times New Roman"/>
          <w:b/>
          <w:bCs/>
          <w:sz w:val="28"/>
          <w:szCs w:val="28"/>
        </w:rPr>
        <w:t>References</w:t>
      </w:r>
      <w:r w:rsidRPr="000032E0">
        <w:rPr>
          <w:rFonts w:ascii="Times New Roman" w:hAnsi="Times New Roman" w:cs="Times New Roman"/>
          <w:sz w:val="28"/>
          <w:szCs w:val="28"/>
        </w:rPr>
        <w:br/>
      </w:r>
      <w:r w:rsidRPr="000032E0">
        <w:rPr>
          <w:rFonts w:ascii="Times New Roman" w:hAnsi="Times New Roman" w:cs="Times New Roman"/>
          <w:szCs w:val="22"/>
        </w:rPr>
        <w:t xml:space="preserve">Liu, </w:t>
      </w:r>
      <w:proofErr w:type="spellStart"/>
      <w:r w:rsidRPr="000032E0">
        <w:rPr>
          <w:rFonts w:ascii="Times New Roman" w:hAnsi="Times New Roman" w:cs="Times New Roman"/>
          <w:szCs w:val="22"/>
        </w:rPr>
        <w:t>Yuanli</w:t>
      </w:r>
      <w:proofErr w:type="spellEnd"/>
      <w:r w:rsidRPr="000032E0">
        <w:rPr>
          <w:rFonts w:ascii="Times New Roman" w:hAnsi="Times New Roman" w:cs="Times New Roman"/>
          <w:szCs w:val="22"/>
        </w:rPr>
        <w:t xml:space="preserve">, and </w:t>
      </w:r>
      <w:proofErr w:type="spellStart"/>
      <w:r w:rsidRPr="000032E0">
        <w:rPr>
          <w:rFonts w:ascii="Times New Roman" w:hAnsi="Times New Roman" w:cs="Times New Roman"/>
          <w:szCs w:val="22"/>
        </w:rPr>
        <w:t>Shenglan</w:t>
      </w:r>
      <w:proofErr w:type="spellEnd"/>
      <w:r w:rsidRPr="000032E0">
        <w:rPr>
          <w:rFonts w:ascii="Times New Roman" w:hAnsi="Times New Roman" w:cs="Times New Roman"/>
          <w:szCs w:val="22"/>
        </w:rPr>
        <w:t xml:space="preserve"> Tang. 2020. </w:t>
      </w:r>
      <w:r w:rsidRPr="000032E0">
        <w:rPr>
          <w:rFonts w:ascii="Times New Roman" w:hAnsi="Times New Roman" w:cs="Times New Roman"/>
          <w:i/>
          <w:iCs/>
          <w:szCs w:val="22"/>
        </w:rPr>
        <w:t>Health Financing in China: Reforms and Future Directions</w:t>
      </w:r>
      <w:r w:rsidRPr="000032E0">
        <w:rPr>
          <w:rFonts w:ascii="Times New Roman" w:hAnsi="Times New Roman" w:cs="Times New Roman"/>
          <w:szCs w:val="22"/>
        </w:rPr>
        <w:t>. Singapore: Springer.</w:t>
      </w:r>
      <w:r w:rsidRPr="000032E0">
        <w:rPr>
          <w:rFonts w:ascii="Times New Roman" w:hAnsi="Times New Roman" w:cs="Times New Roman"/>
          <w:szCs w:val="22"/>
        </w:rPr>
        <w:br/>
      </w:r>
      <w:r w:rsidRPr="000032E0">
        <w:rPr>
          <w:rFonts w:ascii="Times New Roman" w:hAnsi="Times New Roman" w:cs="Times New Roman"/>
          <w:szCs w:val="22"/>
        </w:rPr>
        <w:t xml:space="preserve">Zhang, Hui, and Jun Ma. 2021. </w:t>
      </w:r>
      <w:r w:rsidRPr="000032E0">
        <w:rPr>
          <w:rFonts w:ascii="Times New Roman" w:hAnsi="Times New Roman" w:cs="Times New Roman"/>
          <w:i/>
          <w:iCs/>
          <w:szCs w:val="22"/>
        </w:rPr>
        <w:t>Fiscal Policy and Public Health Equity in China</w:t>
      </w:r>
      <w:r w:rsidRPr="000032E0">
        <w:rPr>
          <w:rFonts w:ascii="Times New Roman" w:hAnsi="Times New Roman" w:cs="Times New Roman"/>
          <w:szCs w:val="22"/>
        </w:rPr>
        <w:t xml:space="preserve">. Beijing: Social </w:t>
      </w:r>
      <w:r w:rsidRPr="000032E0">
        <w:rPr>
          <w:rFonts w:ascii="Times New Roman" w:hAnsi="Times New Roman" w:cs="Times New Roman"/>
          <w:szCs w:val="22"/>
        </w:rPr>
        <w:t>Sciences Academic Press.</w:t>
      </w:r>
      <w:r w:rsidRPr="000032E0">
        <w:rPr>
          <w:rFonts w:ascii="Times New Roman" w:hAnsi="Times New Roman" w:cs="Times New Roman"/>
          <w:szCs w:val="22"/>
        </w:rPr>
        <w:br/>
      </w:r>
      <w:r w:rsidRPr="000032E0">
        <w:rPr>
          <w:rFonts w:ascii="Times New Roman" w:hAnsi="Times New Roman" w:cs="Times New Roman"/>
          <w:szCs w:val="22"/>
        </w:rPr>
        <w:t xml:space="preserve">Cohen, Michael J., and Anna Richter. 2023. “Incentive Design and Public Sector Performance: Lessons from Fiscal Transfers in Asia.” </w:t>
      </w:r>
      <w:r w:rsidRPr="000032E0">
        <w:rPr>
          <w:rFonts w:ascii="Times New Roman" w:hAnsi="Times New Roman" w:cs="Times New Roman"/>
          <w:i/>
          <w:iCs/>
          <w:szCs w:val="22"/>
        </w:rPr>
        <w:t>Journal of Comparative Public Administration</w:t>
      </w:r>
      <w:r w:rsidRPr="000032E0">
        <w:rPr>
          <w:rFonts w:ascii="Times New Roman" w:hAnsi="Times New Roman" w:cs="Times New Roman"/>
          <w:szCs w:val="22"/>
        </w:rPr>
        <w:t xml:space="preserve"> 21(2): 45–72.</w:t>
      </w:r>
      <w:r w:rsidRPr="000032E0">
        <w:rPr>
          <w:rFonts w:ascii="Times New Roman" w:hAnsi="Times New Roman" w:cs="Times New Roman"/>
          <w:szCs w:val="22"/>
        </w:rPr>
        <w:br/>
      </w:r>
      <w:r w:rsidRPr="000032E0">
        <w:rPr>
          <w:rFonts w:ascii="Times New Roman" w:hAnsi="Times New Roman" w:cs="Times New Roman"/>
          <w:szCs w:val="22"/>
        </w:rPr>
        <w:t xml:space="preserve">Wang, Yanfeng, and Xiaoming Sun. 2022. “Performance-Based Fiscal Transfers and Local Governance in Health Sector.” </w:t>
      </w:r>
      <w:r w:rsidRPr="000032E0">
        <w:rPr>
          <w:rFonts w:ascii="Times New Roman" w:hAnsi="Times New Roman" w:cs="Times New Roman"/>
          <w:i/>
          <w:iCs/>
          <w:szCs w:val="22"/>
        </w:rPr>
        <w:t>Chinese Journal of Health Policy</w:t>
      </w:r>
      <w:r w:rsidRPr="000032E0">
        <w:rPr>
          <w:rFonts w:ascii="Times New Roman" w:hAnsi="Times New Roman" w:cs="Times New Roman"/>
          <w:szCs w:val="22"/>
        </w:rPr>
        <w:t xml:space="preserve"> 15(4): 12–25.</w:t>
      </w:r>
    </w:p>
    <w:p w:rsidR="008A4E9A" w:rsidP="000032E0" w:rsidRDefault="008A4E9A" w14:paraId="6B030035" w14:textId="77777777">
      <w:pPr>
        <w:rPr>
          <w:rFonts w:ascii="Times New Roman" w:hAnsi="Times New Roman" w:cs="Times New Roman"/>
          <w:szCs w:val="22"/>
        </w:rPr>
      </w:pPr>
    </w:p>
    <w:p w:rsidR="008A4E9A" w:rsidP="000032E0" w:rsidRDefault="008A4E9A" w14:paraId="47CCDED8" w14:textId="77777777">
      <w:pPr>
        <w:rPr>
          <w:rFonts w:ascii="Times New Roman" w:hAnsi="Times New Roman" w:cs="Times New Roman"/>
          <w:szCs w:val="22"/>
        </w:rPr>
      </w:pPr>
    </w:p>
    <w:p w:rsidR="008A4E9A" w:rsidP="000032E0" w:rsidRDefault="008A4E9A" w14:paraId="7090E5A6" w14:textId="77777777">
      <w:pPr>
        <w:rPr>
          <w:rFonts w:ascii="Times New Roman" w:hAnsi="Times New Roman" w:cs="Times New Roman"/>
          <w:szCs w:val="22"/>
        </w:rPr>
      </w:pPr>
    </w:p>
    <w:p w:rsidR="008A4E9A" w:rsidP="000032E0" w:rsidRDefault="008A4E9A" w14:paraId="4914E6B8" w14:textId="77777777">
      <w:pPr>
        <w:rPr>
          <w:rFonts w:ascii="Times New Roman" w:hAnsi="Times New Roman" w:cs="Times New Roman"/>
          <w:szCs w:val="22"/>
        </w:rPr>
      </w:pPr>
    </w:p>
    <w:p w:rsidR="008A4E9A" w:rsidP="000032E0" w:rsidRDefault="008A4E9A" w14:paraId="64063DE0" w14:textId="77777777">
      <w:pPr>
        <w:rPr>
          <w:rFonts w:ascii="Times New Roman" w:hAnsi="Times New Roman" w:cs="Times New Roman"/>
          <w:szCs w:val="22"/>
        </w:rPr>
      </w:pPr>
    </w:p>
    <w:p w:rsidR="008A4E9A" w:rsidP="000032E0" w:rsidRDefault="008A4E9A" w14:paraId="06BA0889" w14:textId="77777777">
      <w:pPr>
        <w:rPr>
          <w:rFonts w:ascii="Times New Roman" w:hAnsi="Times New Roman" w:cs="Times New Roman"/>
          <w:szCs w:val="22"/>
        </w:rPr>
      </w:pPr>
    </w:p>
    <w:p w:rsidR="007471E8" w:rsidP="000032E0" w:rsidRDefault="007471E8" w14:paraId="3DB0E0E5" w14:textId="77777777">
      <w:pPr>
        <w:rPr>
          <w:rFonts w:ascii="Times New Roman" w:hAnsi="Times New Roman" w:cs="Times New Roman"/>
          <w:szCs w:val="22"/>
        </w:rPr>
      </w:pPr>
    </w:p>
    <w:p w:rsidR="007471E8" w:rsidP="000032E0" w:rsidRDefault="007471E8" w14:paraId="20066CC3" w14:textId="77777777">
      <w:pPr>
        <w:rPr>
          <w:rFonts w:ascii="Times New Roman" w:hAnsi="Times New Roman" w:cs="Times New Roman"/>
          <w:szCs w:val="22"/>
        </w:rPr>
      </w:pPr>
    </w:p>
    <w:p w:rsidR="007471E8" w:rsidP="000032E0" w:rsidRDefault="007471E8" w14:paraId="2CABF45D" w14:textId="77777777">
      <w:pPr>
        <w:rPr>
          <w:rFonts w:ascii="Times New Roman" w:hAnsi="Times New Roman" w:cs="Times New Roman"/>
          <w:szCs w:val="22"/>
        </w:rPr>
      </w:pPr>
    </w:p>
    <w:p w:rsidR="007471E8" w:rsidP="000032E0" w:rsidRDefault="007471E8" w14:paraId="7AF9FD0D" w14:textId="77777777">
      <w:pPr>
        <w:rPr>
          <w:rFonts w:ascii="Times New Roman" w:hAnsi="Times New Roman" w:cs="Times New Roman"/>
          <w:szCs w:val="22"/>
        </w:rPr>
      </w:pPr>
    </w:p>
    <w:p w:rsidR="007471E8" w:rsidP="31EFDD8A" w:rsidRDefault="007471E8" w14:paraId="7E070984" w14:noSpellErr="1" w14:textId="411C5714">
      <w:pPr>
        <w:pStyle w:val="a"/>
        <w:rPr>
          <w:rFonts w:ascii="Times New Roman" w:hAnsi="Times New Roman" w:cs="Times New Roman"/>
        </w:rPr>
      </w:pPr>
    </w:p>
    <w:p w:rsidRPr="000032E0" w:rsidR="00DC67F9" w:rsidP="000032E0" w:rsidRDefault="00DC67F9" w14:paraId="75C984F8" w14:textId="77777777">
      <w:pPr>
        <w:rPr>
          <w:rFonts w:hint="eastAsia" w:ascii="Times New Roman" w:hAnsi="Times New Roman" w:cs="Times New Roman"/>
          <w:szCs w:val="22"/>
        </w:rPr>
      </w:pPr>
    </w:p>
    <w:p w:rsidRPr="000032E0" w:rsidR="000032E0" w:rsidP="000032E0" w:rsidRDefault="000032E0" w14:paraId="36A60B38" w14:textId="77777777">
      <w:pPr>
        <w:rPr>
          <w:rFonts w:ascii="Times New Roman" w:hAnsi="Times New Roman" w:cs="Times New Roman"/>
          <w:szCs w:val="22"/>
        </w:rPr>
      </w:pPr>
      <w:r w:rsidRPr="31EFDD8A" w:rsidR="31EFDD8A">
        <w:rPr>
          <w:rFonts w:ascii="Times New Roman" w:hAnsi="Times New Roman" w:cs="Times New Roman"/>
          <w:b w:val="1"/>
          <w:bCs w:val="1"/>
        </w:rPr>
        <w:t>Manuscript received:</w:t>
      </w:r>
      <w:r w:rsidRPr="31EFDD8A" w:rsidR="31EFDD8A">
        <w:rPr>
          <w:rFonts w:ascii="Times New Roman" w:hAnsi="Times New Roman" w:cs="Times New Roman"/>
        </w:rPr>
        <w:t xml:space="preserve"> March 15, 2025</w:t>
      </w:r>
      <w:r>
        <w:br/>
      </w:r>
      <w:r w:rsidRPr="31EFDD8A" w:rsidR="31EFDD8A">
        <w:rPr>
          <w:rFonts w:ascii="Times New Roman" w:hAnsi="Times New Roman" w:cs="Times New Roman"/>
          <w:b w:val="1"/>
          <w:bCs w:val="1"/>
        </w:rPr>
        <w:t>Revised:</w:t>
      </w:r>
      <w:r w:rsidRPr="31EFDD8A" w:rsidR="31EFDD8A">
        <w:rPr>
          <w:rFonts w:ascii="Times New Roman" w:hAnsi="Times New Roman" w:cs="Times New Roman"/>
        </w:rPr>
        <w:t xml:space="preserve"> April 8, 2025</w:t>
      </w:r>
      <w:r>
        <w:br/>
      </w:r>
      <w:r w:rsidRPr="31EFDD8A" w:rsidR="31EFDD8A">
        <w:rPr>
          <w:rFonts w:ascii="Times New Roman" w:hAnsi="Times New Roman" w:cs="Times New Roman"/>
          <w:b w:val="1"/>
          <w:bCs w:val="1"/>
        </w:rPr>
        <w:t>Accepted:</w:t>
      </w:r>
      <w:r w:rsidRPr="31EFDD8A" w:rsidR="31EFDD8A">
        <w:rPr>
          <w:rFonts w:ascii="Times New Roman" w:hAnsi="Times New Roman" w:cs="Times New Roman"/>
        </w:rPr>
        <w:t xml:space="preserve"> April 25, 2025</w:t>
      </w:r>
    </w:p>
    <w:p w:rsidR="31EFDD8A" w:rsidP="31EFDD8A" w:rsidRDefault="31EFDD8A" w14:paraId="1B942EC2" w14:textId="6FEAB2E0">
      <w:pPr>
        <w:rPr>
          <w:rFonts w:ascii="Times New Roman" w:hAnsi="Times New Roman" w:cs="Times New Roman"/>
        </w:rPr>
      </w:pPr>
    </w:p>
    <w:p w:rsidRPr="000032E0" w:rsidR="000032E0" w:rsidP="000032E0" w:rsidRDefault="000032E0" w14:paraId="1B092A27" w14:textId="77777777">
      <w:pPr>
        <w:rPr>
          <w:rFonts w:ascii="Times New Roman" w:hAnsi="Times New Roman" w:cs="Times New Roman"/>
          <w:szCs w:val="22"/>
        </w:rPr>
      </w:pPr>
      <w:r w:rsidRPr="000032E0">
        <w:rPr>
          <w:rFonts w:ascii="Times New Roman" w:hAnsi="Times New Roman" w:cs="Times New Roman"/>
          <w:b/>
          <w:bCs/>
          <w:sz w:val="28"/>
          <w:szCs w:val="28"/>
        </w:rPr>
        <w:t>Author Biographies</w:t>
      </w:r>
      <w:r w:rsidRPr="000032E0">
        <w:rPr>
          <w:rFonts w:ascii="Times New Roman" w:hAnsi="Times New Roman" w:cs="Times New Roman"/>
          <w:sz w:val="28"/>
          <w:szCs w:val="28"/>
        </w:rPr>
        <w:br/>
      </w:r>
      <w:r w:rsidRPr="000032E0">
        <w:rPr>
          <w:rFonts w:ascii="Times New Roman" w:hAnsi="Times New Roman" w:cs="Times New Roman"/>
          <w:b/>
          <w:bCs/>
          <w:szCs w:val="22"/>
        </w:rPr>
        <w:t>Michael J. Cohen</w:t>
      </w:r>
      <w:r w:rsidRPr="000032E0">
        <w:rPr>
          <w:rFonts w:ascii="Times New Roman" w:hAnsi="Times New Roman" w:cs="Times New Roman"/>
          <w:szCs w:val="22"/>
        </w:rPr>
        <w:t xml:space="preserve"> is Professor at the School of Public Policy, University of Michigan. His research focuses on public finance, intergovernmental relations, and health policy reform in developing contexts.</w:t>
      </w:r>
    </w:p>
    <w:p w:rsidRPr="00DC67F9" w:rsidR="00955FDF" w:rsidRDefault="000032E0" w14:paraId="6E14BD0D" w14:textId="4E187ED2">
      <w:pPr>
        <w:rPr>
          <w:rFonts w:hint="eastAsia" w:ascii="Times New Roman" w:hAnsi="Times New Roman" w:cs="Times New Roman"/>
          <w:szCs w:val="22"/>
        </w:rPr>
      </w:pPr>
      <w:r w:rsidRPr="000032E0">
        <w:rPr>
          <w:rFonts w:ascii="Times New Roman" w:hAnsi="Times New Roman" w:cs="Times New Roman"/>
          <w:b/>
          <w:bCs/>
          <w:szCs w:val="22"/>
        </w:rPr>
        <w:t>Anna Richter</w:t>
      </w:r>
      <w:r w:rsidRPr="000032E0">
        <w:rPr>
          <w:rFonts w:ascii="Times New Roman" w:hAnsi="Times New Roman" w:cs="Times New Roman"/>
          <w:szCs w:val="22"/>
        </w:rPr>
        <w:t xml:space="preserve"> is Associate Professor in the Faculty of Economics and Social Sciences at the University of Heidelberg. She specializes in comparative fiscal systems and multilevel governance in health and education sectors.</w:t>
      </w:r>
    </w:p>
    <w:sectPr w:rsidRPr="00DC67F9" w:rsidR="00955FDF" w:rsidSect="00B46CB3">
      <w:headerReference w:type="even" r:id="rId9"/>
      <w:headerReference w:type="default" r:id="rId10"/>
      <w:footerReference w:type="even" r:id="rId11"/>
      <w:footerReference w:type="default" r:id="rId12"/>
      <w:headerReference w:type="first" r:id="rId13"/>
      <w:footerReference w:type="first" r:id="rId14"/>
      <w:pgSz w:w="11906" w:h="16838" w:orient="portrait"/>
      <w:pgMar w:top="1701"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1751" w:rsidP="0053000D" w:rsidRDefault="00791751" w14:paraId="2CDC80C0" w14:textId="77777777">
      <w:pPr>
        <w:spacing w:after="0" w:line="240" w:lineRule="auto"/>
      </w:pPr>
      <w:r>
        <w:separator/>
      </w:r>
    </w:p>
  </w:endnote>
  <w:endnote w:type="continuationSeparator" w:id="0">
    <w:p w:rsidR="00791751" w:rsidP="0053000D" w:rsidRDefault="00791751" w14:paraId="28B0CA3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74C0" w:rsidRDefault="003874C0" w14:paraId="2585316A" w14:textId="77777777">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74C0" w:rsidRDefault="003874C0" w14:paraId="0DB520BD" w14:textId="77777777">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74C0" w:rsidRDefault="003874C0" w14:paraId="2442CA34" w14:textId="7777777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1751" w:rsidP="0053000D" w:rsidRDefault="00791751" w14:paraId="399B5AF4" w14:textId="77777777">
      <w:pPr>
        <w:spacing w:after="0" w:line="240" w:lineRule="auto"/>
      </w:pPr>
      <w:r>
        <w:separator/>
      </w:r>
    </w:p>
  </w:footnote>
  <w:footnote w:type="continuationSeparator" w:id="0">
    <w:p w:rsidR="00791751" w:rsidP="0053000D" w:rsidRDefault="00791751" w14:paraId="626301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D1C7F" w:rsidR="003874C0" w:rsidP="00BD1C7F" w:rsidRDefault="00BD1C7F" w14:paraId="48CEE5C6" w14:textId="2128F1E8">
    <w:pPr>
      <w:pStyle w:val="af6"/>
      <w:jc w:val="right"/>
      <w:rPr>
        <w:rFonts w:ascii="Times New Roman" w:hAnsi="Times New Roman" w:cs="Times New Roman"/>
      </w:rPr>
    </w:pPr>
    <w:r w:rsidRPr="00BD1C7F">
      <w:rPr>
        <w:rFonts w:ascii="Times New Roman" w:hAnsi="Times New Roman" w:cs="Times New Roman"/>
      </w:rPr>
      <w:t>Cohen and Richter — Optimizing Subnational Public Health Fiscal Mechanisms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824AA" w:rsidR="003874C0" w:rsidP="0030103A" w:rsidRDefault="0030103A" w14:paraId="0E870D9D" w14:textId="3E9C1E90">
    <w:pPr>
      <w:pStyle w:val="af6"/>
      <w:jc w:val="left"/>
      <w:rPr>
        <w:rFonts w:ascii="Times New Roman" w:hAnsi="Times New Roman" w:cs="Times New Roman"/>
      </w:rPr>
    </w:pPr>
    <w:proofErr w:type="spellStart"/>
    <w:r w:rsidRPr="005824AA">
      <w:rPr>
        <w:rFonts w:ascii="Times New Roman" w:hAnsi="Times New Roman" w:cs="Times New Roman"/>
      </w:rPr>
      <w:t>PoliEcoM</w:t>
    </w:r>
    <w:proofErr w:type="spellEnd"/>
    <w:r w:rsidRPr="005824AA">
      <w:rPr>
        <w:rFonts w:ascii="Times New Roman" w:hAnsi="Times New Roman" w:cs="Times New Roman"/>
      </w:rPr>
      <w:t xml:space="preserve"> Administration Review · Vol. 2 No. 1 · 2025</w:t>
    </w:r>
    <w:r w:rsidR="00AC04CF">
      <w:rPr>
        <w:rFonts w:hint="eastAsia" w:ascii="Times New Roman" w:hAnsi="Times New Roman" w:cs="Times New Roman"/>
      </w:rPr>
      <w:t xml:space="preserve">, </w:t>
    </w:r>
    <w:r w:rsidRPr="00AC04CF" w:rsidR="00AC04CF">
      <w:rPr>
        <w:rFonts w:ascii="Times New Roman" w:hAnsi="Times New Roman" w:cs="Times New Roman"/>
      </w:rPr>
      <w:t>pp. 15–32</w:t>
    </w:r>
  </w:p>
  <w:p w:rsidRPr="002213F4" w:rsidR="005824AA" w:rsidP="0030103A" w:rsidRDefault="005824AA" w14:paraId="3FB05038" w14:textId="599CB1EB">
    <w:pPr>
      <w:pStyle w:val="af6"/>
      <w:jc w:val="left"/>
      <w:rPr>
        <w:rFonts w:ascii="Times New Roman" w:hAnsi="Times New Roman" w:cs="Times New Roman"/>
        <w:i/>
        <w:iCs/>
      </w:rPr>
    </w:pPr>
    <w:r w:rsidRPr="002213F4">
      <w:rPr>
        <w:rFonts w:ascii="Times New Roman" w:hAnsi="Times New Roman" w:cs="Times New Roman"/>
        <w:i/>
        <w:iCs/>
      </w:rPr>
      <w:t>DOI: 10.56987/pemr.2025.1.03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74C0" w:rsidRDefault="003874C0" w14:paraId="6B74383C" w14:textId="7777777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7C32"/>
    <w:multiLevelType w:val="multilevel"/>
    <w:tmpl w:val="A13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073A"/>
    <w:multiLevelType w:val="multilevel"/>
    <w:tmpl w:val="CA3AC2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9C156A"/>
    <w:multiLevelType w:val="multilevel"/>
    <w:tmpl w:val="541E6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85D2DE0"/>
    <w:multiLevelType w:val="multilevel"/>
    <w:tmpl w:val="54CC8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9AB587A"/>
    <w:multiLevelType w:val="multilevel"/>
    <w:tmpl w:val="3802F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8C54A3A"/>
    <w:multiLevelType w:val="multilevel"/>
    <w:tmpl w:val="C2D8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06746"/>
    <w:multiLevelType w:val="multilevel"/>
    <w:tmpl w:val="5322D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2D70B7B"/>
    <w:multiLevelType w:val="multilevel"/>
    <w:tmpl w:val="39DE6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4FF68B5"/>
    <w:multiLevelType w:val="multilevel"/>
    <w:tmpl w:val="8EC2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02611"/>
    <w:multiLevelType w:val="multilevel"/>
    <w:tmpl w:val="260CDF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1191C32"/>
    <w:multiLevelType w:val="multilevel"/>
    <w:tmpl w:val="A5A09A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9BC04AD"/>
    <w:multiLevelType w:val="multilevel"/>
    <w:tmpl w:val="419A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792415">
    <w:abstractNumId w:val="2"/>
  </w:num>
  <w:num w:numId="2" w16cid:durableId="1817335055">
    <w:abstractNumId w:val="7"/>
  </w:num>
  <w:num w:numId="3" w16cid:durableId="451944106">
    <w:abstractNumId w:val="9"/>
  </w:num>
  <w:num w:numId="4" w16cid:durableId="1134523778">
    <w:abstractNumId w:val="3"/>
  </w:num>
  <w:num w:numId="5" w16cid:durableId="1817187544">
    <w:abstractNumId w:val="10"/>
  </w:num>
  <w:num w:numId="6" w16cid:durableId="1260527168">
    <w:abstractNumId w:val="5"/>
  </w:num>
  <w:num w:numId="7" w16cid:durableId="515119227">
    <w:abstractNumId w:val="1"/>
  </w:num>
  <w:num w:numId="8" w16cid:durableId="171922527">
    <w:abstractNumId w:val="8"/>
  </w:num>
  <w:num w:numId="9" w16cid:durableId="1216161224">
    <w:abstractNumId w:val="6"/>
  </w:num>
  <w:num w:numId="10" w16cid:durableId="1270703850">
    <w:abstractNumId w:val="0"/>
  </w:num>
  <w:num w:numId="11" w16cid:durableId="1517888046">
    <w:abstractNumId w:val="4"/>
  </w:num>
  <w:num w:numId="12" w16cid:durableId="1514950125">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DF"/>
    <w:rsid w:val="000032E0"/>
    <w:rsid w:val="000407D7"/>
    <w:rsid w:val="00060119"/>
    <w:rsid w:val="0008478E"/>
    <w:rsid w:val="00187B79"/>
    <w:rsid w:val="002213F4"/>
    <w:rsid w:val="002778C0"/>
    <w:rsid w:val="0030103A"/>
    <w:rsid w:val="003874C0"/>
    <w:rsid w:val="003C6F1F"/>
    <w:rsid w:val="00510845"/>
    <w:rsid w:val="0053000D"/>
    <w:rsid w:val="005824AA"/>
    <w:rsid w:val="00704D00"/>
    <w:rsid w:val="007471E8"/>
    <w:rsid w:val="00791751"/>
    <w:rsid w:val="007E3455"/>
    <w:rsid w:val="007E6A5C"/>
    <w:rsid w:val="008240A4"/>
    <w:rsid w:val="008A4E9A"/>
    <w:rsid w:val="00954924"/>
    <w:rsid w:val="00955FDF"/>
    <w:rsid w:val="00A732D8"/>
    <w:rsid w:val="00AC04CF"/>
    <w:rsid w:val="00B46CB3"/>
    <w:rsid w:val="00BD1C7F"/>
    <w:rsid w:val="00BE5DED"/>
    <w:rsid w:val="00D65C4E"/>
    <w:rsid w:val="00DC67F9"/>
    <w:rsid w:val="00DF4352"/>
    <w:rsid w:val="00E438C8"/>
    <w:rsid w:val="00FE7FA5"/>
    <w:rsid w:val="00FF4EF9"/>
    <w:rsid w:val="31EFD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67E0"/>
  <w15:chartTrackingRefBased/>
  <w15:docId w15:val="{9B02ECA7-6577-4178-B632-7D329A11D9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paragraph" w:styleId="1">
    <w:name w:val="heading 1"/>
    <w:basedOn w:val="a"/>
    <w:next w:val="a"/>
    <w:link w:val="10"/>
    <w:uiPriority w:val="9"/>
    <w:qFormat/>
    <w:rsid w:val="00955FDF"/>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2">
    <w:name w:val="heading 2"/>
    <w:basedOn w:val="a"/>
    <w:next w:val="a"/>
    <w:link w:val="20"/>
    <w:uiPriority w:val="9"/>
    <w:semiHidden/>
    <w:unhideWhenUsed/>
    <w:qFormat/>
    <w:rsid w:val="00955FDF"/>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3">
    <w:name w:val="heading 3"/>
    <w:basedOn w:val="a"/>
    <w:next w:val="a"/>
    <w:link w:val="30"/>
    <w:uiPriority w:val="9"/>
    <w:semiHidden/>
    <w:unhideWhenUsed/>
    <w:qFormat/>
    <w:rsid w:val="00955FDF"/>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5F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5F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5F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5F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5F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5FDF"/>
    <w:pPr>
      <w:keepNext/>
      <w:keepLines/>
      <w:spacing w:after="0"/>
      <w:outlineLvl w:val="8"/>
    </w:pPr>
    <w:rPr>
      <w:rFonts w:eastAsiaTheme="majorEastAsia" w:cstheme="majorBidi"/>
      <w:color w:val="595959" w:themeColor="text1" w:themeTint="A6"/>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sid w:val="00955FDF"/>
    <w:rPr>
      <w:rFonts w:asciiTheme="majorHAnsi" w:hAnsiTheme="majorHAnsi" w:eastAsiaTheme="majorEastAsia" w:cstheme="majorBidi"/>
      <w:color w:val="0F4761" w:themeColor="accent1" w:themeShade="BF"/>
      <w:sz w:val="48"/>
      <w:szCs w:val="48"/>
    </w:rPr>
  </w:style>
  <w:style w:type="character" w:styleId="20" w:customStyle="1">
    <w:name w:val="标题 2 字符"/>
    <w:basedOn w:val="a0"/>
    <w:link w:val="2"/>
    <w:uiPriority w:val="9"/>
    <w:semiHidden/>
    <w:rsid w:val="00955FDF"/>
    <w:rPr>
      <w:rFonts w:asciiTheme="majorHAnsi" w:hAnsiTheme="majorHAnsi" w:eastAsiaTheme="majorEastAsia" w:cstheme="majorBidi"/>
      <w:color w:val="0F4761" w:themeColor="accent1" w:themeShade="BF"/>
      <w:sz w:val="40"/>
      <w:szCs w:val="40"/>
    </w:rPr>
  </w:style>
  <w:style w:type="character" w:styleId="30" w:customStyle="1">
    <w:name w:val="标题 3 字符"/>
    <w:basedOn w:val="a0"/>
    <w:link w:val="3"/>
    <w:uiPriority w:val="9"/>
    <w:semiHidden/>
    <w:rsid w:val="00955FDF"/>
    <w:rPr>
      <w:rFonts w:asciiTheme="majorHAnsi" w:hAnsiTheme="majorHAnsi" w:eastAsiaTheme="majorEastAsia" w:cstheme="majorBidi"/>
      <w:color w:val="0F4761" w:themeColor="accent1" w:themeShade="BF"/>
      <w:sz w:val="32"/>
      <w:szCs w:val="32"/>
    </w:rPr>
  </w:style>
  <w:style w:type="character" w:styleId="40" w:customStyle="1">
    <w:name w:val="标题 4 字符"/>
    <w:basedOn w:val="a0"/>
    <w:link w:val="4"/>
    <w:uiPriority w:val="9"/>
    <w:semiHidden/>
    <w:rsid w:val="00955FDF"/>
    <w:rPr>
      <w:rFonts w:cstheme="majorBidi"/>
      <w:color w:val="0F4761" w:themeColor="accent1" w:themeShade="BF"/>
      <w:sz w:val="28"/>
      <w:szCs w:val="28"/>
    </w:rPr>
  </w:style>
  <w:style w:type="character" w:styleId="50" w:customStyle="1">
    <w:name w:val="标题 5 字符"/>
    <w:basedOn w:val="a0"/>
    <w:link w:val="5"/>
    <w:uiPriority w:val="9"/>
    <w:semiHidden/>
    <w:rsid w:val="00955FDF"/>
    <w:rPr>
      <w:rFonts w:cstheme="majorBidi"/>
      <w:color w:val="0F4761" w:themeColor="accent1" w:themeShade="BF"/>
      <w:sz w:val="24"/>
    </w:rPr>
  </w:style>
  <w:style w:type="character" w:styleId="60" w:customStyle="1">
    <w:name w:val="标题 6 字符"/>
    <w:basedOn w:val="a0"/>
    <w:link w:val="6"/>
    <w:uiPriority w:val="9"/>
    <w:semiHidden/>
    <w:rsid w:val="00955FDF"/>
    <w:rPr>
      <w:rFonts w:cstheme="majorBidi"/>
      <w:b/>
      <w:bCs/>
      <w:color w:val="0F4761" w:themeColor="accent1" w:themeShade="BF"/>
    </w:rPr>
  </w:style>
  <w:style w:type="character" w:styleId="70" w:customStyle="1">
    <w:name w:val="标题 7 字符"/>
    <w:basedOn w:val="a0"/>
    <w:link w:val="7"/>
    <w:uiPriority w:val="9"/>
    <w:semiHidden/>
    <w:rsid w:val="00955FDF"/>
    <w:rPr>
      <w:rFonts w:cstheme="majorBidi"/>
      <w:b/>
      <w:bCs/>
      <w:color w:val="595959" w:themeColor="text1" w:themeTint="A6"/>
    </w:rPr>
  </w:style>
  <w:style w:type="character" w:styleId="80" w:customStyle="1">
    <w:name w:val="标题 8 字符"/>
    <w:basedOn w:val="a0"/>
    <w:link w:val="8"/>
    <w:uiPriority w:val="9"/>
    <w:semiHidden/>
    <w:rsid w:val="00955FDF"/>
    <w:rPr>
      <w:rFonts w:cstheme="majorBidi"/>
      <w:color w:val="595959" w:themeColor="text1" w:themeTint="A6"/>
    </w:rPr>
  </w:style>
  <w:style w:type="character" w:styleId="90" w:customStyle="1">
    <w:name w:val="标题 9 字符"/>
    <w:basedOn w:val="a0"/>
    <w:link w:val="9"/>
    <w:uiPriority w:val="9"/>
    <w:semiHidden/>
    <w:rsid w:val="00955FDF"/>
    <w:rPr>
      <w:rFonts w:eastAsiaTheme="majorEastAsia" w:cstheme="majorBidi"/>
      <w:color w:val="595959" w:themeColor="text1" w:themeTint="A6"/>
    </w:rPr>
  </w:style>
  <w:style w:type="paragraph" w:styleId="a3">
    <w:name w:val="Title"/>
    <w:basedOn w:val="a"/>
    <w:next w:val="a"/>
    <w:link w:val="a4"/>
    <w:uiPriority w:val="10"/>
    <w:qFormat/>
    <w:rsid w:val="00955FDF"/>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a4" w:customStyle="1">
    <w:name w:val="标题 字符"/>
    <w:basedOn w:val="a0"/>
    <w:link w:val="a3"/>
    <w:uiPriority w:val="10"/>
    <w:rsid w:val="00955FDF"/>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sid w:val="00955FDF"/>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a6" w:customStyle="1">
    <w:name w:val="副标题 字符"/>
    <w:basedOn w:val="a0"/>
    <w:link w:val="a5"/>
    <w:uiPriority w:val="11"/>
    <w:rsid w:val="00955FDF"/>
    <w:rPr>
      <w:rFonts w:asciiTheme="majorHAnsi" w:hAnsiTheme="majorHAnsi" w:eastAsiaTheme="majorEastAsia" w:cstheme="majorBidi"/>
      <w:color w:val="595959" w:themeColor="text1" w:themeTint="A6"/>
      <w:spacing w:val="15"/>
      <w:sz w:val="28"/>
      <w:szCs w:val="28"/>
    </w:rPr>
  </w:style>
  <w:style w:type="paragraph" w:styleId="a7">
    <w:name w:val="Quote"/>
    <w:basedOn w:val="a"/>
    <w:next w:val="a"/>
    <w:link w:val="a8"/>
    <w:uiPriority w:val="29"/>
    <w:qFormat/>
    <w:rsid w:val="00955FDF"/>
    <w:pPr>
      <w:spacing w:before="160"/>
      <w:jc w:val="center"/>
    </w:pPr>
    <w:rPr>
      <w:i/>
      <w:iCs/>
      <w:color w:val="404040" w:themeColor="text1" w:themeTint="BF"/>
    </w:rPr>
  </w:style>
  <w:style w:type="character" w:styleId="a8" w:customStyle="1">
    <w:name w:val="引用 字符"/>
    <w:basedOn w:val="a0"/>
    <w:link w:val="a7"/>
    <w:uiPriority w:val="29"/>
    <w:rsid w:val="00955FDF"/>
    <w:rPr>
      <w:i/>
      <w:iCs/>
      <w:color w:val="404040" w:themeColor="text1" w:themeTint="BF"/>
    </w:rPr>
  </w:style>
  <w:style w:type="paragraph" w:styleId="a9">
    <w:name w:val="List Paragraph"/>
    <w:basedOn w:val="a"/>
    <w:uiPriority w:val="34"/>
    <w:qFormat/>
    <w:rsid w:val="00955FDF"/>
    <w:pPr>
      <w:ind w:left="720"/>
      <w:contextualSpacing/>
    </w:pPr>
  </w:style>
  <w:style w:type="character" w:styleId="aa">
    <w:name w:val="Intense Emphasis"/>
    <w:basedOn w:val="a0"/>
    <w:uiPriority w:val="21"/>
    <w:qFormat/>
    <w:rsid w:val="00955FDF"/>
    <w:rPr>
      <w:i/>
      <w:iCs/>
      <w:color w:val="0F4761" w:themeColor="accent1" w:themeShade="BF"/>
    </w:rPr>
  </w:style>
  <w:style w:type="paragraph" w:styleId="ab">
    <w:name w:val="Intense Quote"/>
    <w:basedOn w:val="a"/>
    <w:next w:val="a"/>
    <w:link w:val="ac"/>
    <w:uiPriority w:val="30"/>
    <w:qFormat/>
    <w:rsid w:val="00955FD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customStyle="1">
    <w:name w:val="明显引用 字符"/>
    <w:basedOn w:val="a0"/>
    <w:link w:val="ab"/>
    <w:uiPriority w:val="30"/>
    <w:rsid w:val="00955FDF"/>
    <w:rPr>
      <w:i/>
      <w:iCs/>
      <w:color w:val="0F4761" w:themeColor="accent1" w:themeShade="BF"/>
    </w:rPr>
  </w:style>
  <w:style w:type="character" w:styleId="ad">
    <w:name w:val="Intense Reference"/>
    <w:basedOn w:val="a0"/>
    <w:uiPriority w:val="32"/>
    <w:qFormat/>
    <w:rsid w:val="00955FDF"/>
    <w:rPr>
      <w:b/>
      <w:bCs/>
      <w:smallCaps/>
      <w:color w:val="0F4761" w:themeColor="accent1" w:themeShade="BF"/>
      <w:spacing w:val="5"/>
    </w:rPr>
  </w:style>
  <w:style w:type="paragraph" w:styleId="ae">
    <w:name w:val="footnote text"/>
    <w:basedOn w:val="a"/>
    <w:link w:val="af"/>
    <w:uiPriority w:val="99"/>
    <w:semiHidden/>
    <w:unhideWhenUsed/>
    <w:rsid w:val="0053000D"/>
    <w:pPr>
      <w:snapToGrid w:val="0"/>
    </w:pPr>
    <w:rPr>
      <w:sz w:val="18"/>
      <w:szCs w:val="18"/>
    </w:rPr>
  </w:style>
  <w:style w:type="character" w:styleId="af" w:customStyle="1">
    <w:name w:val="脚注文本 字符"/>
    <w:basedOn w:val="a0"/>
    <w:link w:val="ae"/>
    <w:uiPriority w:val="99"/>
    <w:semiHidden/>
    <w:rsid w:val="0053000D"/>
    <w:rPr>
      <w:sz w:val="18"/>
      <w:szCs w:val="18"/>
    </w:rPr>
  </w:style>
  <w:style w:type="character" w:styleId="af0">
    <w:name w:val="footnote reference"/>
    <w:basedOn w:val="a0"/>
    <w:uiPriority w:val="99"/>
    <w:semiHidden/>
    <w:unhideWhenUsed/>
    <w:rsid w:val="0053000D"/>
    <w:rPr>
      <w:vertAlign w:val="superscript"/>
    </w:rPr>
  </w:style>
  <w:style w:type="paragraph" w:styleId="af1">
    <w:name w:val="endnote text"/>
    <w:basedOn w:val="a"/>
    <w:link w:val="af2"/>
    <w:uiPriority w:val="99"/>
    <w:semiHidden/>
    <w:unhideWhenUsed/>
    <w:rsid w:val="00510845"/>
    <w:pPr>
      <w:snapToGrid w:val="0"/>
    </w:pPr>
  </w:style>
  <w:style w:type="character" w:styleId="af2" w:customStyle="1">
    <w:name w:val="尾注文本 字符"/>
    <w:basedOn w:val="a0"/>
    <w:link w:val="af1"/>
    <w:uiPriority w:val="99"/>
    <w:semiHidden/>
    <w:rsid w:val="00510845"/>
  </w:style>
  <w:style w:type="character" w:styleId="af3">
    <w:name w:val="endnote reference"/>
    <w:basedOn w:val="a0"/>
    <w:uiPriority w:val="99"/>
    <w:semiHidden/>
    <w:unhideWhenUsed/>
    <w:rsid w:val="00510845"/>
    <w:rPr>
      <w:vertAlign w:val="superscript"/>
    </w:rPr>
  </w:style>
  <w:style w:type="character" w:styleId="af4">
    <w:name w:val="Hyperlink"/>
    <w:basedOn w:val="a0"/>
    <w:uiPriority w:val="99"/>
    <w:unhideWhenUsed/>
    <w:rsid w:val="000032E0"/>
    <w:rPr>
      <w:color w:val="467886" w:themeColor="hyperlink"/>
      <w:u w:val="single"/>
    </w:rPr>
  </w:style>
  <w:style w:type="character" w:styleId="af5">
    <w:name w:val="Unresolved Mention"/>
    <w:basedOn w:val="a0"/>
    <w:uiPriority w:val="99"/>
    <w:semiHidden/>
    <w:unhideWhenUsed/>
    <w:rsid w:val="000032E0"/>
    <w:rPr>
      <w:color w:val="605E5C"/>
      <w:shd w:val="clear" w:color="auto" w:fill="E1DFDD"/>
    </w:rPr>
  </w:style>
  <w:style w:type="paragraph" w:styleId="af6">
    <w:name w:val="header"/>
    <w:basedOn w:val="a"/>
    <w:link w:val="af7"/>
    <w:uiPriority w:val="99"/>
    <w:unhideWhenUsed/>
    <w:rsid w:val="003874C0"/>
    <w:pPr>
      <w:tabs>
        <w:tab w:val="center" w:pos="4513"/>
        <w:tab w:val="right" w:pos="9026"/>
      </w:tabs>
      <w:snapToGrid w:val="0"/>
      <w:spacing w:line="240" w:lineRule="auto"/>
      <w:jc w:val="center"/>
    </w:pPr>
    <w:rPr>
      <w:sz w:val="18"/>
      <w:szCs w:val="18"/>
    </w:rPr>
  </w:style>
  <w:style w:type="character" w:styleId="af7" w:customStyle="1">
    <w:name w:val="页眉 字符"/>
    <w:basedOn w:val="a0"/>
    <w:link w:val="af6"/>
    <w:uiPriority w:val="99"/>
    <w:rsid w:val="003874C0"/>
    <w:rPr>
      <w:sz w:val="18"/>
      <w:szCs w:val="18"/>
    </w:rPr>
  </w:style>
  <w:style w:type="paragraph" w:styleId="af8">
    <w:name w:val="footer"/>
    <w:basedOn w:val="a"/>
    <w:link w:val="af9"/>
    <w:uiPriority w:val="99"/>
    <w:unhideWhenUsed/>
    <w:rsid w:val="003874C0"/>
    <w:pPr>
      <w:tabs>
        <w:tab w:val="center" w:pos="4513"/>
        <w:tab w:val="right" w:pos="9026"/>
      </w:tabs>
      <w:snapToGrid w:val="0"/>
      <w:spacing w:line="240" w:lineRule="auto"/>
    </w:pPr>
    <w:rPr>
      <w:sz w:val="18"/>
      <w:szCs w:val="18"/>
    </w:rPr>
  </w:style>
  <w:style w:type="character" w:styleId="af9" w:customStyle="1">
    <w:name w:val="页脚 字符"/>
    <w:basedOn w:val="a0"/>
    <w:link w:val="af8"/>
    <w:uiPriority w:val="99"/>
    <w:rsid w:val="003874C0"/>
    <w:rPr>
      <w:sz w:val="18"/>
      <w:szCs w:val="18"/>
    </w:rPr>
  </w:style>
  <w:style w:type="paragraph" w:styleId="afa">
    <w:name w:val="Normal (Web)"/>
    <w:basedOn w:val="a"/>
    <w:uiPriority w:val="99"/>
    <w:semiHidden/>
    <w:unhideWhenUsed/>
    <w:rsid w:val="007471E8"/>
    <w:pPr>
      <w:widowControl/>
      <w:spacing w:before="100" w:beforeAutospacing="1" w:after="100" w:afterAutospacing="1" w:line="240" w:lineRule="auto"/>
    </w:pPr>
    <w:rPr>
      <w:rFonts w:ascii="SimSun" w:hAnsi="SimSun" w:eastAsia="SimSun" w:cs="SimSun"/>
      <w:kern w:val="0"/>
      <w:sz w:val="24"/>
      <w14:ligatures w14:val="none"/>
    </w:rPr>
  </w:style>
  <w:style w:type="character" w:styleId="afb">
    <w:name w:val="Strong"/>
    <w:basedOn w:val="a0"/>
    <w:uiPriority w:val="22"/>
    <w:qFormat/>
    <w:rsid w:val="00747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94897">
      <w:bodyDiv w:val="1"/>
      <w:marLeft w:val="0"/>
      <w:marRight w:val="0"/>
      <w:marTop w:val="0"/>
      <w:marBottom w:val="0"/>
      <w:divBdr>
        <w:top w:val="none" w:sz="0" w:space="0" w:color="auto"/>
        <w:left w:val="none" w:sz="0" w:space="0" w:color="auto"/>
        <w:bottom w:val="none" w:sz="0" w:space="0" w:color="auto"/>
        <w:right w:val="none" w:sz="0" w:space="0" w:color="auto"/>
      </w:divBdr>
    </w:div>
    <w:div w:id="421146234">
      <w:bodyDiv w:val="1"/>
      <w:marLeft w:val="0"/>
      <w:marRight w:val="0"/>
      <w:marTop w:val="0"/>
      <w:marBottom w:val="0"/>
      <w:divBdr>
        <w:top w:val="none" w:sz="0" w:space="0" w:color="auto"/>
        <w:left w:val="none" w:sz="0" w:space="0" w:color="auto"/>
        <w:bottom w:val="none" w:sz="0" w:space="0" w:color="auto"/>
        <w:right w:val="none" w:sz="0" w:space="0" w:color="auto"/>
      </w:divBdr>
    </w:div>
    <w:div w:id="466514760">
      <w:bodyDiv w:val="1"/>
      <w:marLeft w:val="0"/>
      <w:marRight w:val="0"/>
      <w:marTop w:val="0"/>
      <w:marBottom w:val="0"/>
      <w:divBdr>
        <w:top w:val="none" w:sz="0" w:space="0" w:color="auto"/>
        <w:left w:val="none" w:sz="0" w:space="0" w:color="auto"/>
        <w:bottom w:val="none" w:sz="0" w:space="0" w:color="auto"/>
        <w:right w:val="none" w:sz="0" w:space="0" w:color="auto"/>
      </w:divBdr>
    </w:div>
    <w:div w:id="536165858">
      <w:bodyDiv w:val="1"/>
      <w:marLeft w:val="0"/>
      <w:marRight w:val="0"/>
      <w:marTop w:val="0"/>
      <w:marBottom w:val="0"/>
      <w:divBdr>
        <w:top w:val="none" w:sz="0" w:space="0" w:color="auto"/>
        <w:left w:val="none" w:sz="0" w:space="0" w:color="auto"/>
        <w:bottom w:val="none" w:sz="0" w:space="0" w:color="auto"/>
        <w:right w:val="none" w:sz="0" w:space="0" w:color="auto"/>
      </w:divBdr>
    </w:div>
    <w:div w:id="557132242">
      <w:bodyDiv w:val="1"/>
      <w:marLeft w:val="0"/>
      <w:marRight w:val="0"/>
      <w:marTop w:val="0"/>
      <w:marBottom w:val="0"/>
      <w:divBdr>
        <w:top w:val="none" w:sz="0" w:space="0" w:color="auto"/>
        <w:left w:val="none" w:sz="0" w:space="0" w:color="auto"/>
        <w:bottom w:val="none" w:sz="0" w:space="0" w:color="auto"/>
        <w:right w:val="none" w:sz="0" w:space="0" w:color="auto"/>
      </w:divBdr>
    </w:div>
    <w:div w:id="1024524690">
      <w:bodyDiv w:val="1"/>
      <w:marLeft w:val="0"/>
      <w:marRight w:val="0"/>
      <w:marTop w:val="0"/>
      <w:marBottom w:val="0"/>
      <w:divBdr>
        <w:top w:val="none" w:sz="0" w:space="0" w:color="auto"/>
        <w:left w:val="none" w:sz="0" w:space="0" w:color="auto"/>
        <w:bottom w:val="none" w:sz="0" w:space="0" w:color="auto"/>
        <w:right w:val="none" w:sz="0" w:space="0" w:color="auto"/>
      </w:divBdr>
    </w:div>
    <w:div w:id="1085297233">
      <w:bodyDiv w:val="1"/>
      <w:marLeft w:val="0"/>
      <w:marRight w:val="0"/>
      <w:marTop w:val="0"/>
      <w:marBottom w:val="0"/>
      <w:divBdr>
        <w:top w:val="none" w:sz="0" w:space="0" w:color="auto"/>
        <w:left w:val="none" w:sz="0" w:space="0" w:color="auto"/>
        <w:bottom w:val="none" w:sz="0" w:space="0" w:color="auto"/>
        <w:right w:val="none" w:sz="0" w:space="0" w:color="auto"/>
      </w:divBdr>
    </w:div>
    <w:div w:id="1106774531">
      <w:bodyDiv w:val="1"/>
      <w:marLeft w:val="0"/>
      <w:marRight w:val="0"/>
      <w:marTop w:val="0"/>
      <w:marBottom w:val="0"/>
      <w:divBdr>
        <w:top w:val="none" w:sz="0" w:space="0" w:color="auto"/>
        <w:left w:val="none" w:sz="0" w:space="0" w:color="auto"/>
        <w:bottom w:val="none" w:sz="0" w:space="0" w:color="auto"/>
        <w:right w:val="none" w:sz="0" w:space="0" w:color="auto"/>
      </w:divBdr>
    </w:div>
    <w:div w:id="1151410828">
      <w:bodyDiv w:val="1"/>
      <w:marLeft w:val="0"/>
      <w:marRight w:val="0"/>
      <w:marTop w:val="0"/>
      <w:marBottom w:val="0"/>
      <w:divBdr>
        <w:top w:val="none" w:sz="0" w:space="0" w:color="auto"/>
        <w:left w:val="none" w:sz="0" w:space="0" w:color="auto"/>
        <w:bottom w:val="none" w:sz="0" w:space="0" w:color="auto"/>
        <w:right w:val="none" w:sz="0" w:space="0" w:color="auto"/>
      </w:divBdr>
    </w:div>
    <w:div w:id="1420716064">
      <w:bodyDiv w:val="1"/>
      <w:marLeft w:val="0"/>
      <w:marRight w:val="0"/>
      <w:marTop w:val="0"/>
      <w:marBottom w:val="0"/>
      <w:divBdr>
        <w:top w:val="none" w:sz="0" w:space="0" w:color="auto"/>
        <w:left w:val="none" w:sz="0" w:space="0" w:color="auto"/>
        <w:bottom w:val="none" w:sz="0" w:space="0" w:color="auto"/>
        <w:right w:val="none" w:sz="0" w:space="0" w:color="auto"/>
      </w:divBdr>
    </w:div>
    <w:div w:id="1654481373">
      <w:bodyDiv w:val="1"/>
      <w:marLeft w:val="0"/>
      <w:marRight w:val="0"/>
      <w:marTop w:val="0"/>
      <w:marBottom w:val="0"/>
      <w:divBdr>
        <w:top w:val="none" w:sz="0" w:space="0" w:color="auto"/>
        <w:left w:val="none" w:sz="0" w:space="0" w:color="auto"/>
        <w:bottom w:val="none" w:sz="0" w:space="0" w:color="auto"/>
        <w:right w:val="none" w:sz="0" w:space="0" w:color="auto"/>
      </w:divBdr>
    </w:div>
    <w:div w:id="1687561239">
      <w:bodyDiv w:val="1"/>
      <w:marLeft w:val="0"/>
      <w:marRight w:val="0"/>
      <w:marTop w:val="0"/>
      <w:marBottom w:val="0"/>
      <w:divBdr>
        <w:top w:val="none" w:sz="0" w:space="0" w:color="auto"/>
        <w:left w:val="none" w:sz="0" w:space="0" w:color="auto"/>
        <w:bottom w:val="none" w:sz="0" w:space="0" w:color="auto"/>
        <w:right w:val="none" w:sz="0" w:space="0" w:color="auto"/>
      </w:divBdr>
    </w:div>
    <w:div w:id="1699577785">
      <w:bodyDiv w:val="1"/>
      <w:marLeft w:val="0"/>
      <w:marRight w:val="0"/>
      <w:marTop w:val="0"/>
      <w:marBottom w:val="0"/>
      <w:divBdr>
        <w:top w:val="none" w:sz="0" w:space="0" w:color="auto"/>
        <w:left w:val="none" w:sz="0" w:space="0" w:color="auto"/>
        <w:bottom w:val="none" w:sz="0" w:space="0" w:color="auto"/>
        <w:right w:val="none" w:sz="0" w:space="0" w:color="auto"/>
      </w:divBdr>
    </w:div>
    <w:div w:id="1704402762">
      <w:bodyDiv w:val="1"/>
      <w:marLeft w:val="0"/>
      <w:marRight w:val="0"/>
      <w:marTop w:val="0"/>
      <w:marBottom w:val="0"/>
      <w:divBdr>
        <w:top w:val="none" w:sz="0" w:space="0" w:color="auto"/>
        <w:left w:val="none" w:sz="0" w:space="0" w:color="auto"/>
        <w:bottom w:val="none" w:sz="0" w:space="0" w:color="auto"/>
        <w:right w:val="none" w:sz="0" w:space="0" w:color="auto"/>
      </w:divBdr>
    </w:div>
    <w:div w:id="1895003702">
      <w:bodyDiv w:val="1"/>
      <w:marLeft w:val="0"/>
      <w:marRight w:val="0"/>
      <w:marTop w:val="0"/>
      <w:marBottom w:val="0"/>
      <w:divBdr>
        <w:top w:val="none" w:sz="0" w:space="0" w:color="auto"/>
        <w:left w:val="none" w:sz="0" w:space="0" w:color="auto"/>
        <w:bottom w:val="none" w:sz="0" w:space="0" w:color="auto"/>
        <w:right w:val="none" w:sz="0" w:space="0" w:color="auto"/>
      </w:divBdr>
    </w:div>
    <w:div w:id="1911380577">
      <w:bodyDiv w:val="1"/>
      <w:marLeft w:val="0"/>
      <w:marRight w:val="0"/>
      <w:marTop w:val="0"/>
      <w:marBottom w:val="0"/>
      <w:divBdr>
        <w:top w:val="none" w:sz="0" w:space="0" w:color="auto"/>
        <w:left w:val="none" w:sz="0" w:space="0" w:color="auto"/>
        <w:bottom w:val="none" w:sz="0" w:space="0" w:color="auto"/>
        <w:right w:val="none" w:sz="0" w:space="0" w:color="auto"/>
      </w:divBdr>
    </w:div>
    <w:div w:id="19866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mailto:mjcohen@umich.edu" TargetMode="External" Id="R6e12a118c77c4c5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B9907-E569-4FBB-B2C8-946ECB93D7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Chengwen Song</dc:creator>
  <keywords/>
  <dc:description/>
  <lastModifiedBy>Guest User</lastModifiedBy>
  <revision>26</revision>
  <dcterms:created xsi:type="dcterms:W3CDTF">2025-05-10T06:23:00.0000000Z</dcterms:created>
  <dcterms:modified xsi:type="dcterms:W3CDTF">2025-05-10T07:25:17.2487641Z</dcterms:modified>
</coreProperties>
</file>