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655999" cy="8002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cov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655999" cy="8002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560" w:after="120"/>
        <w:jc w:val="center"/>
      </w:pPr>
      <w:r>
        <w:rPr>
          <w:rFonts w:ascii="Georgia" w:hAnsi="Georgia" w:eastAsia="PMingLiU"/>
          <w:b w:val="0"/>
          <w:color w:val="1F2326"/>
          <w:sz w:val="52"/>
        </w:rPr>
        <w:t>政策簡報範本</w:t>
      </w:r>
    </w:p>
    <w:p>
      <w:pPr>
        <w:spacing w:after="400"/>
        <w:jc w:val="center"/>
      </w:pPr>
      <w:r>
        <w:rPr>
          <w:rFonts w:ascii="Consolas" w:hAnsi="Consolas" w:eastAsia="Microsoft JhengHei"/>
          <w:color w:val="375A6B"/>
          <w:sz w:val="21"/>
        </w:rPr>
        <w:t>官方範本 · v1.0（2026）</w:t>
      </w:r>
    </w:p>
    <w:p>
      <w:pPr>
        <w:pBdr>
          <w:bottom w:val="single" w:sz="8" w:space="4" w:color="DADDDD"/>
        </w:pBdr>
        <w:spacing w:after="440"/>
      </w:pPr>
    </w:p>
    <w:p>
      <w:pPr>
        <w:spacing w:after="160"/>
      </w:pPr>
      <w:r>
        <w:rPr>
          <w:rFonts w:ascii="Consolas" w:hAnsi="Consolas" w:eastAsia="Microsoft JhengHei"/>
          <w:b/>
          <w:color w:val="5C6368"/>
          <w:sz w:val="20"/>
        </w:rPr>
        <w:t>範本資訊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948"/>
        <w:gridCol w:w="6123"/>
      </w:tblGrid>
      <w:tr>
        <w:tc>
          <w:tcPr>
            <w:tcW w:type="dxa" w:w="2948"/>
            <w:shd w:val="clear" w:color="auto" w:fill="F1F2F2"/>
            <w:tcBorders>
              <w:top w:val="single" w:sz="4" w:space="0" w:color="DADDDD"/>
              <w:left w:val="single" w:sz="4" w:space="0" w:color="DADDDD"/>
              <w:bottom w:val="single" w:sz="4" w:space="0" w:color="DADDDD"/>
              <w:right w:val="single" w:sz="4" w:space="0" w:color="DADDDD"/>
            </w:tcBorders>
          </w:tcPr>
          <w:p>
            <w:pPr>
              <w:spacing w:before="80" w:after="80"/>
            </w:pPr>
            <w:r>
              <w:rPr>
                <w:rFonts w:ascii="Consolas" w:hAnsi="Consolas" w:eastAsia="Microsoft JhengHei"/>
                <w:b/>
                <w:color w:val="5C6368"/>
                <w:sz w:val="19"/>
              </w:rPr>
              <w:t>格式</w:t>
            </w:r>
          </w:p>
        </w:tc>
        <w:tc>
          <w:tcPr>
            <w:tcW w:type="dxa" w:w="6123"/>
            <w:shd w:val="clear" w:color="auto" w:fill="FFFFFF"/>
            <w:tcBorders>
              <w:top w:val="single" w:sz="4" w:space="0" w:color="DADDDD"/>
              <w:left w:val="single" w:sz="4" w:space="0" w:color="DADDDD"/>
              <w:bottom w:val="single" w:sz="4" w:space="0" w:color="DADDDD"/>
              <w:right w:val="single" w:sz="4" w:space="0" w:color="DADDDD"/>
            </w:tcBorders>
          </w:tcPr>
          <w:p>
            <w:pPr>
              <w:spacing w:before="80" w:after="80"/>
            </w:pPr>
            <w:r>
              <w:rPr>
                <w:rFonts w:ascii="Calibri" w:hAnsi="Calibri" w:eastAsia="Microsoft JhengHei"/>
                <w:color w:val="1F2326"/>
                <w:sz w:val="21"/>
              </w:rPr>
              <w:t>Microsoft Word（.docx）</w:t>
            </w:r>
          </w:p>
        </w:tc>
      </w:tr>
      <w:tr>
        <w:tc>
          <w:tcPr>
            <w:tcW w:type="dxa" w:w="2948"/>
            <w:shd w:val="clear" w:color="auto" w:fill="F1F2F2"/>
            <w:tcBorders>
              <w:top w:val="single" w:sz="4" w:space="0" w:color="DADDDD"/>
              <w:left w:val="single" w:sz="4" w:space="0" w:color="DADDDD"/>
              <w:bottom w:val="single" w:sz="4" w:space="0" w:color="DADDDD"/>
              <w:right w:val="single" w:sz="4" w:space="0" w:color="DADDDD"/>
            </w:tcBorders>
          </w:tcPr>
          <w:p>
            <w:pPr>
              <w:spacing w:before="80" w:after="80"/>
            </w:pPr>
            <w:r>
              <w:rPr>
                <w:rFonts w:ascii="Consolas" w:hAnsi="Consolas" w:eastAsia="Microsoft JhengHei"/>
                <w:b/>
                <w:color w:val="5C6368"/>
                <w:sz w:val="19"/>
              </w:rPr>
              <w:t>版本</w:t>
            </w:r>
          </w:p>
        </w:tc>
        <w:tc>
          <w:tcPr>
            <w:tcW w:type="dxa" w:w="6123"/>
            <w:shd w:val="clear" w:color="auto" w:fill="FFFFFF"/>
            <w:tcBorders>
              <w:top w:val="single" w:sz="4" w:space="0" w:color="DADDDD"/>
              <w:left w:val="single" w:sz="4" w:space="0" w:color="DADDDD"/>
              <w:bottom w:val="single" w:sz="4" w:space="0" w:color="DADDDD"/>
              <w:right w:val="single" w:sz="4" w:space="0" w:color="DADDDD"/>
            </w:tcBorders>
          </w:tcPr>
          <w:p>
            <w:pPr>
              <w:spacing w:before="80" w:after="80"/>
            </w:pPr>
            <w:r>
              <w:rPr>
                <w:rFonts w:ascii="Calibri" w:hAnsi="Calibri" w:eastAsia="Microsoft JhengHei"/>
                <w:color w:val="1F2326"/>
                <w:sz w:val="21"/>
              </w:rPr>
              <w:t>v1.0（2026）</w:t>
            </w:r>
          </w:p>
        </w:tc>
      </w:tr>
      <w:tr>
        <w:tc>
          <w:tcPr>
            <w:tcW w:type="dxa" w:w="2948"/>
            <w:shd w:val="clear" w:color="auto" w:fill="F1F2F2"/>
            <w:tcBorders>
              <w:top w:val="single" w:sz="4" w:space="0" w:color="DADDDD"/>
              <w:left w:val="single" w:sz="4" w:space="0" w:color="DADDDD"/>
              <w:bottom w:val="single" w:sz="4" w:space="0" w:color="DADDDD"/>
              <w:right w:val="single" w:sz="4" w:space="0" w:color="DADDDD"/>
            </w:tcBorders>
          </w:tcPr>
          <w:p>
            <w:pPr>
              <w:spacing w:before="80" w:after="80"/>
            </w:pPr>
            <w:r>
              <w:rPr>
                <w:rFonts w:ascii="Consolas" w:hAnsi="Consolas" w:eastAsia="Microsoft JhengHei"/>
                <w:b/>
                <w:color w:val="5C6368"/>
                <w:sz w:val="19"/>
              </w:rPr>
              <w:t>一般篇幅</w:t>
            </w:r>
          </w:p>
        </w:tc>
        <w:tc>
          <w:tcPr>
            <w:tcW w:type="dxa" w:w="6123"/>
            <w:shd w:val="clear" w:color="auto" w:fill="FFFFFF"/>
            <w:tcBorders>
              <w:top w:val="single" w:sz="4" w:space="0" w:color="DADDDD"/>
              <w:left w:val="single" w:sz="4" w:space="0" w:color="DADDDD"/>
              <w:bottom w:val="single" w:sz="4" w:space="0" w:color="DADDDD"/>
              <w:right w:val="single" w:sz="4" w:space="0" w:color="DADDDD"/>
            </w:tcBorders>
          </w:tcPr>
          <w:p>
            <w:pPr>
              <w:spacing w:before="80" w:after="80"/>
            </w:pPr>
            <w:r>
              <w:rPr>
                <w:rFonts w:ascii="Calibri" w:hAnsi="Calibri" w:eastAsia="Microsoft JhengHei"/>
                <w:color w:val="1F2326"/>
                <w:sz w:val="21"/>
              </w:rPr>
              <w:t>1,500–4,000 字</w:t>
            </w:r>
          </w:p>
        </w:tc>
      </w:tr>
      <w:tr>
        <w:tc>
          <w:tcPr>
            <w:tcW w:type="dxa" w:w="2948"/>
            <w:shd w:val="clear" w:color="auto" w:fill="F1F2F2"/>
            <w:tcBorders>
              <w:top w:val="single" w:sz="4" w:space="0" w:color="DADDDD"/>
              <w:left w:val="single" w:sz="4" w:space="0" w:color="DADDDD"/>
              <w:bottom w:val="single" w:sz="4" w:space="0" w:color="DADDDD"/>
              <w:right w:val="single" w:sz="4" w:space="0" w:color="DADDDD"/>
            </w:tcBorders>
          </w:tcPr>
          <w:p>
            <w:pPr>
              <w:spacing w:before="80" w:after="80"/>
            </w:pPr>
            <w:r>
              <w:rPr>
                <w:rFonts w:ascii="Consolas" w:hAnsi="Consolas" w:eastAsia="Microsoft JhengHei"/>
                <w:b/>
                <w:color w:val="5C6368"/>
                <w:sz w:val="19"/>
              </w:rPr>
              <w:t>目標受眾</w:t>
            </w:r>
          </w:p>
        </w:tc>
        <w:tc>
          <w:tcPr>
            <w:tcW w:type="dxa" w:w="6123"/>
            <w:shd w:val="clear" w:color="auto" w:fill="FFFFFF"/>
            <w:tcBorders>
              <w:top w:val="single" w:sz="4" w:space="0" w:color="DADDDD"/>
              <w:left w:val="single" w:sz="4" w:space="0" w:color="DADDDD"/>
              <w:bottom w:val="single" w:sz="4" w:space="0" w:color="DADDDD"/>
              <w:right w:val="single" w:sz="4" w:space="0" w:color="DADDDD"/>
            </w:tcBorders>
          </w:tcPr>
          <w:p>
            <w:pPr>
              <w:spacing w:before="80" w:after="80"/>
            </w:pPr>
            <w:r>
              <w:rPr>
                <w:rFonts w:ascii="Calibri" w:hAnsi="Calibri" w:eastAsia="Microsoft JhengHei"/>
                <w:color w:val="1F2326"/>
                <w:sz w:val="21"/>
              </w:rPr>
              <w:t>政策制定者、機構領導者、實務工作者</w:t>
            </w:r>
          </w:p>
        </w:tc>
      </w:tr>
      <w:tr>
        <w:tc>
          <w:tcPr>
            <w:tcW w:type="dxa" w:w="2948"/>
            <w:shd w:val="clear" w:color="auto" w:fill="F1F2F2"/>
            <w:tcBorders>
              <w:top w:val="single" w:sz="4" w:space="0" w:color="DADDDD"/>
              <w:left w:val="single" w:sz="4" w:space="0" w:color="DADDDD"/>
              <w:bottom w:val="single" w:sz="4" w:space="0" w:color="DADDDD"/>
              <w:right w:val="single" w:sz="4" w:space="0" w:color="DADDDD"/>
            </w:tcBorders>
          </w:tcPr>
          <w:p>
            <w:pPr>
              <w:spacing w:before="80" w:after="80"/>
            </w:pPr>
            <w:r>
              <w:rPr>
                <w:rFonts w:ascii="Consolas" w:hAnsi="Consolas" w:eastAsia="Microsoft JhengHei"/>
                <w:b/>
                <w:color w:val="5C6368"/>
                <w:sz w:val="19"/>
              </w:rPr>
              <w:t>提交語言</w:t>
            </w:r>
          </w:p>
        </w:tc>
        <w:tc>
          <w:tcPr>
            <w:tcW w:type="dxa" w:w="6123"/>
            <w:shd w:val="clear" w:color="auto" w:fill="FFFFFF"/>
            <w:tcBorders>
              <w:top w:val="single" w:sz="4" w:space="0" w:color="DADDDD"/>
              <w:left w:val="single" w:sz="4" w:space="0" w:color="DADDDD"/>
              <w:bottom w:val="single" w:sz="4" w:space="0" w:color="DADDDD"/>
              <w:right w:val="single" w:sz="4" w:space="0" w:color="DADDDD"/>
            </w:tcBorders>
          </w:tcPr>
          <w:p>
            <w:pPr>
              <w:spacing w:before="80" w:after="80"/>
            </w:pPr>
            <w:r>
              <w:rPr>
                <w:rFonts w:ascii="Calibri" w:hAnsi="Calibri" w:eastAsia="Microsoft JhengHei"/>
                <w:color w:val="1F2326"/>
                <w:sz w:val="21"/>
              </w:rPr>
              <w:t>英文</w:t>
            </w:r>
          </w:p>
        </w:tc>
      </w:tr>
    </w:tbl>
    <w:p>
      <w:pPr>
        <w:spacing w:after="80"/>
      </w:pPr>
    </w:p>
    <w:p>
      <w:pPr>
        <w:spacing w:after="400"/>
      </w:pPr>
      <w:r>
        <w:rPr>
          <w:rFonts w:ascii="Calibri" w:hAnsi="Calibri" w:eastAsia="Microsoft JhengHei"/>
          <w:color w:val="5C6368"/>
          <w:sz w:val="22"/>
        </w:rPr>
        <w:t>政策簡報採用旨在有效面向政策受眾溝通的結構化格式。與學術論文不同，政策簡報以結論開篇，並側重具有可操作性的建議。撰寫時應面向具備一定專業知識但非學術專家的讀者：避免使用專業術語，對技術性名詞加以說明，並使用主動句式。建議應具體到讀者可據此採取行動的程度——例如應寫「教育部應……」，而非籠統地寫「政策制定者應考慮……」。</w:t>
      </w:r>
    </w:p>
    <w:p>
      <w:pPr>
        <w:spacing w:before="120" w:after="80"/>
      </w:pPr>
      <w:r>
        <w:rPr>
          <w:rFonts w:ascii="Georgia" w:hAnsi="Georgia" w:eastAsia="PMingLiU"/>
          <w:b w:val="0"/>
          <w:color w:val="1F2326"/>
          <w:sz w:val="34"/>
        </w:rPr>
        <w:t>範本結構</w:t>
      </w:r>
    </w:p>
    <w:p>
      <w:pPr>
        <w:pBdr>
          <w:bottom w:val="single" w:sz="6" w:space="4" w:color="DADDDD"/>
        </w:pBdr>
        <w:spacing w:after="200"/>
      </w:pPr>
    </w:p>
    <w:p>
      <w:pPr>
        <w:spacing w:before="320" w:after="80"/>
      </w:pPr>
      <w:r>
        <w:rPr>
          <w:rFonts w:ascii="Georgia" w:hAnsi="Georgia" w:eastAsia="PMingLiU"/>
          <w:b/>
          <w:color w:val="1F2326"/>
          <w:sz w:val="28"/>
        </w:rPr>
        <w:t>封面</w:t>
      </w:r>
    </w:p>
    <w:p>
      <w:pPr>
        <w:spacing w:after="160"/>
      </w:pPr>
      <w:r>
        <w:rPr>
          <w:rFonts w:ascii="Calibri" w:hAnsi="Calibri" w:eastAsia="Microsoft JhengHei"/>
          <w:i/>
          <w:color w:val="8A9196"/>
          <w:sz w:val="19"/>
        </w:rPr>
        <w:t>標題、簡報編號、作者、研究中心、日期、DOI。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1F2F2"/>
            <w:tcBorders>
              <w:top w:val="dashed" w:sz="4" w:space="0" w:color="DADDDD"/>
              <w:left w:val="dashed" w:sz="4" w:space="0" w:color="DADDDD"/>
              <w:bottom w:val="dashed" w:sz="4" w:space="0" w:color="DADDDD"/>
              <w:right w:val="dashed" w:sz="4" w:space="0" w:color="DADDDD"/>
            </w:tcBorders>
          </w:tcPr>
          <w:p>
            <w:pPr>
              <w:spacing w:before="200" w:after="200"/>
            </w:pPr>
            <w:r>
              <w:rPr>
                <w:rFonts w:ascii="Calibri" w:hAnsi="Calibri" w:eastAsia="Microsoft JhengHei"/>
                <w:i/>
                <w:color w:val="8A9196"/>
                <w:sz w:val="21"/>
              </w:rPr>
              <w:t>［簡報標題］</w:t>
              <w:br/>
              <w:t>政策簡報編號 PB-YYYY-00X</w:t>
              <w:br/>
              <w:t>［作者、所屬機構］</w:t>
              <w:br/>
              <w:t>［研究中心］</w:t>
              <w:br/>
              <w:t>［日期］</w:t>
              <w:br/>
              <w:t>［DOI：10.XXXXX/YYYYY］</w:t>
            </w:r>
          </w:p>
        </w:tc>
      </w:tr>
    </w:tbl>
    <w:p>
      <w:pPr>
        <w:spacing w:after="40"/>
      </w:pPr>
    </w:p>
    <w:p>
      <w:pPr>
        <w:spacing w:before="320" w:after="80"/>
      </w:pPr>
      <w:r>
        <w:rPr>
          <w:rFonts w:ascii="Georgia" w:hAnsi="Georgia" w:eastAsia="PMingLiU"/>
          <w:b/>
          <w:color w:val="1F2326"/>
          <w:sz w:val="28"/>
        </w:rPr>
        <w:t>核心資訊</w:t>
      </w:r>
    </w:p>
    <w:p>
      <w:pPr>
        <w:spacing w:after="160"/>
      </w:pPr>
      <w:r>
        <w:rPr>
          <w:rFonts w:ascii="Calibri" w:hAnsi="Calibri" w:eastAsia="Microsoft JhengHei"/>
          <w:i/>
          <w:color w:val="8A9196"/>
          <w:sz w:val="19"/>
        </w:rPr>
        <w:t>3–5 條要點，呈現簡報的核心結論，置於正文之前。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1F2F2"/>
            <w:tcBorders>
              <w:top w:val="dashed" w:sz="4" w:space="0" w:color="DADDDD"/>
              <w:left w:val="dashed" w:sz="4" w:space="0" w:color="DADDDD"/>
              <w:bottom w:val="dashed" w:sz="4" w:space="0" w:color="DADDDD"/>
              <w:right w:val="dashed" w:sz="4" w:space="0" w:color="DADDDD"/>
            </w:tcBorders>
          </w:tcPr>
          <w:p>
            <w:pPr>
              <w:spacing w:before="200" w:after="200"/>
            </w:pPr>
            <w:r>
              <w:rPr>
                <w:rFonts w:ascii="Calibri" w:hAnsi="Calibri" w:eastAsia="Microsoft JhengHei"/>
                <w:i/>
                <w:color w:val="8A9196"/>
                <w:sz w:val="21"/>
              </w:rPr>
              <w:t>［• 核心資訊一］</w:t>
              <w:br/>
              <w:t>［• 核心資訊二］</w:t>
              <w:br/>
              <w:t>［• 核心資訊三］</w:t>
            </w:r>
          </w:p>
        </w:tc>
      </w:tr>
    </w:tbl>
    <w:p>
      <w:pPr>
        <w:spacing w:after="40"/>
      </w:pPr>
    </w:p>
    <w:p>
      <w:pPr>
        <w:spacing w:before="320" w:after="80"/>
      </w:pPr>
      <w:r>
        <w:rPr>
          <w:rFonts w:ascii="Georgia" w:hAnsi="Georgia" w:eastAsia="PMingLiU"/>
          <w:b/>
          <w:color w:val="1F2326"/>
          <w:sz w:val="28"/>
        </w:rPr>
        <w:t>執行摘要</w:t>
      </w:r>
    </w:p>
    <w:p>
      <w:pPr>
        <w:spacing w:after="160"/>
      </w:pPr>
      <w:r>
        <w:rPr>
          <w:rFonts w:ascii="Calibri" w:hAnsi="Calibri" w:eastAsia="Microsoft JhengHei"/>
          <w:i/>
          <w:color w:val="8A9196"/>
          <w:sz w:val="19"/>
        </w:rPr>
        <w:t>150–250 字，供不再繼續閱讀全文的讀者參考。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1F2F2"/>
            <w:tcBorders>
              <w:top w:val="dashed" w:sz="4" w:space="0" w:color="DADDDD"/>
              <w:left w:val="dashed" w:sz="4" w:space="0" w:color="DADDDD"/>
              <w:bottom w:val="dashed" w:sz="4" w:space="0" w:color="DADDDD"/>
              <w:right w:val="dashed" w:sz="4" w:space="0" w:color="DADDDD"/>
            </w:tcBorders>
          </w:tcPr>
          <w:p>
            <w:pPr>
              <w:spacing w:before="200" w:after="200"/>
            </w:pPr>
            <w:r>
              <w:rPr>
                <w:rFonts w:ascii="Calibri" w:hAnsi="Calibri" w:eastAsia="Microsoft JhengHei"/>
                <w:i/>
                <w:color w:val="8A9196"/>
                <w:sz w:val="21"/>
              </w:rPr>
              <w:t>［請填寫 150–250 字摘要，內容應可獨立成篇，供僅閱讀此部分的讀者理解全貌。］</w:t>
            </w:r>
          </w:p>
        </w:tc>
      </w:tr>
    </w:tbl>
    <w:p>
      <w:pPr>
        <w:spacing w:after="40"/>
      </w:pPr>
    </w:p>
    <w:p>
      <w:pPr>
        <w:spacing w:before="320" w:after="80"/>
      </w:pPr>
      <w:r>
        <w:rPr>
          <w:rFonts w:ascii="Georgia" w:hAnsi="Georgia" w:eastAsia="PMingLiU"/>
          <w:b/>
          <w:color w:val="1F2326"/>
          <w:sz w:val="28"/>
        </w:rPr>
        <w:t>一、政策背景</w:t>
      </w:r>
    </w:p>
    <w:p>
      <w:pPr>
        <w:spacing w:after="160"/>
      </w:pPr>
      <w:r>
        <w:rPr>
          <w:rFonts w:ascii="Calibri" w:hAnsi="Calibri" w:eastAsia="Microsoft JhengHei"/>
          <w:i/>
          <w:color w:val="8A9196"/>
          <w:sz w:val="19"/>
        </w:rPr>
        <w:t>本簡報所針對的政策問題及其當前重要性。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1F2F2"/>
            <w:tcBorders>
              <w:top w:val="dashed" w:sz="4" w:space="0" w:color="DADDDD"/>
              <w:left w:val="dashed" w:sz="4" w:space="0" w:color="DADDDD"/>
              <w:bottom w:val="dashed" w:sz="4" w:space="0" w:color="DADDDD"/>
              <w:right w:val="dashed" w:sz="4" w:space="0" w:color="DADDDD"/>
            </w:tcBorders>
          </w:tcPr>
          <w:p>
            <w:pPr>
              <w:spacing w:before="200" w:after="200"/>
            </w:pPr>
            <w:r>
              <w:rPr>
                <w:rFonts w:ascii="Calibri" w:hAnsi="Calibri" w:eastAsia="Microsoft JhengHei"/>
                <w:i/>
                <w:color w:val="8A9196"/>
                <w:sz w:val="21"/>
              </w:rPr>
              <w:t>［請描述本簡報所針對的政策問題，並說明其在當下的重要性。］</w:t>
            </w:r>
          </w:p>
        </w:tc>
      </w:tr>
    </w:tbl>
    <w:p>
      <w:pPr>
        <w:spacing w:after="40"/>
      </w:pPr>
    </w:p>
    <w:p>
      <w:pPr>
        <w:spacing w:before="320" w:after="80"/>
      </w:pPr>
      <w:r>
        <w:rPr>
          <w:rFonts w:ascii="Georgia" w:hAnsi="Georgia" w:eastAsia="PMingLiU"/>
          <w:b/>
          <w:color w:val="1F2326"/>
          <w:sz w:val="28"/>
        </w:rPr>
        <w:t>二、證據與分析</w:t>
      </w:r>
    </w:p>
    <w:p>
      <w:pPr>
        <w:spacing w:after="160"/>
      </w:pPr>
      <w:r>
        <w:rPr>
          <w:rFonts w:ascii="Calibri" w:hAnsi="Calibri" w:eastAsia="Microsoft JhengHei"/>
          <w:i/>
          <w:color w:val="8A9196"/>
          <w:sz w:val="19"/>
        </w:rPr>
        <w:t>證據基礎與結構化分析，須與個人觀點清楚區分。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1F2F2"/>
            <w:tcBorders>
              <w:top w:val="dashed" w:sz="4" w:space="0" w:color="DADDDD"/>
              <w:left w:val="dashed" w:sz="4" w:space="0" w:color="DADDDD"/>
              <w:bottom w:val="dashed" w:sz="4" w:space="0" w:color="DADDDD"/>
              <w:right w:val="dashed" w:sz="4" w:space="0" w:color="DADDDD"/>
            </w:tcBorders>
          </w:tcPr>
          <w:p>
            <w:pPr>
              <w:spacing w:before="200" w:after="200"/>
            </w:pPr>
            <w:r>
              <w:rPr>
                <w:rFonts w:ascii="Calibri" w:hAnsi="Calibri" w:eastAsia="Microsoft JhengHei"/>
                <w:i/>
                <w:color w:val="8A9196"/>
                <w:sz w:val="21"/>
              </w:rPr>
              <w:t>［請呈現支撐本簡報的證據基礎與分析內容，並將證據與觀點或詮釋清楚區分。］</w:t>
            </w:r>
          </w:p>
        </w:tc>
      </w:tr>
    </w:tbl>
    <w:p>
      <w:pPr>
        <w:spacing w:after="40"/>
      </w:pPr>
    </w:p>
    <w:p>
      <w:pPr>
        <w:spacing w:before="320" w:after="80"/>
      </w:pPr>
      <w:r>
        <w:rPr>
          <w:rFonts w:ascii="Georgia" w:hAnsi="Georgia" w:eastAsia="PMingLiU"/>
          <w:b/>
          <w:color w:val="1F2326"/>
          <w:sz w:val="28"/>
        </w:rPr>
        <w:t>三、政策選項</w:t>
      </w:r>
    </w:p>
    <w:p>
      <w:pPr>
        <w:spacing w:after="160"/>
      </w:pPr>
      <w:r>
        <w:rPr>
          <w:rFonts w:ascii="Calibri" w:hAnsi="Calibri" w:eastAsia="Microsoft JhengHei"/>
          <w:i/>
          <w:color w:val="8A9196"/>
          <w:sz w:val="19"/>
        </w:rPr>
        <w:t>切實可行的行動選項，並說明各選項的優勢與侷限。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1F2F2"/>
            <w:tcBorders>
              <w:top w:val="dashed" w:sz="4" w:space="0" w:color="DADDDD"/>
              <w:left w:val="dashed" w:sz="4" w:space="0" w:color="DADDDD"/>
              <w:bottom w:val="dashed" w:sz="4" w:space="0" w:color="DADDDD"/>
              <w:right w:val="dashed" w:sz="4" w:space="0" w:color="DADDDD"/>
            </w:tcBorders>
          </w:tcPr>
          <w:p>
            <w:pPr>
              <w:spacing w:before="200" w:after="200"/>
            </w:pPr>
            <w:r>
              <w:rPr>
                <w:rFonts w:ascii="Calibri" w:hAnsi="Calibri" w:eastAsia="Microsoft JhengHei"/>
                <w:i/>
                <w:color w:val="8A9196"/>
                <w:sz w:val="21"/>
              </w:rPr>
              <w:t>［請呈現切實可行的政策選項，並說明各選項的優勢與侷限。］</w:t>
            </w:r>
          </w:p>
        </w:tc>
      </w:tr>
    </w:tbl>
    <w:p>
      <w:pPr>
        <w:spacing w:after="40"/>
      </w:pPr>
    </w:p>
    <w:p>
      <w:pPr>
        <w:spacing w:before="320" w:after="80"/>
      </w:pPr>
      <w:r>
        <w:rPr>
          <w:rFonts w:ascii="Georgia" w:hAnsi="Georgia" w:eastAsia="PMingLiU"/>
          <w:b/>
          <w:color w:val="1F2326"/>
          <w:sz w:val="28"/>
        </w:rPr>
        <w:t>四、建議</w:t>
      </w:r>
    </w:p>
    <w:p>
      <w:pPr>
        <w:spacing w:after="160"/>
      </w:pPr>
      <w:r>
        <w:rPr>
          <w:rFonts w:ascii="Calibri" w:hAnsi="Calibri" w:eastAsia="Microsoft JhengHei"/>
          <w:i/>
          <w:color w:val="8A9196"/>
          <w:sz w:val="19"/>
        </w:rPr>
        <w:t>具體、可操作的建議，並指明適用對象。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1F2F2"/>
            <w:tcBorders>
              <w:top w:val="dashed" w:sz="4" w:space="0" w:color="DADDDD"/>
              <w:left w:val="dashed" w:sz="4" w:space="0" w:color="DADDDD"/>
              <w:bottom w:val="dashed" w:sz="4" w:space="0" w:color="DADDDD"/>
              <w:right w:val="dashed" w:sz="4" w:space="0" w:color="DADDDD"/>
            </w:tcBorders>
          </w:tcPr>
          <w:p>
            <w:pPr>
              <w:spacing w:before="200" w:after="200"/>
            </w:pPr>
            <w:r>
              <w:rPr>
                <w:rFonts w:ascii="Calibri" w:hAnsi="Calibri" w:eastAsia="Microsoft JhengHei"/>
                <w:i/>
                <w:color w:val="8A9196"/>
                <w:sz w:val="21"/>
              </w:rPr>
              <w:t>［請填寫具體且可操作的建議，並逐條註明適用對象（如具體的部會、機構或組織）。］</w:t>
            </w:r>
          </w:p>
        </w:tc>
      </w:tr>
    </w:tbl>
    <w:p>
      <w:pPr>
        <w:spacing w:after="40"/>
      </w:pPr>
    </w:p>
    <w:p>
      <w:pPr>
        <w:spacing w:before="320" w:after="80"/>
      </w:pPr>
      <w:r>
        <w:rPr>
          <w:rFonts w:ascii="Georgia" w:hAnsi="Georgia" w:eastAsia="PMingLiU"/>
          <w:b/>
          <w:color w:val="1F2326"/>
          <w:sz w:val="28"/>
        </w:rPr>
        <w:t>參考文獻</w:t>
      </w:r>
    </w:p>
    <w:p>
      <w:pPr>
        <w:spacing w:after="160"/>
      </w:pPr>
      <w:r>
        <w:rPr>
          <w:rFonts w:ascii="Calibri" w:hAnsi="Calibri" w:eastAsia="Microsoft JhengHei"/>
          <w:i/>
          <w:color w:val="8A9196"/>
          <w:sz w:val="19"/>
        </w:rPr>
        <w:t>僅列出核心參考文獻，採用文中夾註或尾註格式，無需完整參考書目。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1F2F2"/>
            <w:tcBorders>
              <w:top w:val="dashed" w:sz="4" w:space="0" w:color="DADDDD"/>
              <w:left w:val="dashed" w:sz="4" w:space="0" w:color="DADDDD"/>
              <w:bottom w:val="dashed" w:sz="4" w:space="0" w:color="DADDDD"/>
              <w:right w:val="dashed" w:sz="4" w:space="0" w:color="DADDDD"/>
            </w:tcBorders>
          </w:tcPr>
          <w:p>
            <w:pPr>
              <w:spacing w:before="200" w:after="200"/>
            </w:pPr>
            <w:r>
              <w:rPr>
                <w:rFonts w:ascii="Calibri" w:hAnsi="Calibri" w:eastAsia="Microsoft JhengHei"/>
                <w:i/>
                <w:color w:val="8A9196"/>
                <w:sz w:val="21"/>
              </w:rPr>
              <w:t>［請僅列出本簡報引用的核心參考文獻，採用文中夾註或尾註格式。］</w:t>
            </w:r>
          </w:p>
        </w:tc>
      </w:tr>
    </w:tbl>
    <w:p>
      <w:pPr>
        <w:spacing w:after="40"/>
      </w:pPr>
    </w:p>
    <w:p>
      <w:pPr>
        <w:spacing w:before="320" w:after="80"/>
      </w:pPr>
      <w:r>
        <w:rPr>
          <w:rFonts w:ascii="Georgia" w:hAnsi="Georgia" w:eastAsia="PMingLiU"/>
          <w:b/>
          <w:color w:val="1F2326"/>
          <w:sz w:val="28"/>
        </w:rPr>
        <w:t>關於研究院</w:t>
      </w:r>
    </w:p>
    <w:p>
      <w:pPr>
        <w:spacing w:after="160"/>
      </w:pPr>
      <w:r>
        <w:rPr>
          <w:rFonts w:ascii="Calibri" w:hAnsi="Calibri" w:eastAsia="Microsoft JhengHei"/>
          <w:i/>
          <w:color w:val="8A9196"/>
          <w:sz w:val="19"/>
        </w:rPr>
        <w:t>研究院標準文本 — 請勿修改。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1F2F2"/>
            <w:tcBorders>
              <w:top w:val="dashed" w:sz="4" w:space="0" w:color="DADDDD"/>
              <w:left w:val="dashed" w:sz="4" w:space="0" w:color="DADDDD"/>
              <w:bottom w:val="dashed" w:sz="4" w:space="0" w:color="DADDDD"/>
              <w:right w:val="dashed" w:sz="4" w:space="0" w:color="DADDDD"/>
            </w:tcBorders>
          </w:tcPr>
          <w:p>
            <w:pPr>
              <w:spacing w:before="200" w:after="200"/>
            </w:pPr>
            <w:r>
              <w:rPr>
                <w:rFonts w:ascii="Calibri" w:hAnsi="Calibri" w:eastAsia="Microsoft JhengHei"/>
                <w:i/>
                <w:color w:val="8A9196"/>
                <w:sz w:val="21"/>
              </w:rPr>
              <w:t>全景研究院是全景學術集團的內部研究與學術發展部門。研究院在其研究活動中保持學術獨立，不具備獨立法人資格。欲了解更多資訊，請造訪 research.panorama-sg.com。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jc w:val="center"/>
      <w:tblLook w:firstColumn="1" w:firstRow="1" w:lastColumn="0" w:lastRow="0" w:noHBand="0" w:noVBand="1" w:val="04A0"/>
    </w:tblPr>
    <w:tblGrid>
      <w:gridCol w:w="4535"/>
      <w:gridCol w:w="4535"/>
    </w:tblGrid>
    <w:tr>
      <w:tc>
        <w:tcPr>
          <w:tcW w:type="dxa" w:w="4535"/>
        </w:tcPr>
        <w:p>
          <w:r>
            <w:rPr>
              <w:rFonts w:ascii="Consolas" w:hAnsi="Consolas" w:eastAsia="Microsoft JhengHei"/>
              <w:color w:val="8A9196"/>
              <w:sz w:val="17"/>
            </w:rPr>
            <w:t>全景研究院  ·  research.panorama-sg.com  ·  官方範本</w:t>
          </w:r>
        </w:p>
      </w:tc>
      <w:tc>
        <w:tcPr>
          <w:tcW w:type="dxa" w:w="4535"/>
        </w:tcPr>
        <w:p>
          <w:pPr>
            <w:jc w:val="right"/>
          </w:pPr>
          <w:r>
            <w:rPr>
              <w:rFonts w:ascii="Consolas" w:hAnsi="Consolas" w:eastAsia="Microsoft JhengHei"/>
              <w:color w:val="8A9196"/>
              <w:sz w:val="17"/>
            </w:rPr>
            <w:t xml:space="preserve">填寫說明 · </w:t>
          </w:r>
          <w:r>
            <w:rPr>
              <w:rFonts w:ascii="Consolas" w:hAnsi="Consolas" w:eastAsia="Consolas"/>
              <w:color w:val="8A9196"/>
              <w:sz w:val="18"/>
            </w:rPr>
            <w:fldChar w:fldCharType="begin"/>
            <w:instrText xml:space="preserve">PAGE</w:instrText>
            <w:fldChar w:fldCharType="end"/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DADDDD"/>
      </w:pBdr>
    </w:pPr>
  </w:p>
  <w:tbl>
    <w:tblPr>
      <w:tblW w:type="auto" w:w="0"/>
      <w:jc w:val="center"/>
      <w:tblLayout w:type="autofit"/>
      <w:tblLook w:firstColumn="1" w:firstRow="1" w:lastColumn="0" w:lastRow="0" w:noHBand="0" w:noVBand="1" w:val="04A0"/>
    </w:tblPr>
    <w:tblGrid>
      <w:gridCol w:w="4535"/>
      <w:gridCol w:w="4535"/>
    </w:tblGrid>
    <w:tr>
      <w:tc>
        <w:tcPr>
          <w:tcW w:type="dxa" w:w="4535"/>
        </w:tcPr>
        <w:p>
          <w:pPr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1296000" cy="244983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-header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96000" cy="244983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535"/>
        </w:tcPr>
        <w:p>
          <w:pPr>
            <w:jc w:val="right"/>
          </w:pPr>
          <w:r>
            <w:rPr>
              <w:rFonts w:ascii="Consolas" w:hAnsi="Consolas" w:eastAsia="Microsoft JhengHei"/>
              <w:color w:val="8A9196"/>
              <w:sz w:val="18"/>
            </w:rPr>
            <w:t>官方範本</w:t>
          </w:r>
        </w:p>
      </w:tc>
    </w:tr>
  </w:tbl>
  <w:p>
    <w:pPr>
      <w:pBdr>
        <w:bottom w:val="single" w:sz="6" w:space="4" w:color="DADDDD"/>
      </w:pBdr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Microsoft Jheng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