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Current pRF bar mapping design</w:t>
      </w:r>
    </w:p>
    <w:p>
      <w:r>
        <w:t>Updated protocol • 25 October 2026</w:t>
      </w:r>
    </w:p>
    <w:p>
      <w:r>
        <w:t>This protocol maps pRF positions around the region used for the illusion experiment. The current design lasts 348 seconds (5 minutes 48 seconds), sampled as 348 volumes at TR = 1 second. Fixation is 3° from the left screen edge. The 2° bar moves at approximately 0.56°/s within a fixation-centered circular aperture that reaches the right edge and is clipped by the physical screen. Acquisition sampling and the 2-second design-alignment grid are independent.</w:t>
      </w:r>
    </w:p>
    <w:p>
      <w:pPr>
        <w:pStyle w:val="Heading1"/>
      </w:pPr>
      <w:r>
        <w:t>Display and viewing geometry</w:t>
      </w:r>
    </w:p>
    <w:tbl>
      <w:tblPr>
        <w:tblW w:type="auto" w:w="0"/>
        <w:jc w:val="center"/>
        <w:tblLayout w:type="fixed"/>
        <w:tblLook w:firstColumn="1" w:firstRow="1" w:lastColumn="0" w:lastRow="0" w:noHBand="0" w:noVBand="1" w:val="04A0"/>
      </w:tblPr>
      <w:tblGrid>
        <w:gridCol w:w="3024"/>
        <w:gridCol w:w="7056"/>
      </w:tblGrid>
      <w:tr>
        <w:trPr>
          <w:tblHeader/>
          <w:cantSplit/>
        </w:trPr>
        <w:tc>
          <w:tcPr>
            <w:tcW w:type="dxa" w:w="3024"/>
            <w:vAlign w:val="center"/>
            <w:tcMar>
              <w:top w:w="70" w:type="dxa"/>
              <w:bottom w:w="70" w:type="dxa"/>
              <w:left w:w="95" w:type="dxa"/>
              <w:right w:w="95" w:type="dxa"/>
            </w:tcMar>
            <w:shd w:fill="E8EDF2"/>
          </w:tcPr>
          <w:p>
            <w:pPr>
              <w:spacing w:after="0" w:line="240" w:lineRule="auto"/>
            </w:pPr>
            <w:r>
              <w:rPr>
                <w:b/>
                <w:sz w:val="20"/>
              </w:rPr>
              <w:t>Parameter</w:t>
            </w:r>
          </w:p>
        </w:tc>
        <w:tc>
          <w:tcPr>
            <w:tcW w:type="dxa" w:w="7056"/>
            <w:vAlign w:val="center"/>
            <w:tcMar>
              <w:top w:w="70" w:type="dxa"/>
              <w:bottom w:w="70" w:type="dxa"/>
              <w:left w:w="95" w:type="dxa"/>
              <w:right w:w="95" w:type="dxa"/>
            </w:tcMar>
            <w:shd w:fill="E8EDF2"/>
          </w:tcPr>
          <w:p>
            <w:pPr>
              <w:spacing w:after="0" w:line="240" w:lineRule="auto"/>
            </w:pPr>
            <w:r>
              <w:rPr>
                <w:b/>
                <w:sz w:val="20"/>
              </w:rPr>
              <w:t>Current setting</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Display</w:t>
            </w:r>
          </w:p>
        </w:tc>
        <w:tc>
          <w:tcPr>
            <w:tcW w:type="dxa" w:w="7056"/>
            <w:vAlign w:val="center"/>
            <w:tcMar>
              <w:top w:w="70" w:type="dxa"/>
              <w:bottom w:w="70" w:type="dxa"/>
              <w:left w:w="95" w:type="dxa"/>
              <w:right w:w="95" w:type="dxa"/>
            </w:tcMar>
          </w:tcPr>
          <w:p>
            <w:pPr>
              <w:spacing w:after="0" w:line="240" w:lineRule="auto"/>
            </w:pPr>
            <w:r>
              <w:rPr>
                <w:b w:val="0"/>
                <w:sz w:val="20"/>
              </w:rPr>
              <w:t>1024 × 768 pixels, 60 Hz, requested 32-bit mode</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Projected image</w:t>
            </w:r>
          </w:p>
        </w:tc>
        <w:tc>
          <w:tcPr>
            <w:tcW w:type="dxa" w:w="7056"/>
            <w:vAlign w:val="center"/>
            <w:tcMar>
              <w:top w:w="70" w:type="dxa"/>
              <w:bottom w:w="70" w:type="dxa"/>
              <w:left w:w="95" w:type="dxa"/>
              <w:right w:w="95" w:type="dxa"/>
            </w:tcMar>
          </w:tcPr>
          <w:p>
            <w:pPr>
              <w:spacing w:after="0" w:line="240" w:lineRule="auto"/>
            </w:pPr>
            <w:r>
              <w:rPr>
                <w:b w:val="0"/>
                <w:sz w:val="20"/>
              </w:rPr>
              <w:t>354 mm wide × 265 mm high</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Viewing distance</w:t>
            </w:r>
          </w:p>
        </w:tc>
        <w:tc>
          <w:tcPr>
            <w:tcW w:type="dxa" w:w="7056"/>
            <w:vAlign w:val="center"/>
            <w:tcMar>
              <w:top w:w="70" w:type="dxa"/>
              <w:bottom w:w="70" w:type="dxa"/>
              <w:left w:w="95" w:type="dxa"/>
              <w:right w:w="95" w:type="dxa"/>
            </w:tcMar>
          </w:tcPr>
          <w:p>
            <w:pPr>
              <w:spacing w:after="0" w:line="240" w:lineRule="auto"/>
            </w:pPr>
            <w:r>
              <w:rPr>
                <w:b w:val="0"/>
                <w:sz w:val="20"/>
              </w:rPr>
              <w:t>1137 mm = 127 mm eye to mirror + 1010 mm mirror to screen</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Pixels per degree</w:t>
            </w:r>
          </w:p>
        </w:tc>
        <w:tc>
          <w:tcPr>
            <w:tcW w:type="dxa" w:w="7056"/>
            <w:vAlign w:val="center"/>
            <w:tcMar>
              <w:top w:w="70" w:type="dxa"/>
              <w:bottom w:w="70" w:type="dxa"/>
              <w:left w:w="95" w:type="dxa"/>
              <w:right w:w="95" w:type="dxa"/>
            </w:tcMar>
          </w:tcPr>
          <w:p>
            <w:pPr>
              <w:spacing w:after="0" w:line="240" w:lineRule="auto"/>
            </w:pPr>
            <w:r>
              <w:rPr>
                <w:b w:val="0"/>
                <w:sz w:val="20"/>
              </w:rPr>
              <w:t>57.4086, using PsychoPy standard deg approximation</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Visible angular field</w:t>
            </w:r>
          </w:p>
        </w:tc>
        <w:tc>
          <w:tcPr>
            <w:tcW w:type="dxa" w:w="7056"/>
            <w:vAlign w:val="center"/>
            <w:tcMar>
              <w:top w:w="70" w:type="dxa"/>
              <w:bottom w:w="70" w:type="dxa"/>
              <w:left w:w="95" w:type="dxa"/>
              <w:right w:w="95" w:type="dxa"/>
            </w:tcMar>
          </w:tcPr>
          <w:p>
            <w:pPr>
              <w:spacing w:after="0" w:line="240" w:lineRule="auto"/>
            </w:pPr>
            <w:r>
              <w:rPr>
                <w:b w:val="0"/>
                <w:sz w:val="20"/>
              </w:rPr>
              <w:t>Approximately 17.84° wide × 13.38° high</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Fixation position</w:t>
            </w:r>
          </w:p>
        </w:tc>
        <w:tc>
          <w:tcPr>
            <w:tcW w:type="dxa" w:w="7056"/>
            <w:vAlign w:val="center"/>
            <w:tcMar>
              <w:top w:w="70" w:type="dxa"/>
              <w:bottom w:w="70" w:type="dxa"/>
              <w:left w:w="95" w:type="dxa"/>
              <w:right w:w="95" w:type="dxa"/>
            </w:tcMar>
          </w:tcPr>
          <w:p>
            <w:pPr>
              <w:spacing w:after="0" w:line="240" w:lineRule="auto"/>
            </w:pPr>
            <w:r>
              <w:rPr>
                <w:b w:val="0"/>
                <w:sz w:val="20"/>
              </w:rPr>
              <w:t>3° from left screen edge, vertically centered</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Fixation offset</w:t>
            </w:r>
          </w:p>
        </w:tc>
        <w:tc>
          <w:tcPr>
            <w:tcW w:type="dxa" w:w="7056"/>
            <w:vAlign w:val="center"/>
            <w:tcMar>
              <w:top w:w="70" w:type="dxa"/>
              <w:bottom w:w="70" w:type="dxa"/>
              <w:left w:w="95" w:type="dxa"/>
              <w:right w:w="95" w:type="dxa"/>
            </w:tcMar>
          </w:tcPr>
          <w:p>
            <w:pPr>
              <w:spacing w:after="0" w:line="240" w:lineRule="auto"/>
            </w:pPr>
            <w:r>
              <w:rPr>
                <w:b w:val="0"/>
                <w:sz w:val="20"/>
              </w:rPr>
              <w:t>Nominal −5.92° from screen center; rounded offset [−340, 0] pixels</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Fixation screen coordinates</w:t>
            </w:r>
          </w:p>
        </w:tc>
        <w:tc>
          <w:tcPr>
            <w:tcW w:type="dxa" w:w="7056"/>
            <w:vAlign w:val="center"/>
            <w:tcMar>
              <w:top w:w="70" w:type="dxa"/>
              <w:bottom w:w="70" w:type="dxa"/>
              <w:left w:w="95" w:type="dxa"/>
              <w:right w:w="95" w:type="dxa"/>
            </w:tcMar>
          </w:tcPr>
          <w:p>
            <w:pPr>
              <w:spacing w:after="0" w:line="240" w:lineRule="auto"/>
            </w:pPr>
            <w:r>
              <w:rPr>
                <w:b w:val="0"/>
                <w:sz w:val="20"/>
              </w:rPr>
              <w:t>[172, 384] display pixels</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Coverage relative to fixation</w:t>
            </w:r>
          </w:p>
        </w:tc>
        <w:tc>
          <w:tcPr>
            <w:tcW w:type="dxa" w:w="7056"/>
            <w:vAlign w:val="center"/>
            <w:tcMar>
              <w:top w:w="70" w:type="dxa"/>
              <w:bottom w:w="70" w:type="dxa"/>
              <w:left w:w="95" w:type="dxa"/>
              <w:right w:w="95" w:type="dxa"/>
            </w:tcMar>
          </w:tcPr>
          <w:p>
            <w:pPr>
              <w:spacing w:after="0" w:line="240" w:lineRule="auto"/>
            </w:pPr>
            <w:r>
              <w:rPr>
                <w:b w:val="0"/>
                <w:sz w:val="20"/>
              </w:rPr>
              <w:t>Approximately x = −3° to +14.84° and y = −6.69° to +6.69°; the circle excludes the far corners</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Left stimulus boundary</w:t>
            </w:r>
          </w:p>
        </w:tc>
        <w:tc>
          <w:tcPr>
            <w:tcW w:type="dxa" w:w="7056"/>
            <w:vAlign w:val="center"/>
            <w:tcMar>
              <w:top w:w="70" w:type="dxa"/>
              <w:bottom w:w="70" w:type="dxa"/>
              <w:left w:w="95" w:type="dxa"/>
              <w:right w:w="95" w:type="dxa"/>
            </w:tcMar>
          </w:tcPr>
          <w:p>
            <w:pPr>
              <w:spacing w:after="0" w:line="240" w:lineRule="auto"/>
            </w:pPr>
            <w:r>
              <w:rPr>
                <w:b w:val="0"/>
                <w:sz w:val="20"/>
              </w:rPr>
              <w:t>3° left of fixation, with physical screen clipping and subpixel rounding</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Canvas</w:t>
            </w:r>
          </w:p>
        </w:tc>
        <w:tc>
          <w:tcPr>
            <w:tcW w:type="dxa" w:w="7056"/>
            <w:vAlign w:val="center"/>
            <w:tcMar>
              <w:top w:w="70" w:type="dxa"/>
              <w:bottom w:w="70" w:type="dxa"/>
              <w:left w:w="95" w:type="dxa"/>
              <w:right w:w="95" w:type="dxa"/>
            </w:tcMar>
          </w:tcPr>
          <w:p>
            <w:pPr>
              <w:spacing w:after="0" w:line="240" w:lineRule="auto"/>
            </w:pPr>
            <w:r>
              <w:t>1704 × 1704 display pixels; diameter 29.68°, radius 14.84°</w:t>
            </w:r>
          </w:p>
        </w:tc>
      </w:tr>
    </w:tbl>
    <w:p>
      <w:r>
        <w:t>The aperture radius is the distance from the rounded fixation position to the right screen edge: 852 display pixels, or 14.841°. Its diameter and canvas are 1704 pixels. The circle touches the right edge at fixation height and excludes the upper-right and lower-right corners. Presentation and fitting masks use the same circular support, screen clipping, and 3° left-coverage limit.</w:t>
      </w:r>
    </w:p>
    <w:p>
      <w:pPr>
        <w:pStyle w:val="Heading1"/>
      </w:pPr>
      <w:r>
        <w:t>Calibration convention</w:t>
      </w:r>
    </w:p>
    <w:p>
      <w:r>
        <w:t>Pixels per degree are computed as viewing distance × 0.017455 × horizontal pixels ÷ projected image width. Fixation offset is computed from screen width and the requested left-edge distance. Positive x is right; positive y is up in the entered degree coordinates, and y is reversed for display pixel offsets.</w:t>
      </w:r>
    </w:p>
    <w:p>
      <w:r>
        <w:t>These values use the same width-based linear calibration on both axes. Projected height is recorded but is not used to calculate a separate vertical scale. The angular values are not exact perspective-corrected angles; verify that the main illusion stimulus uses the same calibration convention.</w:t>
      </w:r>
    </w:p>
    <w:p>
      <w:r>
        <w:br w:type="page"/>
      </w:r>
    </w:p>
    <w:p>
      <w:pPr>
        <w:pStyle w:val="Heading1"/>
      </w:pPr>
      <w:r>
        <w:t>Bar stimulus and fixation task</w:t>
      </w:r>
    </w:p>
    <w:tbl>
      <w:tblPr>
        <w:tblW w:type="auto" w:w="0"/>
        <w:jc w:val="center"/>
        <w:tblLayout w:type="fixed"/>
        <w:tblLook w:firstColumn="1" w:firstRow="1" w:lastColumn="0" w:lastRow="0" w:noHBand="0" w:noVBand="1" w:val="04A0"/>
      </w:tblPr>
      <w:tblGrid>
        <w:gridCol w:w="3024"/>
        <w:gridCol w:w="7056"/>
      </w:tblGrid>
      <w:tr>
        <w:trPr>
          <w:tblHeader/>
          <w:cantSplit/>
        </w:trPr>
        <w:tc>
          <w:tcPr>
            <w:tcW w:type="dxa" w:w="3024"/>
            <w:vAlign w:val="center"/>
            <w:tcMar>
              <w:top w:w="70" w:type="dxa"/>
              <w:bottom w:w="70" w:type="dxa"/>
              <w:left w:w="95" w:type="dxa"/>
              <w:right w:w="95" w:type="dxa"/>
            </w:tcMar>
            <w:shd w:fill="E8EDF2"/>
          </w:tcPr>
          <w:p>
            <w:pPr>
              <w:spacing w:after="0" w:line="240" w:lineRule="auto"/>
            </w:pPr>
            <w:r>
              <w:rPr>
                <w:b/>
                <w:sz w:val="20"/>
              </w:rPr>
              <w:t>Parameter</w:t>
            </w:r>
          </w:p>
        </w:tc>
        <w:tc>
          <w:tcPr>
            <w:tcW w:type="dxa" w:w="7056"/>
            <w:vAlign w:val="center"/>
            <w:tcMar>
              <w:top w:w="70" w:type="dxa"/>
              <w:bottom w:w="70" w:type="dxa"/>
              <w:left w:w="95" w:type="dxa"/>
              <w:right w:w="95" w:type="dxa"/>
            </w:tcMar>
            <w:shd w:fill="E8EDF2"/>
          </w:tcPr>
          <w:p>
            <w:pPr>
              <w:spacing w:after="0" w:line="240" w:lineRule="auto"/>
            </w:pPr>
            <w:r>
              <w:rPr>
                <w:b/>
                <w:sz w:val="20"/>
              </w:rPr>
              <w:t>Current setting</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Bar width</w:t>
            </w:r>
          </w:p>
        </w:tc>
        <w:tc>
          <w:tcPr>
            <w:tcW w:type="dxa" w:w="7056"/>
            <w:vAlign w:val="center"/>
            <w:tcMar>
              <w:top w:w="70" w:type="dxa"/>
              <w:bottom w:w="70" w:type="dxa"/>
              <w:left w:w="95" w:type="dxa"/>
              <w:right w:w="95" w:type="dxa"/>
            </w:tcMar>
          </w:tcPr>
          <w:p>
            <w:pPr>
              <w:spacing w:after="0" w:line="240" w:lineRule="auto"/>
            </w:pPr>
            <w:r>
              <w:rPr>
                <w:b w:val="0"/>
                <w:sz w:val="20"/>
              </w:rPr>
              <w:t>Fixed 2°; approximately 114.82 display pixels</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Width relative to visible field</w:t>
            </w:r>
          </w:p>
        </w:tc>
        <w:tc>
          <w:tcPr>
            <w:tcW w:type="dxa" w:w="7056"/>
            <w:vAlign w:val="center"/>
            <w:tcMar>
              <w:top w:w="70" w:type="dxa"/>
              <w:bottom w:w="70" w:type="dxa"/>
              <w:left w:w="95" w:type="dxa"/>
              <w:right w:w="95" w:type="dxa"/>
            </w:tcMar>
          </w:tcPr>
          <w:p>
            <w:pPr>
              <w:spacing w:after="0" w:line="240" w:lineRule="auto"/>
            </w:pPr>
            <w:r>
              <w:rPr>
                <w:b w:val="0"/>
                <w:sz w:val="20"/>
              </w:rPr>
              <w:t>Approximately 11.2% of the 17.84° horizontal extent; no longer exactly 1/8</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Common movement speed</w:t>
            </w:r>
          </w:p>
        </w:tc>
        <w:tc>
          <w:tcPr>
            <w:tcW w:type="dxa" w:w="7056"/>
            <w:vAlign w:val="center"/>
            <w:tcMar>
              <w:top w:w="70" w:type="dxa"/>
              <w:bottom w:w="70" w:type="dxa"/>
              <w:left w:w="95" w:type="dxa"/>
              <w:right w:w="95" w:type="dxa"/>
            </w:tcMar>
          </w:tcPr>
          <w:p>
            <w:pPr>
              <w:spacing w:after="0" w:line="240" w:lineRule="auto"/>
            </w:pPr>
            <w:r>
              <w:rPr>
                <w:b w:val="0"/>
                <w:sz w:val="20"/>
              </w:rPr>
              <w:t>Approximately 0.56°/s across directions; optimized using current clipped masks</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Point exposure per sweep</w:t>
            </w:r>
          </w:p>
        </w:tc>
        <w:tc>
          <w:tcPr>
            <w:tcW w:type="dxa" w:w="7056"/>
            <w:vAlign w:val="center"/>
            <w:tcMar>
              <w:top w:w="70" w:type="dxa"/>
              <w:bottom w:w="70" w:type="dxa"/>
              <w:left w:w="95" w:type="dxa"/>
              <w:right w:w="95" w:type="dxa"/>
            </w:tcMar>
          </w:tcPr>
          <w:p>
            <w:pPr>
              <w:spacing w:after="0" w:line="240" w:lineRule="auto"/>
            </w:pPr>
            <w:r>
              <w:rPr>
                <w:b w:val="0"/>
                <w:sz w:val="20"/>
              </w:rPr>
              <w:t>Approximately 3.6 seconds when fully crossed</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Movement per 1-second TR</w:t>
            </w:r>
          </w:p>
        </w:tc>
        <w:tc>
          <w:tcPr>
            <w:tcW w:type="dxa" w:w="7056"/>
            <w:vAlign w:val="center"/>
            <w:tcMar>
              <w:top w:w="70" w:type="dxa"/>
              <w:bottom w:w="70" w:type="dxa"/>
              <w:left w:w="95" w:type="dxa"/>
              <w:right w:w="95" w:type="dxa"/>
            </w:tcMar>
          </w:tcPr>
          <w:p>
            <w:pPr>
              <w:spacing w:after="0" w:line="240" w:lineRule="auto"/>
            </w:pPr>
            <w:r>
              <w:rPr>
                <w:b w:val="0"/>
                <w:sz w:val="20"/>
              </w:rPr>
              <w:t>Approximately 0.56° per 1-second acquisition TR</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Untrimmed trajectory</w:t>
            </w:r>
          </w:p>
        </w:tc>
        <w:tc>
          <w:tcPr>
            <w:tcW w:type="dxa" w:w="7056"/>
            <w:vAlign w:val="center"/>
            <w:tcMar>
              <w:top w:w="70" w:type="dxa"/>
              <w:bottom w:w="70" w:type="dxa"/>
              <w:left w:w="95" w:type="dxa"/>
              <w:right w:w="95" w:type="dxa"/>
            </w:tcMar>
          </w:tcPr>
          <w:p>
            <w:pPr>
              <w:spacing w:after="0" w:line="240" w:lineRule="auto"/>
            </w:pPr>
            <w:r>
              <w:t>896 movie frames or 59.733 seconds; invisible ends are trimmed</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Movie update rate</w:t>
            </w:r>
          </w:p>
        </w:tc>
        <w:tc>
          <w:tcPr>
            <w:tcW w:type="dxa" w:w="7056"/>
            <w:vAlign w:val="center"/>
            <w:tcMar>
              <w:top w:w="70" w:type="dxa"/>
              <w:bottom w:w="70" w:type="dxa"/>
              <w:left w:w="95" w:type="dxa"/>
              <w:right w:w="95" w:type="dxa"/>
            </w:tcMar>
          </w:tcPr>
          <w:p>
            <w:pPr>
              <w:spacing w:after="0" w:line="240" w:lineRule="auto"/>
            </w:pPr>
            <w:r>
              <w:rPr>
                <w:b w:val="0"/>
                <w:sz w:val="20"/>
              </w:rPr>
              <w:t>15 Hz nominal schedule; onsets are quantized to the actual display refresh grid</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Run frames</w:t>
            </w:r>
          </w:p>
        </w:tc>
        <w:tc>
          <w:tcPr>
            <w:tcW w:type="dxa" w:w="7056"/>
            <w:vAlign w:val="center"/>
            <w:tcMar>
              <w:top w:w="70" w:type="dxa"/>
              <w:bottom w:w="70" w:type="dxa"/>
              <w:left w:w="95" w:type="dxa"/>
              <w:right w:w="95" w:type="dxa"/>
            </w:tcMar>
          </w:tcPr>
          <w:p>
            <w:pPr>
              <w:spacing w:after="0" w:line="240" w:lineRule="auto"/>
            </w:pPr>
            <w:r>
              <w:t>5220 planned movie frames</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Sweep directions</w:t>
            </w:r>
          </w:p>
        </w:tc>
        <w:tc>
          <w:tcPr>
            <w:tcW w:type="dxa" w:w="7056"/>
            <w:vAlign w:val="center"/>
            <w:tcMar>
              <w:top w:w="70" w:type="dxa"/>
              <w:bottom w:w="70" w:type="dxa"/>
              <w:left w:w="95" w:type="dxa"/>
              <w:right w:w="95" w:type="dxa"/>
            </w:tcMar>
          </w:tcPr>
          <w:p>
            <w:pPr>
              <w:spacing w:after="0" w:line="240" w:lineRule="auto"/>
            </w:pPr>
            <w:r>
              <w:rPr>
                <w:b w:val="0"/>
                <w:sz w:val="20"/>
              </w:rPr>
              <w:t>Eight, presented in a fixed order</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Visual texture</w:t>
            </w:r>
          </w:p>
        </w:tc>
        <w:tc>
          <w:tcPr>
            <w:tcW w:type="dxa" w:w="7056"/>
            <w:vAlign w:val="center"/>
            <w:tcMar>
              <w:top w:w="70" w:type="dxa"/>
              <w:bottom w:w="70" w:type="dxa"/>
              <w:left w:w="95" w:type="dxa"/>
              <w:right w:w="95" w:type="dxa"/>
            </w:tcMar>
          </w:tcPr>
          <w:p>
            <w:pPr>
              <w:spacing w:after="0" w:line="240" w:lineRule="auto"/>
            </w:pPr>
            <w:r>
              <w:rPr>
                <w:b w:val="0"/>
                <w:sz w:val="20"/>
              </w:rPr>
              <w:t>Original colorful object textures, randomly selected during playback</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Background</w:t>
            </w:r>
          </w:p>
        </w:tc>
        <w:tc>
          <w:tcPr>
            <w:tcW w:type="dxa" w:w="7056"/>
            <w:vAlign w:val="center"/>
            <w:tcMar>
              <w:top w:w="70" w:type="dxa"/>
              <w:bottom w:w="70" w:type="dxa"/>
              <w:left w:w="95" w:type="dxa"/>
              <w:right w:w="95" w:type="dxa"/>
            </w:tcMar>
          </w:tcPr>
          <w:p>
            <w:pPr>
              <w:spacing w:after="0" w:line="240" w:lineRule="auto"/>
            </w:pPr>
            <w:r>
              <w:rPr>
                <w:b w:val="0"/>
                <w:sz w:val="20"/>
              </w:rPr>
              <w:t>Gray, uint8 value 127</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Movie flips</w:t>
            </w:r>
          </w:p>
        </w:tc>
        <w:tc>
          <w:tcPr>
            <w:tcW w:type="dxa" w:w="7056"/>
            <w:vAlign w:val="center"/>
            <w:tcMar>
              <w:top w:w="70" w:type="dxa"/>
              <w:bottom w:w="70" w:type="dxa"/>
              <w:left w:w="95" w:type="dxa"/>
              <w:right w:w="95" w:type="dxa"/>
            </w:tcMar>
          </w:tcPr>
          <w:p>
            <w:pPr>
              <w:spacing w:after="0" w:line="240" w:lineRule="auto"/>
            </w:pPr>
            <w:r>
              <w:rPr>
                <w:b w:val="0"/>
                <w:sz w:val="20"/>
              </w:rPr>
              <w:t>[0, 0], with no horizontal or vertical flip</w:t>
            </w:r>
          </w:p>
        </w:tc>
      </w:tr>
    </w:tbl>
    <w:p>
      <w:r>
        <w:t>The approximately 3.6-second exposure is bar width divided by the rounded movement speed, not a BOLD response duration. Exposure is shorter at clipped boundaries and depends on each pRF's spatial extent. The 896-frame trajectory compensates for the larger canvas; its nominal speed scale is approximately 0.36% above the earlier 4°-fixation, 838-frame design, rather than a large speed change.</w:t>
      </w:r>
    </w:p>
    <w:p>
      <w:pPr>
        <w:pStyle w:val="Heading1"/>
      </w:pPr>
      <w:r>
        <w:t>Fixation and overlay</w:t>
      </w:r>
    </w:p>
    <w:p>
      <w:r>
        <w:t>The fixation dot is 4 display pixels in diameter, with red, black and white colors and alpha 0.5. It changes to a different color at random intervals of 3–13 seconds, averaging 8 seconds and quantized to 1/15 second. Approximately 43 changes are expected per 348-second run, with random variation. The task continues through rests and padding; sweep order is fixed and texture selection is randomized.</w:t>
      </w:r>
    </w:p>
    <w:p>
      <w:r>
        <w:t>Participants press any response key 1–4 within 1.0 second of a displayed color change. The first eligible press is a hit; no timely press is a miss; extra or out-of-window presses are false alarms. Reaction time is measured from the recorded change-frame onset. Accuracy = hits / (hits + misses) × 100%; false alarms are reported separately. Unanswered changes with an unfinished response window at run end are marked incomplete and excluded. Results are printed in the MATLAB Command Window.</w:t>
      </w:r>
    </w:p>
    <w:p>
      <w:r>
        <w:t>The overlay is generated from calibrated ring radii of 1°, 2°, 5° and 10°, centered on fixation. Eight radial spokes are retained at 45° increments. Lines are white with antialiasing, approximately one display pixel wide and maximum alpha 45/255. The center is cleared within a 4-pixel radius for the fixation dot. The overlay is clipped by the screen.</w:t>
      </w:r>
    </w:p>
    <w:p>
      <w:pPr>
        <w:pStyle w:val="Heading1"/>
      </w:pPr>
      <w:r>
        <w:t>Reference comparison</w:t>
      </w:r>
    </w:p>
    <w:p>
      <w:r>
        <w:t>Benson et al. (2018), the HCP 7T retinotopy study, used a circular field of 16° diameter, a 2° bar, 28-second traversals followed by 4-second blanks, and reported 3.11 seconds of exposure per point. The implied speed is approximately 0.64° per second. Our current bar has the same absolute width and slightly longer point exposure. HCP used a 1-second TR and two bar runs within a six-run mapping session; its results do not validate a single run or our exact off-center coverage.</w:t>
      </w:r>
    </w:p>
    <w:p>
      <w:r>
        <w:t>Reference: https://doi.org/10.1167/18.13.23</w:t>
      </w:r>
    </w:p>
    <w:p>
      <w:r>
        <w:br w:type="page"/>
      </w:r>
    </w:p>
    <w:p>
      <w:pPr>
        <w:pStyle w:val="Heading1"/>
      </w:pPr>
      <w:r>
        <w:t>Complete block schedule</w:t>
      </w:r>
    </w:p>
    <w:p>
      <w:r>
        <w:t>The table below is the exact saved optimized schedule from subject 1, run 04 on 25 October 2026. Each sweep block includes its listed blank padding, followed by the separate scheduled rest. Design alignment remains 2 seconds; acquisition TR is 1 second. Faster acquisition sampling does not change stimulus timing. Durations are integer multiples of 1/15 second; displayed decimals are rounded.</w:t>
      </w:r>
    </w:p>
    <w:tbl>
      <w:tblPr>
        <w:tblW w:type="auto" w:w="0"/>
        <w:jc w:val="center"/>
        <w:tblLayout w:type="fixed"/>
        <w:tblLook w:firstColumn="1" w:firstRow="1" w:lastColumn="0" w:lastRow="0" w:noHBand="0" w:noVBand="1" w:val="04A0"/>
      </w:tblPr>
      <w:tblGrid>
        <w:gridCol w:w="3960"/>
        <w:gridCol w:w="1440"/>
        <w:gridCol w:w="1224"/>
        <w:gridCol w:w="1224"/>
        <w:gridCol w:w="1224"/>
        <w:gridCol w:w="1008"/>
      </w:tblGrid>
      <w:tr>
        <w:trPr>
          <w:tblHeader/>
          <w:cantSplit/>
        </w:trPr>
        <w:tc>
          <w:tcPr>
            <w:tcW w:type="dxa" w:w="3960"/>
            <w:vAlign w:val="center"/>
            <w:tcMar>
              <w:top w:w="70" w:type="dxa"/>
              <w:bottom w:w="70" w:type="dxa"/>
              <w:left w:w="95" w:type="dxa"/>
              <w:right w:w="95" w:type="dxa"/>
            </w:tcMar>
            <w:shd w:fill="E8EDF2"/>
          </w:tcPr>
          <w:p>
            <w:pPr>
              <w:spacing w:after="0" w:line="240" w:lineRule="auto"/>
            </w:pPr>
            <w:r>
              <w:rPr>
                <w:b/>
                <w:sz w:val="20"/>
              </w:rPr>
              <w:t>Block</w:t>
            </w:r>
          </w:p>
        </w:tc>
        <w:tc>
          <w:tcPr>
            <w:tcW w:type="dxa" w:w="1440"/>
            <w:vAlign w:val="center"/>
            <w:tcMar>
              <w:top w:w="70" w:type="dxa"/>
              <w:bottom w:w="70" w:type="dxa"/>
              <w:left w:w="95" w:type="dxa"/>
              <w:right w:w="95" w:type="dxa"/>
            </w:tcMar>
            <w:shd w:fill="E8EDF2"/>
          </w:tcPr>
          <w:p>
            <w:pPr>
              <w:spacing w:after="0" w:line="240" w:lineRule="auto"/>
              <w:jc w:val="right"/>
            </w:pPr>
            <w:r>
              <w:rPr>
                <w:b/>
                <w:sz w:val="20"/>
              </w:rPr>
              <w:t>Time (s)</w:t>
            </w:r>
          </w:p>
        </w:tc>
        <w:tc>
          <w:tcPr>
            <w:tcW w:type="dxa" w:w="1224"/>
            <w:vAlign w:val="center"/>
            <w:tcMar>
              <w:top w:w="70" w:type="dxa"/>
              <w:bottom w:w="70" w:type="dxa"/>
              <w:left w:w="95" w:type="dxa"/>
              <w:right w:w="95" w:type="dxa"/>
            </w:tcMar>
            <w:shd w:fill="E8EDF2"/>
          </w:tcPr>
          <w:p>
            <w:pPr>
              <w:spacing w:after="0" w:line="240" w:lineRule="auto"/>
              <w:jc w:val="right"/>
            </w:pPr>
            <w:r>
              <w:rPr>
                <w:b/>
                <w:sz w:val="20"/>
              </w:rPr>
              <w:t>Bar (s)</w:t>
            </w:r>
          </w:p>
        </w:tc>
        <w:tc>
          <w:tcPr>
            <w:tcW w:type="dxa" w:w="1224"/>
            <w:vAlign w:val="center"/>
            <w:tcMar>
              <w:top w:w="70" w:type="dxa"/>
              <w:bottom w:w="70" w:type="dxa"/>
              <w:left w:w="95" w:type="dxa"/>
              <w:right w:w="95" w:type="dxa"/>
            </w:tcMar>
            <w:shd w:fill="E8EDF2"/>
          </w:tcPr>
          <w:p>
            <w:pPr>
              <w:spacing w:after="0" w:line="240" w:lineRule="auto"/>
              <w:jc w:val="right"/>
            </w:pPr>
            <w:r>
              <w:rPr>
                <w:b/>
                <w:sz w:val="20"/>
              </w:rPr>
              <w:t>Padding (s)</w:t>
            </w:r>
          </w:p>
        </w:tc>
        <w:tc>
          <w:tcPr>
            <w:tcW w:type="dxa" w:w="1224"/>
            <w:vAlign w:val="center"/>
            <w:tcMar>
              <w:top w:w="70" w:type="dxa"/>
              <w:bottom w:w="70" w:type="dxa"/>
              <w:left w:w="95" w:type="dxa"/>
              <w:right w:w="95" w:type="dxa"/>
            </w:tcMar>
            <w:shd w:fill="E8EDF2"/>
          </w:tcPr>
          <w:p>
            <w:pPr>
              <w:spacing w:after="0" w:line="240" w:lineRule="auto"/>
              <w:jc w:val="right"/>
            </w:pPr>
            <w:r>
              <w:rPr>
                <w:b/>
                <w:sz w:val="20"/>
              </w:rPr>
              <w:t>Total (s)</w:t>
            </w:r>
          </w:p>
        </w:tc>
        <w:tc>
          <w:tcPr>
            <w:tcW w:type="dxa" w:w="1008"/>
            <w:vAlign w:val="center"/>
            <w:tcMar>
              <w:top w:w="70" w:type="dxa"/>
              <w:bottom w:w="70" w:type="dxa"/>
              <w:left w:w="95" w:type="dxa"/>
              <w:right w:w="95" w:type="dxa"/>
            </w:tcMar>
            <w:shd w:fill="E8EDF2"/>
          </w:tcPr>
          <w:p>
            <w:pPr>
              <w:spacing w:after="0" w:line="240" w:lineRule="auto"/>
              <w:jc w:val="right"/>
            </w:pPr>
            <w:r>
              <w:rPr>
                <w:b/>
                <w:sz w:val="20"/>
              </w:rPr>
              <w:t>Volumes</w:t>
            </w:r>
          </w:p>
        </w:tc>
      </w:tr>
      <w:tr>
        <w:trPr>
          <w:cantSplit/>
        </w:trPr>
        <w:tc>
          <w:tcPr>
            <w:tcW w:type="dxa" w:w="3960"/>
            <w:vAlign w:val="center"/>
            <w:tcMar>
              <w:top w:w="70" w:type="dxa"/>
              <w:bottom w:w="70" w:type="dxa"/>
              <w:left w:w="95" w:type="dxa"/>
              <w:right w:w="95" w:type="dxa"/>
            </w:tcMar>
          </w:tcPr>
          <w:p>
            <w:r>
              <w:rPr>
                <w:sz w:val="20"/>
              </w:rPr>
              <w:t>Initial rest</w:t>
            </w:r>
          </w:p>
        </w:tc>
        <w:tc>
          <w:tcPr>
            <w:tcW w:type="dxa" w:w="1440"/>
            <w:vAlign w:val="center"/>
            <w:tcMar>
              <w:top w:w="70" w:type="dxa"/>
              <w:bottom w:w="70" w:type="dxa"/>
              <w:left w:w="95" w:type="dxa"/>
              <w:right w:w="95" w:type="dxa"/>
            </w:tcMar>
          </w:tcPr>
          <w:p>
            <w:r>
              <w:rPr>
                <w:sz w:val="20"/>
              </w:rPr>
              <w:t>0–12</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12</w:t>
            </w:r>
          </w:p>
        </w:tc>
        <w:tc>
          <w:tcPr>
            <w:tcW w:type="dxa" w:w="1008"/>
            <w:vAlign w:val="center"/>
            <w:tcMar>
              <w:top w:w="70" w:type="dxa"/>
              <w:bottom w:w="70" w:type="dxa"/>
              <w:left w:w="95" w:type="dxa"/>
              <w:right w:w="95" w:type="dxa"/>
            </w:tcMar>
          </w:tcPr>
          <w:p>
            <w:r>
              <w:rPr>
                <w:sz w:val="20"/>
              </w:rPr>
              <w:t>12</w:t>
            </w:r>
          </w:p>
        </w:tc>
      </w:tr>
      <w:tr>
        <w:trPr>
          <w:cantSplit/>
        </w:trPr>
        <w:tc>
          <w:tcPr>
            <w:tcW w:type="dxa" w:w="3960"/>
            <w:vAlign w:val="center"/>
            <w:tcMar>
              <w:top w:w="70" w:type="dxa"/>
              <w:bottom w:w="70" w:type="dxa"/>
              <w:left w:w="95" w:type="dxa"/>
              <w:right w:w="95" w:type="dxa"/>
            </w:tcMar>
          </w:tcPr>
          <w:p>
            <w:r>
              <w:rPr>
                <w:sz w:val="20"/>
              </w:rPr>
              <w:t>Left → right</w:t>
            </w:r>
          </w:p>
        </w:tc>
        <w:tc>
          <w:tcPr>
            <w:tcW w:type="dxa" w:w="1440"/>
            <w:vAlign w:val="center"/>
            <w:tcMar>
              <w:top w:w="70" w:type="dxa"/>
              <w:bottom w:w="70" w:type="dxa"/>
              <w:left w:w="95" w:type="dxa"/>
              <w:right w:w="95" w:type="dxa"/>
            </w:tcMar>
          </w:tcPr>
          <w:p>
            <w:r>
              <w:rPr>
                <w:sz w:val="20"/>
              </w:rPr>
              <w:t>12–48</w:t>
            </w:r>
          </w:p>
        </w:tc>
        <w:tc>
          <w:tcPr>
            <w:tcW w:type="dxa" w:w="1224"/>
            <w:vAlign w:val="center"/>
            <w:tcMar>
              <w:top w:w="70" w:type="dxa"/>
              <w:bottom w:w="70" w:type="dxa"/>
              <w:left w:w="95" w:type="dxa"/>
              <w:right w:w="95" w:type="dxa"/>
            </w:tcMar>
          </w:tcPr>
          <w:p>
            <w:r>
              <w:rPr>
                <w:sz w:val="20"/>
              </w:rPr>
              <w:t>35.733</w:t>
            </w:r>
          </w:p>
        </w:tc>
        <w:tc>
          <w:tcPr>
            <w:tcW w:type="dxa" w:w="1224"/>
            <w:vAlign w:val="center"/>
            <w:tcMar>
              <w:top w:w="70" w:type="dxa"/>
              <w:bottom w:w="70" w:type="dxa"/>
              <w:left w:w="95" w:type="dxa"/>
              <w:right w:w="95" w:type="dxa"/>
            </w:tcMar>
          </w:tcPr>
          <w:p>
            <w:r>
              <w:rPr>
                <w:sz w:val="20"/>
              </w:rPr>
              <w:t>0.267</w:t>
            </w:r>
          </w:p>
        </w:tc>
        <w:tc>
          <w:tcPr>
            <w:tcW w:type="dxa" w:w="1224"/>
            <w:vAlign w:val="center"/>
            <w:tcMar>
              <w:top w:w="70" w:type="dxa"/>
              <w:bottom w:w="70" w:type="dxa"/>
              <w:left w:w="95" w:type="dxa"/>
              <w:right w:w="95" w:type="dxa"/>
            </w:tcMar>
          </w:tcPr>
          <w:p>
            <w:r>
              <w:rPr>
                <w:sz w:val="20"/>
              </w:rPr>
              <w:t>36</w:t>
            </w:r>
          </w:p>
        </w:tc>
        <w:tc>
          <w:tcPr>
            <w:tcW w:type="dxa" w:w="1008"/>
            <w:vAlign w:val="center"/>
            <w:tcMar>
              <w:top w:w="70" w:type="dxa"/>
              <w:bottom w:w="70" w:type="dxa"/>
              <w:left w:w="95" w:type="dxa"/>
              <w:right w:w="95" w:type="dxa"/>
            </w:tcMar>
          </w:tcPr>
          <w:p>
            <w:r>
              <w:rPr>
                <w:sz w:val="20"/>
              </w:rPr>
              <w:t>36</w:t>
            </w:r>
          </w:p>
        </w:tc>
      </w:tr>
      <w:tr>
        <w:trPr>
          <w:cantSplit/>
        </w:trPr>
        <w:tc>
          <w:tcPr>
            <w:tcW w:type="dxa" w:w="3960"/>
            <w:vAlign w:val="center"/>
            <w:tcMar>
              <w:top w:w="70" w:type="dxa"/>
              <w:bottom w:w="70" w:type="dxa"/>
              <w:left w:w="95" w:type="dxa"/>
              <w:right w:w="95" w:type="dxa"/>
            </w:tcMar>
          </w:tcPr>
          <w:p>
            <w:r>
              <w:rPr>
                <w:sz w:val="20"/>
              </w:rPr>
              <w:t>Rest</w:t>
            </w:r>
          </w:p>
        </w:tc>
        <w:tc>
          <w:tcPr>
            <w:tcW w:type="dxa" w:w="1440"/>
            <w:vAlign w:val="center"/>
            <w:tcMar>
              <w:top w:w="70" w:type="dxa"/>
              <w:bottom w:w="70" w:type="dxa"/>
              <w:left w:w="95" w:type="dxa"/>
              <w:right w:w="95" w:type="dxa"/>
            </w:tcMar>
          </w:tcPr>
          <w:p>
            <w:r>
              <w:rPr>
                <w:sz w:val="20"/>
              </w:rPr>
              <w:t>48–52</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4</w:t>
            </w:r>
          </w:p>
        </w:tc>
        <w:tc>
          <w:tcPr>
            <w:tcW w:type="dxa" w:w="1008"/>
            <w:vAlign w:val="center"/>
            <w:tcMar>
              <w:top w:w="70" w:type="dxa"/>
              <w:bottom w:w="70" w:type="dxa"/>
              <w:left w:w="95" w:type="dxa"/>
              <w:right w:w="95" w:type="dxa"/>
            </w:tcMar>
          </w:tcPr>
          <w:p>
            <w:r>
              <w:rPr>
                <w:sz w:val="20"/>
              </w:rPr>
              <w:t>4</w:t>
            </w:r>
          </w:p>
        </w:tc>
      </w:tr>
      <w:tr>
        <w:trPr>
          <w:cantSplit/>
        </w:trPr>
        <w:tc>
          <w:tcPr>
            <w:tcW w:type="dxa" w:w="3960"/>
            <w:vAlign w:val="center"/>
            <w:tcMar>
              <w:top w:w="70" w:type="dxa"/>
              <w:bottom w:w="70" w:type="dxa"/>
              <w:left w:w="95" w:type="dxa"/>
              <w:right w:w="95" w:type="dxa"/>
            </w:tcMar>
          </w:tcPr>
          <w:p>
            <w:r>
              <w:rPr>
                <w:sz w:val="20"/>
              </w:rPr>
              <w:t>Down → up</w:t>
            </w:r>
          </w:p>
        </w:tc>
        <w:tc>
          <w:tcPr>
            <w:tcW w:type="dxa" w:w="1440"/>
            <w:vAlign w:val="center"/>
            <w:tcMar>
              <w:top w:w="70" w:type="dxa"/>
              <w:bottom w:w="70" w:type="dxa"/>
              <w:left w:w="95" w:type="dxa"/>
              <w:right w:w="95" w:type="dxa"/>
            </w:tcMar>
          </w:tcPr>
          <w:p>
            <w:r>
              <w:rPr>
                <w:sz w:val="20"/>
              </w:rPr>
              <w:t>52–80</w:t>
            </w:r>
          </w:p>
        </w:tc>
        <w:tc>
          <w:tcPr>
            <w:tcW w:type="dxa" w:w="1224"/>
            <w:vAlign w:val="center"/>
            <w:tcMar>
              <w:top w:w="70" w:type="dxa"/>
              <w:bottom w:w="70" w:type="dxa"/>
              <w:left w:w="95" w:type="dxa"/>
              <w:right w:w="95" w:type="dxa"/>
            </w:tcMar>
          </w:tcPr>
          <w:p>
            <w:r>
              <w:rPr>
                <w:sz w:val="20"/>
              </w:rPr>
              <w:t>28.000</w:t>
            </w:r>
          </w:p>
        </w:tc>
        <w:tc>
          <w:tcPr>
            <w:tcW w:type="dxa" w:w="1224"/>
            <w:vAlign w:val="center"/>
            <w:tcMar>
              <w:top w:w="70" w:type="dxa"/>
              <w:bottom w:w="70" w:type="dxa"/>
              <w:left w:w="95" w:type="dxa"/>
              <w:right w:w="95" w:type="dxa"/>
            </w:tcMar>
          </w:tcPr>
          <w:p>
            <w:r>
              <w:rPr>
                <w:sz w:val="20"/>
              </w:rPr>
              <w:t>0.000</w:t>
            </w:r>
          </w:p>
        </w:tc>
        <w:tc>
          <w:tcPr>
            <w:tcW w:type="dxa" w:w="1224"/>
            <w:vAlign w:val="center"/>
            <w:tcMar>
              <w:top w:w="70" w:type="dxa"/>
              <w:bottom w:w="70" w:type="dxa"/>
              <w:left w:w="95" w:type="dxa"/>
              <w:right w:w="95" w:type="dxa"/>
            </w:tcMar>
          </w:tcPr>
          <w:p>
            <w:r>
              <w:rPr>
                <w:sz w:val="20"/>
              </w:rPr>
              <w:t>28</w:t>
            </w:r>
          </w:p>
        </w:tc>
        <w:tc>
          <w:tcPr>
            <w:tcW w:type="dxa" w:w="1008"/>
            <w:vAlign w:val="center"/>
            <w:tcMar>
              <w:top w:w="70" w:type="dxa"/>
              <w:bottom w:w="70" w:type="dxa"/>
              <w:left w:w="95" w:type="dxa"/>
              <w:right w:w="95" w:type="dxa"/>
            </w:tcMar>
          </w:tcPr>
          <w:p>
            <w:r>
              <w:rPr>
                <w:sz w:val="20"/>
              </w:rPr>
              <w:t>28</w:t>
            </w:r>
          </w:p>
        </w:tc>
      </w:tr>
      <w:tr>
        <w:trPr>
          <w:cantSplit/>
        </w:trPr>
        <w:tc>
          <w:tcPr>
            <w:tcW w:type="dxa" w:w="3960"/>
            <w:vAlign w:val="center"/>
            <w:tcMar>
              <w:top w:w="70" w:type="dxa"/>
              <w:bottom w:w="70" w:type="dxa"/>
              <w:left w:w="95" w:type="dxa"/>
              <w:right w:w="95" w:type="dxa"/>
            </w:tcMar>
          </w:tcPr>
          <w:p>
            <w:r>
              <w:rPr>
                <w:sz w:val="20"/>
              </w:rPr>
              <w:t>Rest</w:t>
            </w:r>
          </w:p>
        </w:tc>
        <w:tc>
          <w:tcPr>
            <w:tcW w:type="dxa" w:w="1440"/>
            <w:vAlign w:val="center"/>
            <w:tcMar>
              <w:top w:w="70" w:type="dxa"/>
              <w:bottom w:w="70" w:type="dxa"/>
              <w:left w:w="95" w:type="dxa"/>
              <w:right w:w="95" w:type="dxa"/>
            </w:tcMar>
          </w:tcPr>
          <w:p>
            <w:r>
              <w:rPr>
                <w:sz w:val="20"/>
              </w:rPr>
              <w:t>80–84</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4</w:t>
            </w:r>
          </w:p>
        </w:tc>
        <w:tc>
          <w:tcPr>
            <w:tcW w:type="dxa" w:w="1008"/>
            <w:vAlign w:val="center"/>
            <w:tcMar>
              <w:top w:w="70" w:type="dxa"/>
              <w:bottom w:w="70" w:type="dxa"/>
              <w:left w:w="95" w:type="dxa"/>
              <w:right w:w="95" w:type="dxa"/>
            </w:tcMar>
          </w:tcPr>
          <w:p>
            <w:r>
              <w:rPr>
                <w:sz w:val="20"/>
              </w:rPr>
              <w:t>4</w:t>
            </w:r>
          </w:p>
        </w:tc>
      </w:tr>
      <w:tr>
        <w:trPr>
          <w:cantSplit/>
        </w:trPr>
        <w:tc>
          <w:tcPr>
            <w:tcW w:type="dxa" w:w="3960"/>
            <w:vAlign w:val="center"/>
            <w:tcMar>
              <w:top w:w="70" w:type="dxa"/>
              <w:bottom w:w="70" w:type="dxa"/>
              <w:left w:w="95" w:type="dxa"/>
              <w:right w:w="95" w:type="dxa"/>
            </w:tcMar>
          </w:tcPr>
          <w:p>
            <w:r>
              <w:rPr>
                <w:sz w:val="20"/>
              </w:rPr>
              <w:t>Right → left</w:t>
            </w:r>
          </w:p>
        </w:tc>
        <w:tc>
          <w:tcPr>
            <w:tcW w:type="dxa" w:w="1440"/>
            <w:vAlign w:val="center"/>
            <w:tcMar>
              <w:top w:w="70" w:type="dxa"/>
              <w:bottom w:w="70" w:type="dxa"/>
              <w:left w:w="95" w:type="dxa"/>
              <w:right w:w="95" w:type="dxa"/>
            </w:tcMar>
          </w:tcPr>
          <w:p>
            <w:r>
              <w:rPr>
                <w:sz w:val="20"/>
              </w:rPr>
              <w:t>84–120</w:t>
            </w:r>
          </w:p>
        </w:tc>
        <w:tc>
          <w:tcPr>
            <w:tcW w:type="dxa" w:w="1224"/>
            <w:vAlign w:val="center"/>
            <w:tcMar>
              <w:top w:w="70" w:type="dxa"/>
              <w:bottom w:w="70" w:type="dxa"/>
              <w:left w:w="95" w:type="dxa"/>
              <w:right w:w="95" w:type="dxa"/>
            </w:tcMar>
          </w:tcPr>
          <w:p>
            <w:r>
              <w:rPr>
                <w:sz w:val="20"/>
              </w:rPr>
              <w:t>35.733</w:t>
            </w:r>
          </w:p>
        </w:tc>
        <w:tc>
          <w:tcPr>
            <w:tcW w:type="dxa" w:w="1224"/>
            <w:vAlign w:val="center"/>
            <w:tcMar>
              <w:top w:w="70" w:type="dxa"/>
              <w:bottom w:w="70" w:type="dxa"/>
              <w:left w:w="95" w:type="dxa"/>
              <w:right w:w="95" w:type="dxa"/>
            </w:tcMar>
          </w:tcPr>
          <w:p>
            <w:r>
              <w:rPr>
                <w:sz w:val="20"/>
              </w:rPr>
              <w:t>0.267</w:t>
            </w:r>
          </w:p>
        </w:tc>
        <w:tc>
          <w:tcPr>
            <w:tcW w:type="dxa" w:w="1224"/>
            <w:vAlign w:val="center"/>
            <w:tcMar>
              <w:top w:w="70" w:type="dxa"/>
              <w:bottom w:w="70" w:type="dxa"/>
              <w:left w:w="95" w:type="dxa"/>
              <w:right w:w="95" w:type="dxa"/>
            </w:tcMar>
          </w:tcPr>
          <w:p>
            <w:r>
              <w:rPr>
                <w:sz w:val="20"/>
              </w:rPr>
              <w:t>36</w:t>
            </w:r>
          </w:p>
        </w:tc>
        <w:tc>
          <w:tcPr>
            <w:tcW w:type="dxa" w:w="1008"/>
            <w:vAlign w:val="center"/>
            <w:tcMar>
              <w:top w:w="70" w:type="dxa"/>
              <w:bottom w:w="70" w:type="dxa"/>
              <w:left w:w="95" w:type="dxa"/>
              <w:right w:w="95" w:type="dxa"/>
            </w:tcMar>
          </w:tcPr>
          <w:p>
            <w:r>
              <w:rPr>
                <w:sz w:val="20"/>
              </w:rPr>
              <w:t>36</w:t>
            </w:r>
          </w:p>
        </w:tc>
      </w:tr>
      <w:tr>
        <w:trPr>
          <w:cantSplit/>
        </w:trPr>
        <w:tc>
          <w:tcPr>
            <w:tcW w:type="dxa" w:w="3960"/>
            <w:vAlign w:val="center"/>
            <w:tcMar>
              <w:top w:w="70" w:type="dxa"/>
              <w:bottom w:w="70" w:type="dxa"/>
              <w:left w:w="95" w:type="dxa"/>
              <w:right w:w="95" w:type="dxa"/>
            </w:tcMar>
          </w:tcPr>
          <w:p>
            <w:r>
              <w:rPr>
                <w:sz w:val="20"/>
              </w:rPr>
              <w:t>Rest</w:t>
            </w:r>
          </w:p>
        </w:tc>
        <w:tc>
          <w:tcPr>
            <w:tcW w:type="dxa" w:w="1440"/>
            <w:vAlign w:val="center"/>
            <w:tcMar>
              <w:top w:w="70" w:type="dxa"/>
              <w:bottom w:w="70" w:type="dxa"/>
              <w:left w:w="95" w:type="dxa"/>
              <w:right w:w="95" w:type="dxa"/>
            </w:tcMar>
          </w:tcPr>
          <w:p>
            <w:r>
              <w:rPr>
                <w:sz w:val="20"/>
              </w:rPr>
              <w:t>120–124</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4</w:t>
            </w:r>
          </w:p>
        </w:tc>
        <w:tc>
          <w:tcPr>
            <w:tcW w:type="dxa" w:w="1008"/>
            <w:vAlign w:val="center"/>
            <w:tcMar>
              <w:top w:w="70" w:type="dxa"/>
              <w:bottom w:w="70" w:type="dxa"/>
              <w:left w:w="95" w:type="dxa"/>
              <w:right w:w="95" w:type="dxa"/>
            </w:tcMar>
          </w:tcPr>
          <w:p>
            <w:r>
              <w:rPr>
                <w:sz w:val="20"/>
              </w:rPr>
              <w:t>4</w:t>
            </w:r>
          </w:p>
        </w:tc>
      </w:tr>
      <w:tr>
        <w:trPr>
          <w:cantSplit/>
        </w:trPr>
        <w:tc>
          <w:tcPr>
            <w:tcW w:type="dxa" w:w="3960"/>
            <w:vAlign w:val="center"/>
            <w:tcMar>
              <w:top w:w="70" w:type="dxa"/>
              <w:bottom w:w="70" w:type="dxa"/>
              <w:left w:w="95" w:type="dxa"/>
              <w:right w:w="95" w:type="dxa"/>
            </w:tcMar>
          </w:tcPr>
          <w:p>
            <w:r>
              <w:rPr>
                <w:sz w:val="20"/>
              </w:rPr>
              <w:t>Up → down</w:t>
            </w:r>
          </w:p>
        </w:tc>
        <w:tc>
          <w:tcPr>
            <w:tcW w:type="dxa" w:w="1440"/>
            <w:vAlign w:val="center"/>
            <w:tcMar>
              <w:top w:w="70" w:type="dxa"/>
              <w:bottom w:w="70" w:type="dxa"/>
              <w:left w:w="95" w:type="dxa"/>
              <w:right w:w="95" w:type="dxa"/>
            </w:tcMar>
          </w:tcPr>
          <w:p>
            <w:r>
              <w:rPr>
                <w:sz w:val="20"/>
              </w:rPr>
              <w:t>124–152</w:t>
            </w:r>
          </w:p>
        </w:tc>
        <w:tc>
          <w:tcPr>
            <w:tcW w:type="dxa" w:w="1224"/>
            <w:vAlign w:val="center"/>
            <w:tcMar>
              <w:top w:w="70" w:type="dxa"/>
              <w:bottom w:w="70" w:type="dxa"/>
              <w:left w:w="95" w:type="dxa"/>
              <w:right w:w="95" w:type="dxa"/>
            </w:tcMar>
          </w:tcPr>
          <w:p>
            <w:r>
              <w:rPr>
                <w:sz w:val="20"/>
              </w:rPr>
              <w:t>28.000</w:t>
            </w:r>
          </w:p>
        </w:tc>
        <w:tc>
          <w:tcPr>
            <w:tcW w:type="dxa" w:w="1224"/>
            <w:vAlign w:val="center"/>
            <w:tcMar>
              <w:top w:w="70" w:type="dxa"/>
              <w:bottom w:w="70" w:type="dxa"/>
              <w:left w:w="95" w:type="dxa"/>
              <w:right w:w="95" w:type="dxa"/>
            </w:tcMar>
          </w:tcPr>
          <w:p>
            <w:r>
              <w:rPr>
                <w:sz w:val="20"/>
              </w:rPr>
              <w:t>0.000</w:t>
            </w:r>
          </w:p>
        </w:tc>
        <w:tc>
          <w:tcPr>
            <w:tcW w:type="dxa" w:w="1224"/>
            <w:vAlign w:val="center"/>
            <w:tcMar>
              <w:top w:w="70" w:type="dxa"/>
              <w:bottom w:w="70" w:type="dxa"/>
              <w:left w:w="95" w:type="dxa"/>
              <w:right w:w="95" w:type="dxa"/>
            </w:tcMar>
          </w:tcPr>
          <w:p>
            <w:r>
              <w:rPr>
                <w:sz w:val="20"/>
              </w:rPr>
              <w:t>28</w:t>
            </w:r>
          </w:p>
        </w:tc>
        <w:tc>
          <w:tcPr>
            <w:tcW w:type="dxa" w:w="1008"/>
            <w:vAlign w:val="center"/>
            <w:tcMar>
              <w:top w:w="70" w:type="dxa"/>
              <w:bottom w:w="70" w:type="dxa"/>
              <w:left w:w="95" w:type="dxa"/>
              <w:right w:w="95" w:type="dxa"/>
            </w:tcMar>
          </w:tcPr>
          <w:p>
            <w:r>
              <w:rPr>
                <w:sz w:val="20"/>
              </w:rPr>
              <w:t>28</w:t>
            </w:r>
          </w:p>
        </w:tc>
      </w:tr>
      <w:tr>
        <w:trPr>
          <w:cantSplit/>
        </w:trPr>
        <w:tc>
          <w:tcPr>
            <w:tcW w:type="dxa" w:w="3960"/>
            <w:vAlign w:val="center"/>
            <w:tcMar>
              <w:top w:w="70" w:type="dxa"/>
              <w:bottom w:w="70" w:type="dxa"/>
              <w:left w:w="95" w:type="dxa"/>
              <w:right w:w="95" w:type="dxa"/>
            </w:tcMar>
          </w:tcPr>
          <w:p>
            <w:r>
              <w:rPr>
                <w:sz w:val="20"/>
              </w:rPr>
              <w:t>Rest</w:t>
            </w:r>
          </w:p>
        </w:tc>
        <w:tc>
          <w:tcPr>
            <w:tcW w:type="dxa" w:w="1440"/>
            <w:vAlign w:val="center"/>
            <w:tcMar>
              <w:top w:w="70" w:type="dxa"/>
              <w:bottom w:w="70" w:type="dxa"/>
              <w:left w:w="95" w:type="dxa"/>
              <w:right w:w="95" w:type="dxa"/>
            </w:tcMar>
          </w:tcPr>
          <w:p>
            <w:r>
              <w:rPr>
                <w:sz w:val="20"/>
              </w:rPr>
              <w:t>152–156</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4</w:t>
            </w:r>
          </w:p>
        </w:tc>
        <w:tc>
          <w:tcPr>
            <w:tcW w:type="dxa" w:w="1008"/>
            <w:vAlign w:val="center"/>
            <w:tcMar>
              <w:top w:w="70" w:type="dxa"/>
              <w:bottom w:w="70" w:type="dxa"/>
              <w:left w:w="95" w:type="dxa"/>
              <w:right w:w="95" w:type="dxa"/>
            </w:tcMar>
          </w:tcPr>
          <w:p>
            <w:r>
              <w:rPr>
                <w:sz w:val="20"/>
              </w:rPr>
              <w:t>4</w:t>
            </w:r>
          </w:p>
        </w:tc>
      </w:tr>
      <w:tr>
        <w:trPr>
          <w:cantSplit/>
        </w:trPr>
        <w:tc>
          <w:tcPr>
            <w:tcW w:type="dxa" w:w="3960"/>
            <w:vAlign w:val="center"/>
            <w:tcMar>
              <w:top w:w="70" w:type="dxa"/>
              <w:bottom w:w="70" w:type="dxa"/>
              <w:left w:w="95" w:type="dxa"/>
              <w:right w:w="95" w:type="dxa"/>
            </w:tcMar>
          </w:tcPr>
          <w:p>
            <w:r>
              <w:rPr>
                <w:sz w:val="20"/>
              </w:rPr>
              <w:t>Lower-left → upper-right</w:t>
            </w:r>
          </w:p>
        </w:tc>
        <w:tc>
          <w:tcPr>
            <w:tcW w:type="dxa" w:w="1440"/>
            <w:vAlign w:val="center"/>
            <w:tcMar>
              <w:top w:w="70" w:type="dxa"/>
              <w:bottom w:w="70" w:type="dxa"/>
              <w:left w:w="95" w:type="dxa"/>
              <w:right w:w="95" w:type="dxa"/>
            </w:tcMar>
          </w:tcPr>
          <w:p>
            <w:r>
              <w:rPr>
                <w:sz w:val="20"/>
              </w:rPr>
              <w:t>156–198</w:t>
            </w:r>
          </w:p>
        </w:tc>
        <w:tc>
          <w:tcPr>
            <w:tcW w:type="dxa" w:w="1224"/>
            <w:vAlign w:val="center"/>
            <w:tcMar>
              <w:top w:w="70" w:type="dxa"/>
              <w:bottom w:w="70" w:type="dxa"/>
              <w:left w:w="95" w:type="dxa"/>
              <w:right w:w="95" w:type="dxa"/>
            </w:tcMar>
          </w:tcPr>
          <w:p>
            <w:r>
              <w:rPr>
                <w:sz w:val="20"/>
              </w:rPr>
              <w:t>41.467</w:t>
            </w:r>
          </w:p>
        </w:tc>
        <w:tc>
          <w:tcPr>
            <w:tcW w:type="dxa" w:w="1224"/>
            <w:vAlign w:val="center"/>
            <w:tcMar>
              <w:top w:w="70" w:type="dxa"/>
              <w:bottom w:w="70" w:type="dxa"/>
              <w:left w:w="95" w:type="dxa"/>
              <w:right w:w="95" w:type="dxa"/>
            </w:tcMar>
          </w:tcPr>
          <w:p>
            <w:r>
              <w:rPr>
                <w:sz w:val="20"/>
              </w:rPr>
              <w:t>0.533</w:t>
            </w:r>
          </w:p>
        </w:tc>
        <w:tc>
          <w:tcPr>
            <w:tcW w:type="dxa" w:w="1224"/>
            <w:vAlign w:val="center"/>
            <w:tcMar>
              <w:top w:w="70" w:type="dxa"/>
              <w:bottom w:w="70" w:type="dxa"/>
              <w:left w:w="95" w:type="dxa"/>
              <w:right w:w="95" w:type="dxa"/>
            </w:tcMar>
          </w:tcPr>
          <w:p>
            <w:r>
              <w:rPr>
                <w:sz w:val="20"/>
              </w:rPr>
              <w:t>42</w:t>
            </w:r>
          </w:p>
        </w:tc>
        <w:tc>
          <w:tcPr>
            <w:tcW w:type="dxa" w:w="1008"/>
            <w:vAlign w:val="center"/>
            <w:tcMar>
              <w:top w:w="70" w:type="dxa"/>
              <w:bottom w:w="70" w:type="dxa"/>
              <w:left w:w="95" w:type="dxa"/>
              <w:right w:w="95" w:type="dxa"/>
            </w:tcMar>
          </w:tcPr>
          <w:p>
            <w:r>
              <w:rPr>
                <w:sz w:val="20"/>
              </w:rPr>
              <w:t>42</w:t>
            </w:r>
          </w:p>
        </w:tc>
      </w:tr>
      <w:tr>
        <w:trPr>
          <w:cantSplit/>
        </w:trPr>
        <w:tc>
          <w:tcPr>
            <w:tcW w:type="dxa" w:w="3960"/>
            <w:vAlign w:val="center"/>
            <w:tcMar>
              <w:top w:w="70" w:type="dxa"/>
              <w:bottom w:w="70" w:type="dxa"/>
              <w:left w:w="95" w:type="dxa"/>
              <w:right w:w="95" w:type="dxa"/>
            </w:tcMar>
          </w:tcPr>
          <w:p>
            <w:r>
              <w:rPr>
                <w:sz w:val="20"/>
              </w:rPr>
              <w:t>Rest</w:t>
            </w:r>
          </w:p>
        </w:tc>
        <w:tc>
          <w:tcPr>
            <w:tcW w:type="dxa" w:w="1440"/>
            <w:vAlign w:val="center"/>
            <w:tcMar>
              <w:top w:w="70" w:type="dxa"/>
              <w:bottom w:w="70" w:type="dxa"/>
              <w:left w:w="95" w:type="dxa"/>
              <w:right w:w="95" w:type="dxa"/>
            </w:tcMar>
          </w:tcPr>
          <w:p>
            <w:r>
              <w:rPr>
                <w:sz w:val="20"/>
              </w:rPr>
              <w:t>198–202</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4</w:t>
            </w:r>
          </w:p>
        </w:tc>
        <w:tc>
          <w:tcPr>
            <w:tcW w:type="dxa" w:w="1008"/>
            <w:vAlign w:val="center"/>
            <w:tcMar>
              <w:top w:w="70" w:type="dxa"/>
              <w:bottom w:w="70" w:type="dxa"/>
              <w:left w:w="95" w:type="dxa"/>
              <w:right w:w="95" w:type="dxa"/>
            </w:tcMar>
          </w:tcPr>
          <w:p>
            <w:r>
              <w:rPr>
                <w:sz w:val="20"/>
              </w:rPr>
              <w:t>4</w:t>
            </w:r>
          </w:p>
        </w:tc>
      </w:tr>
      <w:tr>
        <w:trPr>
          <w:cantSplit/>
        </w:trPr>
        <w:tc>
          <w:tcPr>
            <w:tcW w:type="dxa" w:w="3960"/>
            <w:vAlign w:val="center"/>
            <w:tcMar>
              <w:top w:w="70" w:type="dxa"/>
              <w:bottom w:w="70" w:type="dxa"/>
              <w:left w:w="95" w:type="dxa"/>
              <w:right w:w="95" w:type="dxa"/>
            </w:tcMar>
          </w:tcPr>
          <w:p>
            <w:r>
              <w:rPr>
                <w:sz w:val="20"/>
              </w:rPr>
              <w:t>Lower-right → upper-left</w:t>
            </w:r>
          </w:p>
        </w:tc>
        <w:tc>
          <w:tcPr>
            <w:tcW w:type="dxa" w:w="1440"/>
            <w:vAlign w:val="center"/>
            <w:tcMar>
              <w:top w:w="70" w:type="dxa"/>
              <w:bottom w:w="70" w:type="dxa"/>
              <w:left w:w="95" w:type="dxa"/>
              <w:right w:w="95" w:type="dxa"/>
            </w:tcMar>
          </w:tcPr>
          <w:p>
            <w:r>
              <w:rPr>
                <w:sz w:val="20"/>
              </w:rPr>
              <w:t>202–244</w:t>
            </w:r>
          </w:p>
        </w:tc>
        <w:tc>
          <w:tcPr>
            <w:tcW w:type="dxa" w:w="1224"/>
            <w:vAlign w:val="center"/>
            <w:tcMar>
              <w:top w:w="70" w:type="dxa"/>
              <w:bottom w:w="70" w:type="dxa"/>
              <w:left w:w="95" w:type="dxa"/>
              <w:right w:w="95" w:type="dxa"/>
            </w:tcMar>
          </w:tcPr>
          <w:p>
            <w:r>
              <w:rPr>
                <w:sz w:val="20"/>
              </w:rPr>
              <w:t>41.467</w:t>
            </w:r>
          </w:p>
        </w:tc>
        <w:tc>
          <w:tcPr>
            <w:tcW w:type="dxa" w:w="1224"/>
            <w:vAlign w:val="center"/>
            <w:tcMar>
              <w:top w:w="70" w:type="dxa"/>
              <w:bottom w:w="70" w:type="dxa"/>
              <w:left w:w="95" w:type="dxa"/>
              <w:right w:w="95" w:type="dxa"/>
            </w:tcMar>
          </w:tcPr>
          <w:p>
            <w:r>
              <w:rPr>
                <w:sz w:val="20"/>
              </w:rPr>
              <w:t>0.533</w:t>
            </w:r>
          </w:p>
        </w:tc>
        <w:tc>
          <w:tcPr>
            <w:tcW w:type="dxa" w:w="1224"/>
            <w:vAlign w:val="center"/>
            <w:tcMar>
              <w:top w:w="70" w:type="dxa"/>
              <w:bottom w:w="70" w:type="dxa"/>
              <w:left w:w="95" w:type="dxa"/>
              <w:right w:w="95" w:type="dxa"/>
            </w:tcMar>
          </w:tcPr>
          <w:p>
            <w:r>
              <w:rPr>
                <w:sz w:val="20"/>
              </w:rPr>
              <w:t>42</w:t>
            </w:r>
          </w:p>
        </w:tc>
        <w:tc>
          <w:tcPr>
            <w:tcW w:type="dxa" w:w="1008"/>
            <w:vAlign w:val="center"/>
            <w:tcMar>
              <w:top w:w="70" w:type="dxa"/>
              <w:bottom w:w="70" w:type="dxa"/>
              <w:left w:w="95" w:type="dxa"/>
              <w:right w:w="95" w:type="dxa"/>
            </w:tcMar>
          </w:tcPr>
          <w:p>
            <w:r>
              <w:rPr>
                <w:sz w:val="20"/>
              </w:rPr>
              <w:t>42</w:t>
            </w:r>
          </w:p>
        </w:tc>
      </w:tr>
      <w:tr>
        <w:trPr>
          <w:cantSplit/>
        </w:trPr>
        <w:tc>
          <w:tcPr>
            <w:tcW w:type="dxa" w:w="3960"/>
            <w:vAlign w:val="center"/>
            <w:tcMar>
              <w:top w:w="70" w:type="dxa"/>
              <w:bottom w:w="70" w:type="dxa"/>
              <w:left w:w="95" w:type="dxa"/>
              <w:right w:w="95" w:type="dxa"/>
            </w:tcMar>
          </w:tcPr>
          <w:p>
            <w:r>
              <w:rPr>
                <w:sz w:val="20"/>
              </w:rPr>
              <w:t>Rest</w:t>
            </w:r>
          </w:p>
        </w:tc>
        <w:tc>
          <w:tcPr>
            <w:tcW w:type="dxa" w:w="1440"/>
            <w:vAlign w:val="center"/>
            <w:tcMar>
              <w:top w:w="70" w:type="dxa"/>
              <w:bottom w:w="70" w:type="dxa"/>
              <w:left w:w="95" w:type="dxa"/>
              <w:right w:w="95" w:type="dxa"/>
            </w:tcMar>
          </w:tcPr>
          <w:p>
            <w:r>
              <w:rPr>
                <w:sz w:val="20"/>
              </w:rPr>
              <w:t>244–248</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4</w:t>
            </w:r>
          </w:p>
        </w:tc>
        <w:tc>
          <w:tcPr>
            <w:tcW w:type="dxa" w:w="1008"/>
            <w:vAlign w:val="center"/>
            <w:tcMar>
              <w:top w:w="70" w:type="dxa"/>
              <w:bottom w:w="70" w:type="dxa"/>
              <w:left w:w="95" w:type="dxa"/>
              <w:right w:w="95" w:type="dxa"/>
            </w:tcMar>
          </w:tcPr>
          <w:p>
            <w:r>
              <w:rPr>
                <w:sz w:val="20"/>
              </w:rPr>
              <w:t>4</w:t>
            </w:r>
          </w:p>
        </w:tc>
      </w:tr>
      <w:tr>
        <w:trPr>
          <w:cantSplit/>
        </w:trPr>
        <w:tc>
          <w:tcPr>
            <w:tcW w:type="dxa" w:w="3960"/>
            <w:vAlign w:val="center"/>
            <w:tcMar>
              <w:top w:w="70" w:type="dxa"/>
              <w:bottom w:w="70" w:type="dxa"/>
              <w:left w:w="95" w:type="dxa"/>
              <w:right w:w="95" w:type="dxa"/>
            </w:tcMar>
          </w:tcPr>
          <w:p>
            <w:r>
              <w:rPr>
                <w:sz w:val="20"/>
              </w:rPr>
              <w:t>Upper-right → lower-left</w:t>
            </w:r>
          </w:p>
        </w:tc>
        <w:tc>
          <w:tcPr>
            <w:tcW w:type="dxa" w:w="1440"/>
            <w:vAlign w:val="center"/>
            <w:tcMar>
              <w:top w:w="70" w:type="dxa"/>
              <w:bottom w:w="70" w:type="dxa"/>
              <w:left w:w="95" w:type="dxa"/>
              <w:right w:w="95" w:type="dxa"/>
            </w:tcMar>
          </w:tcPr>
          <w:p>
            <w:r>
              <w:rPr>
                <w:sz w:val="20"/>
              </w:rPr>
              <w:t>248–290</w:t>
            </w:r>
          </w:p>
        </w:tc>
        <w:tc>
          <w:tcPr>
            <w:tcW w:type="dxa" w:w="1224"/>
            <w:vAlign w:val="center"/>
            <w:tcMar>
              <w:top w:w="70" w:type="dxa"/>
              <w:bottom w:w="70" w:type="dxa"/>
              <w:left w:w="95" w:type="dxa"/>
              <w:right w:w="95" w:type="dxa"/>
            </w:tcMar>
          </w:tcPr>
          <w:p>
            <w:r>
              <w:rPr>
                <w:sz w:val="20"/>
              </w:rPr>
              <w:t>41.467</w:t>
            </w:r>
          </w:p>
        </w:tc>
        <w:tc>
          <w:tcPr>
            <w:tcW w:type="dxa" w:w="1224"/>
            <w:vAlign w:val="center"/>
            <w:tcMar>
              <w:top w:w="70" w:type="dxa"/>
              <w:bottom w:w="70" w:type="dxa"/>
              <w:left w:w="95" w:type="dxa"/>
              <w:right w:w="95" w:type="dxa"/>
            </w:tcMar>
          </w:tcPr>
          <w:p>
            <w:r>
              <w:rPr>
                <w:sz w:val="20"/>
              </w:rPr>
              <w:t>0.533</w:t>
            </w:r>
          </w:p>
        </w:tc>
        <w:tc>
          <w:tcPr>
            <w:tcW w:type="dxa" w:w="1224"/>
            <w:vAlign w:val="center"/>
            <w:tcMar>
              <w:top w:w="70" w:type="dxa"/>
              <w:bottom w:w="70" w:type="dxa"/>
              <w:left w:w="95" w:type="dxa"/>
              <w:right w:w="95" w:type="dxa"/>
            </w:tcMar>
          </w:tcPr>
          <w:p>
            <w:r>
              <w:rPr>
                <w:sz w:val="20"/>
              </w:rPr>
              <w:t>42</w:t>
            </w:r>
          </w:p>
        </w:tc>
        <w:tc>
          <w:tcPr>
            <w:tcW w:type="dxa" w:w="1008"/>
            <w:vAlign w:val="center"/>
            <w:tcMar>
              <w:top w:w="70" w:type="dxa"/>
              <w:bottom w:w="70" w:type="dxa"/>
              <w:left w:w="95" w:type="dxa"/>
              <w:right w:w="95" w:type="dxa"/>
            </w:tcMar>
          </w:tcPr>
          <w:p>
            <w:r>
              <w:rPr>
                <w:sz w:val="20"/>
              </w:rPr>
              <w:t>42</w:t>
            </w:r>
          </w:p>
        </w:tc>
      </w:tr>
      <w:tr>
        <w:trPr>
          <w:cantSplit/>
        </w:trPr>
        <w:tc>
          <w:tcPr>
            <w:tcW w:type="dxa" w:w="3960"/>
            <w:vAlign w:val="center"/>
            <w:tcMar>
              <w:top w:w="70" w:type="dxa"/>
              <w:bottom w:w="70" w:type="dxa"/>
              <w:left w:w="95" w:type="dxa"/>
              <w:right w:w="95" w:type="dxa"/>
            </w:tcMar>
          </w:tcPr>
          <w:p>
            <w:r>
              <w:rPr>
                <w:sz w:val="20"/>
              </w:rPr>
              <w:t>Rest</w:t>
            </w:r>
          </w:p>
        </w:tc>
        <w:tc>
          <w:tcPr>
            <w:tcW w:type="dxa" w:w="1440"/>
            <w:vAlign w:val="center"/>
            <w:tcMar>
              <w:top w:w="70" w:type="dxa"/>
              <w:bottom w:w="70" w:type="dxa"/>
              <w:left w:w="95" w:type="dxa"/>
              <w:right w:w="95" w:type="dxa"/>
            </w:tcMar>
          </w:tcPr>
          <w:p>
            <w:r>
              <w:rPr>
                <w:sz w:val="20"/>
              </w:rPr>
              <w:t>290–294</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4</w:t>
            </w:r>
          </w:p>
        </w:tc>
        <w:tc>
          <w:tcPr>
            <w:tcW w:type="dxa" w:w="1008"/>
            <w:vAlign w:val="center"/>
            <w:tcMar>
              <w:top w:w="70" w:type="dxa"/>
              <w:bottom w:w="70" w:type="dxa"/>
              <w:left w:w="95" w:type="dxa"/>
              <w:right w:w="95" w:type="dxa"/>
            </w:tcMar>
          </w:tcPr>
          <w:p>
            <w:r>
              <w:rPr>
                <w:sz w:val="20"/>
              </w:rPr>
              <w:t>4</w:t>
            </w:r>
          </w:p>
        </w:tc>
      </w:tr>
      <w:tr>
        <w:trPr>
          <w:cantSplit/>
        </w:trPr>
        <w:tc>
          <w:tcPr>
            <w:tcW w:type="dxa" w:w="3960"/>
            <w:vAlign w:val="center"/>
            <w:tcMar>
              <w:top w:w="70" w:type="dxa"/>
              <w:bottom w:w="70" w:type="dxa"/>
              <w:left w:w="95" w:type="dxa"/>
              <w:right w:w="95" w:type="dxa"/>
            </w:tcMar>
          </w:tcPr>
          <w:p>
            <w:r>
              <w:rPr>
                <w:sz w:val="20"/>
              </w:rPr>
              <w:t>Upper-left → lower-right</w:t>
            </w:r>
          </w:p>
        </w:tc>
        <w:tc>
          <w:tcPr>
            <w:tcW w:type="dxa" w:w="1440"/>
            <w:vAlign w:val="center"/>
            <w:tcMar>
              <w:top w:w="70" w:type="dxa"/>
              <w:bottom w:w="70" w:type="dxa"/>
              <w:left w:w="95" w:type="dxa"/>
              <w:right w:w="95" w:type="dxa"/>
            </w:tcMar>
          </w:tcPr>
          <w:p>
            <w:r>
              <w:rPr>
                <w:sz w:val="20"/>
              </w:rPr>
              <w:t>294–336</w:t>
            </w:r>
          </w:p>
        </w:tc>
        <w:tc>
          <w:tcPr>
            <w:tcW w:type="dxa" w:w="1224"/>
            <w:vAlign w:val="center"/>
            <w:tcMar>
              <w:top w:w="70" w:type="dxa"/>
              <w:bottom w:w="70" w:type="dxa"/>
              <w:left w:w="95" w:type="dxa"/>
              <w:right w:w="95" w:type="dxa"/>
            </w:tcMar>
          </w:tcPr>
          <w:p>
            <w:r>
              <w:rPr>
                <w:sz w:val="20"/>
              </w:rPr>
              <w:t>41.467</w:t>
            </w:r>
          </w:p>
        </w:tc>
        <w:tc>
          <w:tcPr>
            <w:tcW w:type="dxa" w:w="1224"/>
            <w:vAlign w:val="center"/>
            <w:tcMar>
              <w:top w:w="70" w:type="dxa"/>
              <w:bottom w:w="70" w:type="dxa"/>
              <w:left w:w="95" w:type="dxa"/>
              <w:right w:w="95" w:type="dxa"/>
            </w:tcMar>
          </w:tcPr>
          <w:p>
            <w:r>
              <w:rPr>
                <w:sz w:val="20"/>
              </w:rPr>
              <w:t>0.533</w:t>
            </w:r>
          </w:p>
        </w:tc>
        <w:tc>
          <w:tcPr>
            <w:tcW w:type="dxa" w:w="1224"/>
            <w:vAlign w:val="center"/>
            <w:tcMar>
              <w:top w:w="70" w:type="dxa"/>
              <w:bottom w:w="70" w:type="dxa"/>
              <w:left w:w="95" w:type="dxa"/>
              <w:right w:w="95" w:type="dxa"/>
            </w:tcMar>
          </w:tcPr>
          <w:p>
            <w:r>
              <w:rPr>
                <w:sz w:val="20"/>
              </w:rPr>
              <w:t>42</w:t>
            </w:r>
          </w:p>
        </w:tc>
        <w:tc>
          <w:tcPr>
            <w:tcW w:type="dxa" w:w="1008"/>
            <w:vAlign w:val="center"/>
            <w:tcMar>
              <w:top w:w="70" w:type="dxa"/>
              <w:bottom w:w="70" w:type="dxa"/>
              <w:left w:w="95" w:type="dxa"/>
              <w:right w:w="95" w:type="dxa"/>
            </w:tcMar>
          </w:tcPr>
          <w:p>
            <w:r>
              <w:rPr>
                <w:sz w:val="20"/>
              </w:rPr>
              <w:t>42</w:t>
            </w:r>
          </w:p>
        </w:tc>
      </w:tr>
      <w:tr>
        <w:trPr>
          <w:cantSplit/>
        </w:trPr>
        <w:tc>
          <w:tcPr>
            <w:tcW w:type="dxa" w:w="3960"/>
            <w:vAlign w:val="center"/>
            <w:tcMar>
              <w:top w:w="70" w:type="dxa"/>
              <w:bottom w:w="70" w:type="dxa"/>
              <w:left w:w="95" w:type="dxa"/>
              <w:right w:w="95" w:type="dxa"/>
            </w:tcMar>
          </w:tcPr>
          <w:p>
            <w:r>
              <w:rPr>
                <w:sz w:val="20"/>
              </w:rPr>
              <w:t>Final rest</w:t>
            </w:r>
          </w:p>
        </w:tc>
        <w:tc>
          <w:tcPr>
            <w:tcW w:type="dxa" w:w="1440"/>
            <w:vAlign w:val="center"/>
            <w:tcMar>
              <w:top w:w="70" w:type="dxa"/>
              <w:bottom w:w="70" w:type="dxa"/>
              <w:left w:w="95" w:type="dxa"/>
              <w:right w:w="95" w:type="dxa"/>
            </w:tcMar>
          </w:tcPr>
          <w:p>
            <w:r>
              <w:rPr>
                <w:sz w:val="20"/>
              </w:rPr>
              <w:t>336–348</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12</w:t>
            </w:r>
          </w:p>
        </w:tc>
        <w:tc>
          <w:tcPr>
            <w:tcW w:type="dxa" w:w="1008"/>
            <w:vAlign w:val="center"/>
            <w:tcMar>
              <w:top w:w="70" w:type="dxa"/>
              <w:bottom w:w="70" w:type="dxa"/>
              <w:left w:w="95" w:type="dxa"/>
              <w:right w:w="95" w:type="dxa"/>
            </w:tcMar>
          </w:tcPr>
          <w:p>
            <w:r>
              <w:rPr>
                <w:sz w:val="20"/>
              </w:rPr>
              <w:t>12</w:t>
            </w:r>
          </w:p>
        </w:tc>
      </w:tr>
    </w:tbl>
    <w:p>
      <w:r>
        <w:t>Totals: 293.333 seconds of bar presentation + 2.667 seconds of padding + 52 seconds of scheduled rest = 348 seconds. Horizontal sweeps contain 536 bar frames plus 4 padding frames; vertical sweeps contain 420 bar frames and no padding; diagonals contain 622 bar frames plus 8 padding frames. Maximum padding is 0.533 second. Initial and final rests are 12 seconds each; seven intermediate rests are 4 seconds each.</w:t>
      </w:r>
    </w:p>
    <w:p>
      <w:pPr>
        <w:pStyle w:val="Heading1"/>
      </w:pPr>
      <w:r>
        <w:t>Timing implementation</w:t>
      </w:r>
    </w:p>
    <w:p>
      <w:r>
        <w:t>ptviewmovie_prf93 uses an absolute 15-Hz schedule anchored to first movie onset. Flip requests are submitted in advance using native Psychtoolbox Screen('Flip') calls, with nearest-refresh scheduling. The final frame is held until the scheduled end flip. A native keyboard event queue captures presses during blocking flips and the final hold. Normal completion and user abort are recorded independently. The scanner-trigger detection time, first onset, their offset, frame onsets, requested flip times, submission lead, missed values and onset errors are saved.</w:t>
      </w:r>
    </w:p>
    <w:p>
      <w:r>
        <w:t>The latest saved run completed in 348.000842 seconds against 348 seconds planned. RMS onset error was 5.324 ms; maximum absolute error was 12.275 ms; late/early counts and late submissions were zero. The software schedule check passed. Psychtoolbox reported 617 missed deadlines and disabled high-precision beam-position timestamping; these remain separate diagnostics, and physical timing has not been independently validated. Keep synchronization tests enabled and validate the acquisition display with VBLSyncTest and, where available, a photodiode.</w:t>
      </w:r>
    </w:p>
    <w:p>
      <w:r>
        <w:br w:type="page"/>
      </w:r>
    </w:p>
    <w:p>
      <w:pPr>
        <w:pStyle w:val="Heading1"/>
      </w:pPr>
      <w:r>
        <w:t>Saved files and fitting workflow</w:t>
      </w:r>
    </w:p>
    <w:p>
      <w:r>
        <w:t>Run files are saved inside C:\Users\TseLab\Desktop\pRF_stim\subjN\, where N is entered at the subject prompt. Filenames include timestamp, subject, run and experiment 93. Trigger key 5 starts the run. PNG frame capture is disabled to avoid timing overhead. At run completion, fixation outcomes, scored responses and summary statistics are saved beside the main MAT file as _fixation_changes.csv, _fixation_responses.csv and _fixation_summary.csv. These files include hit/miss outcomes, response timestamps, reaction times, false alarms and the run accuracy summary. Interrupted runs save results only if playback returns through the normal save routine.</w:t>
      </w:r>
    </w:p>
    <w:tbl>
      <w:tblPr>
        <w:tblW w:type="auto" w:w="0"/>
        <w:jc w:val="center"/>
        <w:tblLayout w:type="fixed"/>
        <w:tblLook w:firstColumn="1" w:firstRow="1" w:lastColumn="0" w:lastRow="0" w:noHBand="0" w:noVBand="1" w:val="04A0"/>
      </w:tblPr>
      <w:tblGrid>
        <w:gridCol w:w="3024"/>
        <w:gridCol w:w="7056"/>
      </w:tblGrid>
      <w:tr>
        <w:trPr>
          <w:tblHeader/>
          <w:cantSplit/>
        </w:trPr>
        <w:tc>
          <w:tcPr>
            <w:tcW w:type="dxa" w:w="3024"/>
            <w:vAlign w:val="center"/>
            <w:tcMar>
              <w:top w:w="70" w:type="dxa"/>
              <w:bottom w:w="70" w:type="dxa"/>
              <w:left w:w="95" w:type="dxa"/>
              <w:right w:w="95" w:type="dxa"/>
            </w:tcMar>
            <w:shd w:fill="E8EDF2"/>
          </w:tcPr>
          <w:p>
            <w:pPr>
              <w:spacing w:after="0" w:line="240" w:lineRule="auto"/>
            </w:pPr>
            <w:r>
              <w:rPr>
                <w:b/>
                <w:sz w:val="20"/>
              </w:rPr>
              <w:t>Output</w:t>
            </w:r>
          </w:p>
        </w:tc>
        <w:tc>
          <w:tcPr>
            <w:tcW w:type="dxa" w:w="7056"/>
            <w:vAlign w:val="center"/>
            <w:tcMar>
              <w:top w:w="70" w:type="dxa"/>
              <w:bottom w:w="70" w:type="dxa"/>
              <w:left w:w="95" w:type="dxa"/>
              <w:right w:w="95" w:type="dxa"/>
            </w:tcMar>
            <w:shd w:fill="E8EDF2"/>
          </w:tcPr>
          <w:p>
            <w:pPr>
              <w:spacing w:after="0" w:line="240" w:lineRule="auto"/>
            </w:pPr>
            <w:r>
              <w:rPr>
                <w:b/>
                <w:sz w:val="20"/>
              </w:rPr>
              <w:t>Contents</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Main run MAT file</w:t>
            </w:r>
          </w:p>
        </w:tc>
        <w:tc>
          <w:tcPr>
            <w:tcW w:type="dxa" w:w="7056"/>
            <w:vAlign w:val="center"/>
            <w:tcMar>
              <w:top w:w="70" w:type="dxa"/>
              <w:bottom w:w="70" w:type="dxa"/>
              <w:left w:w="95" w:type="dxa"/>
              <w:right w:w="95" w:type="dxa"/>
            </w:tcMar>
          </w:tcPr>
          <w:p>
            <w:pPr>
              <w:spacing w:after="0" w:line="240" w:lineRule="auto"/>
            </w:pPr>
            <w:r>
              <w:rPr>
                <w:b w:val="0"/>
                <w:sz w:val="20"/>
              </w:rPr>
              <w:t>Planned frame order, queued key-transition timestamps, actual frame timestamps, run parameters, playbackTiming, and fixation scoring tables/summary</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Companion stimulus MAT file</w:t>
            </w:r>
          </w:p>
        </w:tc>
        <w:tc>
          <w:tcPr>
            <w:tcW w:type="dxa" w:w="7056"/>
            <w:vAlign w:val="center"/>
            <w:tcMar>
              <w:top w:w="70" w:type="dxa"/>
              <w:bottom w:w="70" w:type="dxa"/>
              <w:left w:w="95" w:type="dxa"/>
              <w:right w:w="95" w:type="dxa"/>
            </w:tcMar>
          </w:tcPr>
          <w:p>
            <w:pPr>
              <w:spacing w:after="0" w:line="240" w:lineRule="auto"/>
            </w:pPr>
            <w:r>
              <w:rPr>
                <w:b w:val="0"/>
                <w:sz w:val="20"/>
              </w:rPr>
              <w:t>Native 768 × 768 mask bank, mask indices, frame order, screen/canvas geometry, offsets and metadata</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nominalStimulus</w:t>
            </w:r>
          </w:p>
        </w:tc>
        <w:tc>
          <w:tcPr>
            <w:tcW w:type="dxa" w:w="7056"/>
            <w:vAlign w:val="center"/>
            <w:tcMar>
              <w:top w:w="70" w:type="dxa"/>
              <w:bottom w:w="70" w:type="dxa"/>
              <w:left w:w="95" w:type="dxa"/>
              <w:right w:w="95" w:type="dxa"/>
            </w:tcMar>
          </w:tcPr>
          <w:p>
            <w:pPr>
              <w:spacing w:after="0" w:line="240" w:lineRule="auto"/>
            </w:pPr>
            <w:r>
              <w:t>298 × 298 × 348; coverage averaged over each planned 1-second acquisition TR</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gazeClippedMaskBank</w:t>
            </w:r>
          </w:p>
        </w:tc>
        <w:tc>
          <w:tcPr>
            <w:tcW w:type="dxa" w:w="7056"/>
            <w:vAlign w:val="center"/>
            <w:tcMar>
              <w:top w:w="70" w:type="dxa"/>
              <w:bottom w:w="70" w:type="dxa"/>
              <w:left w:w="95" w:type="dxa"/>
              <w:right w:w="95" w:type="dxa"/>
            </w:tcMar>
          </w:tcPr>
          <w:p>
            <w:pPr>
              <w:spacing w:after="0" w:line="240" w:lineRule="auto"/>
            </w:pPr>
            <w:r>
              <w:rPr>
                <w:b w:val="0"/>
                <w:sz w:val="20"/>
              </w:rPr>
              <w:t>Masks resized with bilinear interpolation and screen/left-boundary clipping applied</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xDVA and yDVA</w:t>
            </w:r>
          </w:p>
        </w:tc>
        <w:tc>
          <w:tcPr>
            <w:tcW w:type="dxa" w:w="7056"/>
            <w:vAlign w:val="center"/>
            <w:tcMar>
              <w:top w:w="70" w:type="dxa"/>
              <w:bottom w:w="70" w:type="dxa"/>
              <w:left w:w="95" w:type="dxa"/>
              <w:right w:w="95" w:type="dxa"/>
            </w:tcMar>
          </w:tcPr>
          <w:p>
            <w:pPr>
              <w:spacing w:after="0" w:line="240" w:lineRule="auto"/>
            </w:pPr>
            <w:r>
              <w:rPr>
                <w:b w:val="0"/>
                <w:sz w:val="20"/>
              </w:rPr>
              <w:t>Fixation-centered coordinates and degrees-per-pixel calibration</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visibleAnalysisMask</w:t>
            </w:r>
          </w:p>
        </w:tc>
        <w:tc>
          <w:tcPr>
            <w:tcW w:type="dxa" w:w="7056"/>
            <w:vAlign w:val="center"/>
            <w:tcMar>
              <w:top w:w="70" w:type="dxa"/>
              <w:bottom w:w="70" w:type="dxa"/>
              <w:left w:w="95" w:type="dxa"/>
              <w:right w:w="95" w:type="dxa"/>
            </w:tcMar>
          </w:tcPr>
          <w:p>
            <w:pPr>
              <w:spacing w:after="0" w:line="240" w:lineRule="auto"/>
            </w:pPr>
            <w:r>
              <w:rPr>
                <w:b w:val="0"/>
                <w:sz w:val="20"/>
              </w:rPr>
              <w:t>Visible domain for inspection or optional fitting constraints</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apertureInfo</w:t>
            </w:r>
          </w:p>
        </w:tc>
        <w:tc>
          <w:tcPr>
            <w:tcW w:type="dxa" w:w="7056"/>
            <w:vAlign w:val="center"/>
            <w:tcMar>
              <w:top w:w="70" w:type="dxa"/>
              <w:bottom w:w="70" w:type="dxa"/>
              <w:left w:w="95" w:type="dxa"/>
              <w:right w:w="95" w:type="dxa"/>
            </w:tcMar>
          </w:tcPr>
          <w:p>
            <w:pPr>
              <w:spacing w:after="0" w:line="240" w:lineRule="auto"/>
            </w:pPr>
            <w:r>
              <w:rPr>
                <w:b w:val="0"/>
                <w:sz w:val="20"/>
              </w:rPr>
              <w:t>Actual analysis pixels per degree, display geometry, TR and timing basis</w:t>
            </w:r>
          </w:p>
        </w:tc>
      </w:tr>
    </w:tbl>
    <w:p>
      <w:r>
        <w:t>AnalyzePRF can use these arbitrary aperture masks, including the off-center circular aperture and its excluded corners. The analysis origin is intended fixation at (0°, 0°); do not apply the screen-center offset again. Gaze-centered here means fixation-centered, not dynamically corrected using eye tracking. Outside-view locations have zero coverage, and scheduled rests and padding contribute no bar stimulus. Each 1-second acquisition bin averages 15 planned movie frames. Textures and the fixation overlay are not included in the aperture model.</w:t>
      </w:r>
    </w:p>
    <w:p>
      <w:r>
        <w:t>For fitting, use double(nominalStimulus) from the companion _stimulus.mat file with preprocessed BOLD containing the matching 348 retained time points, and pass TR = 1 second to analyzePRF. Align the saved scanner trigger, trigger-to-first-frame offset, dummy-volume policy and retained samples explicitly. Convert fitted eccentricity and pRF size from analysis pixels to degrees using apertureInfo.analysisPixelsPerDegree. Polar angle is returned directly in results.ang: 0° right, 90° up, 180° left and 270° down relative to fixation.</w:t>
      </w:r>
    </w:p>
    <w:p>
      <w:pPr>
        <w:pStyle w:val="Heading1"/>
      </w:pPr>
      <w:r>
        <w:t>Scientific scope and interpretation</w:t>
      </w:r>
    </w:p>
    <w:p>
      <w:r>
        <w:t>The priority is reliable pRF positions around the illusion location, rather than precise recovery at distant screen boundaries. Check that this region is crossed by every sweep and assess x/y reliability across repeated runs. pRFs extending beyond the screen can have uncertain centers and sizes even when the visible masks are correct. Good fit quality alone does not establish parameter accuracy.</w:t>
      </w:r>
    </w:p>
    <w:p>
      <w:r>
        <w:t>Zeroed regions contribute no stimulus drive, but analyzePRF fits a complete Gaussian pRF. No visible-only center constraint has been added. The exported movie follows planned timing; actual-time reconstruction remains to be implemented if recorded timing departs materially from the schedule.</w:t>
      </w:r>
    </w:p>
    <w:p>
      <w:pPr>
        <w:pStyle w:val="Heading1"/>
      </w:pPr>
      <w:r>
        <w:t>Automatic and manual settings</w:t>
      </w:r>
    </w:p>
    <w:p>
      <w:r>
        <w:t>The circular aperture radius follows the distance from fixation to the right screen edge automatically. Bar width is fixed at 2°. The current fitting grid is 298 × 298, targeting about 0.1° per pixel. The MATLAB search evaluates common trajectory lengths from 762 to 931 frames and minimizes total alignment padding, then maximum per-sweep padding, then departure from the 838-frame reference. The saved optimum is 896 frames. Geometry and mask changes can change the optimum; acquisition TR is independent of the 2-second design-alignment grid. Earlier saved stimulus files are unchanged.</w:t>
      </w:r>
    </w:p>
    <w:p>
      <w:r>
        <w:t>Custom files: runretinotopy.m, prepare_prf93.m, showmulticlass_prf93.m, ptviewmovie_prf93.m, save_prf_apertures.m and ptoff.m, in the knkutils-master\pt folder. The analyzePRF fitting algorithm itself has not been modified.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Current pRF bar mapping design</dc:title>
  <dc:subject>Stimulus geometry timing and fitting inputs</dc:subject>
  <dc:creator>TseLab</dc:creator>
  <cp:keywords/>
  <dc:description>generated by python-docx</dc:description>
  <cp:lastModifiedBy/>
  <cp:revision>1</cp:revision>
  <dcterms:created xsi:type="dcterms:W3CDTF">2013-12-23T23:15:00Z</dcterms:created>
  <dcterms:modified xsi:type="dcterms:W3CDTF">2013-12-23T23:15:00Z</dcterms:modified>
  <cp:category/>
</cp:coreProperties>
</file>