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Current pRF bar mapping design</w:t>
      </w:r>
    </w:p>
    <w:p>
      <w:r>
        <w:t>Protocol snapshot • 4 October 2026</w:t>
      </w:r>
    </w:p>
    <w:p>
      <w:r>
        <w:t>The current multibar protocol lasts 304 seconds (5 minutes 4 seconds), or 152 volumes at a 2-second TR. It maps the visible projected field around a fixation point 4 degrees from the left screen edge. Durations below are calculated from the current masks and should be confirmed in the next playback log.</w:t>
      </w:r>
    </w:p>
    <w:p>
      <w:pPr>
        <w:pStyle w:val="Heading1"/>
      </w:pPr>
      <w:r>
        <w:t>Display and viewing geometry</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70" w:type="dxa"/>
              <w:bottom w:w="70" w:type="dxa"/>
              <w:left w:w="95" w:type="dxa"/>
              <w:right w:w="95" w:type="dxa"/>
            </w:tcMar>
            <w:shd w:fill="E8EDF2"/>
          </w:tcPr>
          <w:p>
            <w:pPr>
              <w:spacing w:after="0" w:line="240" w:lineRule="auto"/>
            </w:pPr>
            <w:r>
              <w:rPr>
                <w:b/>
                <w:sz w:val="20"/>
              </w:rPr>
              <w:t>Parameter</w:t>
            </w:r>
          </w:p>
        </w:tc>
        <w:tc>
          <w:tcPr>
            <w:tcW w:type="dxa" w:w="7056"/>
            <w:vAlign w:val="center"/>
            <w:tcMar>
              <w:top w:w="70" w:type="dxa"/>
              <w:bottom w:w="70" w:type="dxa"/>
              <w:left w:w="95" w:type="dxa"/>
              <w:right w:w="95" w:type="dxa"/>
            </w:tcMar>
            <w:shd w:fill="E8EDF2"/>
          </w:tcPr>
          <w:p>
            <w:pPr>
              <w:spacing w:after="0" w:line="240" w:lineRule="auto"/>
            </w:pPr>
            <w:r>
              <w:rPr>
                <w:b/>
                <w:sz w:val="20"/>
              </w:rPr>
              <w:t>Setting</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Display mode</w:t>
            </w:r>
          </w:p>
        </w:tc>
        <w:tc>
          <w:tcPr>
            <w:tcW w:type="dxa" w:w="7056"/>
            <w:vAlign w:val="center"/>
            <w:tcMar>
              <w:top w:w="70" w:type="dxa"/>
              <w:bottom w:w="70" w:type="dxa"/>
              <w:left w:w="95" w:type="dxa"/>
              <w:right w:w="95" w:type="dxa"/>
            </w:tcMar>
          </w:tcPr>
          <w:p>
            <w:pPr>
              <w:spacing w:after="0" w:line="240" w:lineRule="auto"/>
            </w:pPr>
            <w:r>
              <w:rPr>
                <w:b w:val="0"/>
                <w:sz w:val="20"/>
              </w:rPr>
              <w:t>1024 × 768 pixels at 60 Hz</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Projected image</w:t>
            </w:r>
          </w:p>
        </w:tc>
        <w:tc>
          <w:tcPr>
            <w:tcW w:type="dxa" w:w="7056"/>
            <w:vAlign w:val="center"/>
            <w:tcMar>
              <w:top w:w="70" w:type="dxa"/>
              <w:bottom w:w="70" w:type="dxa"/>
              <w:left w:w="95" w:type="dxa"/>
              <w:right w:w="95" w:type="dxa"/>
            </w:tcMar>
          </w:tcPr>
          <w:p>
            <w:pPr>
              <w:spacing w:after="0" w:line="240" w:lineRule="auto"/>
            </w:pPr>
            <w:r>
              <w:rPr>
                <w:b w:val="0"/>
                <w:sz w:val="20"/>
              </w:rPr>
              <w:t>354 mm wide × 265 mm high</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Optical viewing distance</w:t>
            </w:r>
          </w:p>
        </w:tc>
        <w:tc>
          <w:tcPr>
            <w:tcW w:type="dxa" w:w="7056"/>
            <w:vAlign w:val="center"/>
            <w:tcMar>
              <w:top w:w="70" w:type="dxa"/>
              <w:bottom w:w="70" w:type="dxa"/>
              <w:left w:w="95" w:type="dxa"/>
              <w:right w:w="95" w:type="dxa"/>
            </w:tcMar>
          </w:tcPr>
          <w:p>
            <w:pPr>
              <w:spacing w:after="0" w:line="240" w:lineRule="auto"/>
            </w:pPr>
            <w:r>
              <w:rPr>
                <w:b w:val="0"/>
                <w:sz w:val="20"/>
              </w:rPr>
              <w:t>1137 mm = 127 mm eye to mirror + 1010 mm mirror to screen</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Angular calibration</w:t>
            </w:r>
          </w:p>
        </w:tc>
        <w:tc>
          <w:tcPr>
            <w:tcW w:type="dxa" w:w="7056"/>
            <w:vAlign w:val="center"/>
            <w:tcMar>
              <w:top w:w="70" w:type="dxa"/>
              <w:bottom w:w="70" w:type="dxa"/>
              <w:left w:w="95" w:type="dxa"/>
              <w:right w:w="95" w:type="dxa"/>
            </w:tcMar>
          </w:tcPr>
          <w:p>
            <w:pPr>
              <w:spacing w:after="0" w:line="240" w:lineRule="auto"/>
            </w:pPr>
            <w:r>
              <w:rPr>
                <w:b w:val="0"/>
                <w:sz w:val="20"/>
              </w:rPr>
              <w:t>PsychoPy standard deg approximation; 57.41 pixels per degree</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Visible field</w:t>
            </w:r>
          </w:p>
        </w:tc>
        <w:tc>
          <w:tcPr>
            <w:tcW w:type="dxa" w:w="7056"/>
            <w:vAlign w:val="center"/>
            <w:tcMar>
              <w:top w:w="70" w:type="dxa"/>
              <w:bottom w:w="70" w:type="dxa"/>
              <w:left w:w="95" w:type="dxa"/>
              <w:right w:w="95" w:type="dxa"/>
            </w:tcMar>
          </w:tcPr>
          <w:p>
            <w:pPr>
              <w:spacing w:after="0" w:line="240" w:lineRule="auto"/>
            </w:pPr>
            <w:r>
              <w:rPr>
                <w:b w:val="0"/>
                <w:sz w:val="20"/>
              </w:rPr>
              <w:t>Approximately 17.84° wide × 13.38° high</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Fixation</w:t>
            </w:r>
          </w:p>
        </w:tc>
        <w:tc>
          <w:tcPr>
            <w:tcW w:type="dxa" w:w="7056"/>
            <w:vAlign w:val="center"/>
            <w:tcMar>
              <w:top w:w="70" w:type="dxa"/>
              <w:bottom w:w="70" w:type="dxa"/>
              <w:left w:w="95" w:type="dxa"/>
              <w:right w:w="95" w:type="dxa"/>
            </w:tcMar>
          </w:tcPr>
          <w:p>
            <w:pPr>
              <w:spacing w:after="0" w:line="240" w:lineRule="auto"/>
            </w:pPr>
            <w:r>
              <w:rPr>
                <w:b w:val="0"/>
                <w:sz w:val="20"/>
              </w:rPr>
              <w:t>4° from left edge; vertically centered</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Fixation offset</w:t>
            </w:r>
          </w:p>
        </w:tc>
        <w:tc>
          <w:tcPr>
            <w:tcW w:type="dxa" w:w="7056"/>
            <w:vAlign w:val="center"/>
            <w:tcMar>
              <w:top w:w="70" w:type="dxa"/>
              <w:bottom w:w="70" w:type="dxa"/>
              <w:left w:w="95" w:type="dxa"/>
              <w:right w:w="95" w:type="dxa"/>
            </w:tcMar>
          </w:tcPr>
          <w:p>
            <w:pPr>
              <w:spacing w:after="0" w:line="240" w:lineRule="auto"/>
            </w:pPr>
            <w:r>
              <w:rPr>
                <w:b w:val="0"/>
                <w:sz w:val="20"/>
              </w:rPr>
              <w:t>Approximately −4.92° from screen center; rounded to −282 pixels</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Field relative to fixation</w:t>
            </w:r>
          </w:p>
        </w:tc>
        <w:tc>
          <w:tcPr>
            <w:tcW w:type="dxa" w:w="7056"/>
            <w:vAlign w:val="center"/>
            <w:tcMar>
              <w:top w:w="70" w:type="dxa"/>
              <w:bottom w:w="70" w:type="dxa"/>
              <w:left w:w="95" w:type="dxa"/>
              <w:right w:w="95" w:type="dxa"/>
            </w:tcMar>
          </w:tcPr>
          <w:p>
            <w:pPr>
              <w:spacing w:after="0" w:line="240" w:lineRule="auto"/>
            </w:pPr>
            <w:r>
              <w:rPr>
                <w:b w:val="0"/>
                <w:sz w:val="20"/>
              </w:rPr>
              <w:t>Approximately x = −4° to +13.84°; y = −6.69° to +6.69°</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Automatic canvas</w:t>
            </w:r>
          </w:p>
        </w:tc>
        <w:tc>
          <w:tcPr>
            <w:tcW w:type="dxa" w:w="7056"/>
            <w:vAlign w:val="center"/>
            <w:tcMar>
              <w:top w:w="70" w:type="dxa"/>
              <w:bottom w:w="70" w:type="dxa"/>
              <w:left w:w="95" w:type="dxa"/>
              <w:right w:w="95" w:type="dxa"/>
            </w:tcMar>
          </w:tcPr>
          <w:p>
            <w:pPr>
              <w:spacing w:after="0" w:line="240" w:lineRule="auto"/>
            </w:pPr>
            <w:r>
              <w:rPr>
                <w:b w:val="0"/>
                <w:sz w:val="20"/>
              </w:rPr>
              <w:t>1766 × 1766 display pixels; radius 15.38°; diameter 30.76°</w:t>
            </w:r>
          </w:p>
        </w:tc>
      </w:tr>
    </w:tbl>
    <w:p>
      <w:r>
        <w:t>The canvas is centered on fixation and encloses the farthest visible screen corner, with a one-pixel radius margin. The physical screen clips the canvas. Angular values use the script’s width-based calibration on both axes; this is the PsychoPy deg convention, rather than exact perspective-corrected visual angles.</w:t>
      </w:r>
    </w:p>
    <w:p>
      <w:pPr>
        <w:pStyle w:val="Heading1"/>
      </w:pPr>
      <w:r>
        <w:t>Bar and fixation grid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70" w:type="dxa"/>
              <w:bottom w:w="70" w:type="dxa"/>
              <w:left w:w="95" w:type="dxa"/>
              <w:right w:w="95" w:type="dxa"/>
            </w:tcMar>
            <w:shd w:fill="E8EDF2"/>
          </w:tcPr>
          <w:p>
            <w:pPr>
              <w:spacing w:after="0" w:line="240" w:lineRule="auto"/>
            </w:pPr>
            <w:r>
              <w:rPr>
                <w:b/>
                <w:sz w:val="20"/>
              </w:rPr>
              <w:t>Parameter</w:t>
            </w:r>
          </w:p>
        </w:tc>
        <w:tc>
          <w:tcPr>
            <w:tcW w:type="dxa" w:w="7056"/>
            <w:vAlign w:val="center"/>
            <w:tcMar>
              <w:top w:w="70" w:type="dxa"/>
              <w:bottom w:w="70" w:type="dxa"/>
              <w:left w:w="95" w:type="dxa"/>
              <w:right w:w="95" w:type="dxa"/>
            </w:tcMar>
            <w:shd w:fill="E8EDF2"/>
          </w:tcPr>
          <w:p>
            <w:pPr>
              <w:spacing w:after="0" w:line="240" w:lineRule="auto"/>
            </w:pPr>
            <w:r>
              <w:rPr>
                <w:b/>
                <w:sz w:val="20"/>
              </w:rPr>
              <w:t>Setting</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Bar width</w:t>
            </w:r>
          </w:p>
        </w:tc>
        <w:tc>
          <w:tcPr>
            <w:tcW w:type="dxa" w:w="7056"/>
            <w:vAlign w:val="center"/>
            <w:tcMar>
              <w:top w:w="70" w:type="dxa"/>
              <w:bottom w:w="70" w:type="dxa"/>
              <w:left w:w="95" w:type="dxa"/>
              <w:right w:w="95" w:type="dxa"/>
            </w:tcMar>
          </w:tcPr>
          <w:p>
            <w:pPr>
              <w:spacing w:after="0" w:line="240" w:lineRule="auto"/>
            </w:pPr>
            <w:r>
              <w:rPr>
                <w:b w:val="0"/>
                <w:sz w:val="20"/>
              </w:rPr>
              <w:t>2.23° or 128 display pixels; 1/8 of visible horizontal width</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Common bar speed</w:t>
            </w:r>
          </w:p>
        </w:tc>
        <w:tc>
          <w:tcPr>
            <w:tcW w:type="dxa" w:w="7056"/>
            <w:vAlign w:val="center"/>
            <w:tcMar>
              <w:top w:w="70" w:type="dxa"/>
              <w:bottom w:w="70" w:type="dxa"/>
              <w:left w:w="95" w:type="dxa"/>
              <w:right w:w="95" w:type="dxa"/>
            </w:tcMar>
          </w:tcPr>
          <w:p>
            <w:pPr>
              <w:spacing w:after="0" w:line="240" w:lineRule="auto"/>
            </w:pPr>
            <w:r>
              <w:rPr>
                <w:b w:val="0"/>
                <w:sz w:val="20"/>
              </w:rPr>
              <w:t>Approximately 0.68° per second in every sweep direction</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Exposure at a fully crossed point</w:t>
            </w:r>
          </w:p>
        </w:tc>
        <w:tc>
          <w:tcPr>
            <w:tcW w:type="dxa" w:w="7056"/>
            <w:vAlign w:val="center"/>
            <w:tcMar>
              <w:top w:w="70" w:type="dxa"/>
              <w:bottom w:w="70" w:type="dxa"/>
              <w:left w:w="95" w:type="dxa"/>
              <w:right w:w="95" w:type="dxa"/>
            </w:tcMar>
          </w:tcPr>
          <w:p>
            <w:pPr>
              <w:spacing w:after="0" w:line="240" w:lineRule="auto"/>
            </w:pPr>
            <w:r>
              <w:rPr>
                <w:b w:val="0"/>
                <w:sz w:val="20"/>
              </w:rPr>
              <w:t>Approximately 3.28 seconds per sweep</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Movement during one TR</w:t>
            </w:r>
          </w:p>
        </w:tc>
        <w:tc>
          <w:tcPr>
            <w:tcW w:type="dxa" w:w="7056"/>
            <w:vAlign w:val="center"/>
            <w:tcMar>
              <w:top w:w="70" w:type="dxa"/>
              <w:bottom w:w="70" w:type="dxa"/>
              <w:left w:w="95" w:type="dxa"/>
              <w:right w:w="95" w:type="dxa"/>
            </w:tcMar>
          </w:tcPr>
          <w:p>
            <w:pPr>
              <w:spacing w:after="0" w:line="240" w:lineRule="auto"/>
            </w:pPr>
            <w:r>
              <w:rPr>
                <w:b w:val="0"/>
                <w:sz w:val="20"/>
              </w:rPr>
              <w:t>Approximately 1.36°; neighboring TRs have overlapping coverage</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Fixation-grid ring radii</w:t>
            </w:r>
          </w:p>
        </w:tc>
        <w:tc>
          <w:tcPr>
            <w:tcW w:type="dxa" w:w="7056"/>
            <w:vAlign w:val="center"/>
            <w:tcMar>
              <w:top w:w="70" w:type="dxa"/>
              <w:bottom w:w="70" w:type="dxa"/>
              <w:left w:w="95" w:type="dxa"/>
              <w:right w:w="95" w:type="dxa"/>
            </w:tcMar>
          </w:tcPr>
          <w:p>
            <w:pPr>
              <w:spacing w:after="0" w:line="240" w:lineRule="auto"/>
            </w:pPr>
            <w:r>
              <w:rPr>
                <w:b w:val="0"/>
                <w:sz w:val="20"/>
              </w:rPr>
              <w:t>1°, 2°, 5° and 10°, with eight radial spokes</w:t>
            </w:r>
          </w:p>
        </w:tc>
      </w:tr>
    </w:tbl>
    <w:p>
      <w:r>
        <w:br w:type="page"/>
      </w:r>
    </w:p>
    <w:p>
      <w:pPr>
        <w:pStyle w:val="Heading1"/>
      </w:pPr>
      <w:r>
        <w:t>Block sequence and timing</w:t>
      </w:r>
    </w:p>
    <w:p>
      <w:r>
        <w:t>The order is fixed across runs. Padding is blank time appended to a sweep to make its block a whole number of TRs. The fixation task continues during both padding and scheduled rests.</w:t>
      </w:r>
    </w:p>
    <w:tbl>
      <w:tblPr>
        <w:tblW w:type="auto" w:w="0"/>
        <w:jc w:val="center"/>
        <w:tblLayout w:type="fixed"/>
        <w:tblLook w:firstColumn="1" w:firstRow="1" w:lastColumn="0" w:lastRow="0" w:noHBand="0" w:noVBand="1" w:val="04A0"/>
      </w:tblPr>
      <w:tblGrid>
        <w:gridCol w:w="4464"/>
        <w:gridCol w:w="1512"/>
        <w:gridCol w:w="1512"/>
        <w:gridCol w:w="1296"/>
        <w:gridCol w:w="1296"/>
      </w:tblGrid>
      <w:tr>
        <w:trPr>
          <w:tblHeader/>
          <w:cantSplit/>
        </w:trPr>
        <w:tc>
          <w:tcPr>
            <w:tcW w:type="dxa" w:w="4464"/>
            <w:vAlign w:val="center"/>
            <w:tcMar>
              <w:top w:w="70" w:type="dxa"/>
              <w:bottom w:w="70" w:type="dxa"/>
              <w:left w:w="95" w:type="dxa"/>
              <w:right w:w="95" w:type="dxa"/>
            </w:tcMar>
            <w:shd w:fill="E8EDF2"/>
          </w:tcPr>
          <w:p>
            <w:pPr>
              <w:spacing w:after="0" w:line="240" w:lineRule="auto"/>
            </w:pPr>
            <w:r>
              <w:rPr>
                <w:b/>
                <w:sz w:val="20"/>
              </w:rPr>
              <w:t>Block</w:t>
            </w:r>
          </w:p>
        </w:tc>
        <w:tc>
          <w:tcPr>
            <w:tcW w:type="dxa" w:w="1512"/>
            <w:vAlign w:val="center"/>
            <w:tcMar>
              <w:top w:w="70" w:type="dxa"/>
              <w:bottom w:w="70" w:type="dxa"/>
              <w:left w:w="95" w:type="dxa"/>
              <w:right w:w="95" w:type="dxa"/>
            </w:tcMar>
            <w:shd w:fill="E8EDF2"/>
          </w:tcPr>
          <w:p>
            <w:pPr>
              <w:spacing w:after="0" w:line="240" w:lineRule="auto"/>
              <w:jc w:val="right"/>
            </w:pPr>
            <w:r>
              <w:rPr>
                <w:b/>
                <w:sz w:val="20"/>
              </w:rPr>
              <w:t>Bar time</w:t>
              <w:br/>
              <w:t>s</w:t>
            </w:r>
          </w:p>
        </w:tc>
        <w:tc>
          <w:tcPr>
            <w:tcW w:type="dxa" w:w="1512"/>
            <w:vAlign w:val="center"/>
            <w:tcMar>
              <w:top w:w="70" w:type="dxa"/>
              <w:bottom w:w="70" w:type="dxa"/>
              <w:left w:w="95" w:type="dxa"/>
              <w:right w:w="95" w:type="dxa"/>
            </w:tcMar>
            <w:shd w:fill="E8EDF2"/>
          </w:tcPr>
          <w:p>
            <w:pPr>
              <w:spacing w:after="0" w:line="240" w:lineRule="auto"/>
              <w:jc w:val="right"/>
            </w:pPr>
            <w:r>
              <w:rPr>
                <w:b/>
                <w:sz w:val="20"/>
              </w:rPr>
              <w:t>Padding</w:t>
              <w:br/>
              <w:t>s</w:t>
            </w:r>
          </w:p>
        </w:tc>
        <w:tc>
          <w:tcPr>
            <w:tcW w:type="dxa" w:w="1296"/>
            <w:vAlign w:val="center"/>
            <w:tcMar>
              <w:top w:w="70" w:type="dxa"/>
              <w:bottom w:w="70" w:type="dxa"/>
              <w:left w:w="95" w:type="dxa"/>
              <w:right w:w="95" w:type="dxa"/>
            </w:tcMar>
            <w:shd w:fill="E8EDF2"/>
          </w:tcPr>
          <w:p>
            <w:pPr>
              <w:spacing w:after="0" w:line="240" w:lineRule="auto"/>
              <w:jc w:val="right"/>
            </w:pPr>
            <w:r>
              <w:rPr>
                <w:b/>
                <w:sz w:val="20"/>
              </w:rPr>
              <w:t>Total</w:t>
              <w:br/>
              <w:t>s</w:t>
            </w:r>
          </w:p>
        </w:tc>
        <w:tc>
          <w:tcPr>
            <w:tcW w:type="dxa" w:w="1296"/>
            <w:vAlign w:val="center"/>
            <w:tcMar>
              <w:top w:w="70" w:type="dxa"/>
              <w:bottom w:w="70" w:type="dxa"/>
              <w:left w:w="95" w:type="dxa"/>
              <w:right w:w="95" w:type="dxa"/>
            </w:tcMar>
            <w:shd w:fill="E8EDF2"/>
          </w:tcPr>
          <w:p>
            <w:pPr>
              <w:spacing w:after="0" w:line="240" w:lineRule="auto"/>
              <w:jc w:val="right"/>
            </w:pPr>
            <w:r>
              <w:rPr>
                <w:b/>
                <w:sz w:val="20"/>
              </w:rPr>
              <w:t>TRs</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Initial 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12</w:t>
            </w:r>
          </w:p>
        </w:tc>
        <w:tc>
          <w:tcPr>
            <w:tcW w:type="dxa" w:w="1296"/>
            <w:vAlign w:val="center"/>
            <w:tcMar>
              <w:top w:w="70" w:type="dxa"/>
              <w:bottom w:w="70" w:type="dxa"/>
              <w:left w:w="95" w:type="dxa"/>
              <w:right w:w="95" w:type="dxa"/>
            </w:tcMar>
          </w:tcPr>
          <w:p>
            <w:pPr>
              <w:spacing w:after="0" w:line="240" w:lineRule="auto"/>
              <w:jc w:val="right"/>
            </w:pPr>
            <w:r>
              <w:rPr>
                <w:b w:val="0"/>
                <w:sz w:val="20"/>
              </w:rPr>
              <w:t>6</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Left → right</w:t>
            </w:r>
          </w:p>
        </w:tc>
        <w:tc>
          <w:tcPr>
            <w:tcW w:type="dxa" w:w="1512"/>
            <w:vAlign w:val="center"/>
            <w:tcMar>
              <w:top w:w="70" w:type="dxa"/>
              <w:bottom w:w="70" w:type="dxa"/>
              <w:left w:w="95" w:type="dxa"/>
              <w:right w:w="95" w:type="dxa"/>
            </w:tcMar>
          </w:tcPr>
          <w:p>
            <w:pPr>
              <w:spacing w:after="0" w:line="240" w:lineRule="auto"/>
              <w:jc w:val="right"/>
            </w:pPr>
            <w:r>
              <w:rPr>
                <w:b w:val="0"/>
                <w:sz w:val="20"/>
              </w:rPr>
              <w:t>29.67</w:t>
            </w:r>
          </w:p>
        </w:tc>
        <w:tc>
          <w:tcPr>
            <w:tcW w:type="dxa" w:w="1512"/>
            <w:vAlign w:val="center"/>
            <w:tcMar>
              <w:top w:w="70" w:type="dxa"/>
              <w:bottom w:w="70" w:type="dxa"/>
              <w:left w:w="95" w:type="dxa"/>
              <w:right w:w="95" w:type="dxa"/>
            </w:tcMar>
          </w:tcPr>
          <w:p>
            <w:pPr>
              <w:spacing w:after="0" w:line="240" w:lineRule="auto"/>
              <w:jc w:val="right"/>
            </w:pPr>
            <w:r>
              <w:rPr>
                <w:b w:val="0"/>
                <w:sz w:val="20"/>
              </w:rPr>
              <w:t>0.33</w:t>
            </w:r>
          </w:p>
        </w:tc>
        <w:tc>
          <w:tcPr>
            <w:tcW w:type="dxa" w:w="1296"/>
            <w:vAlign w:val="center"/>
            <w:tcMar>
              <w:top w:w="70" w:type="dxa"/>
              <w:bottom w:w="70" w:type="dxa"/>
              <w:left w:w="95" w:type="dxa"/>
              <w:right w:w="95" w:type="dxa"/>
            </w:tcMar>
          </w:tcPr>
          <w:p>
            <w:pPr>
              <w:spacing w:after="0" w:line="240" w:lineRule="auto"/>
              <w:jc w:val="right"/>
            </w:pPr>
            <w:r>
              <w:rPr>
                <w:b w:val="0"/>
                <w:sz w:val="20"/>
              </w:rPr>
              <w:t>30</w:t>
            </w:r>
          </w:p>
        </w:tc>
        <w:tc>
          <w:tcPr>
            <w:tcW w:type="dxa" w:w="1296"/>
            <w:vAlign w:val="center"/>
            <w:tcMar>
              <w:top w:w="70" w:type="dxa"/>
              <w:bottom w:w="70" w:type="dxa"/>
              <w:left w:w="95" w:type="dxa"/>
              <w:right w:w="95" w:type="dxa"/>
            </w:tcMar>
          </w:tcPr>
          <w:p>
            <w:pPr>
              <w:spacing w:after="0" w:line="240" w:lineRule="auto"/>
              <w:jc w:val="right"/>
            </w:pPr>
            <w:r>
              <w:rPr>
                <w:b w:val="0"/>
                <w:sz w:val="20"/>
              </w:rPr>
              <w:t>15</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Down → up</w:t>
            </w:r>
          </w:p>
        </w:tc>
        <w:tc>
          <w:tcPr>
            <w:tcW w:type="dxa" w:w="1512"/>
            <w:vAlign w:val="center"/>
            <w:tcMar>
              <w:top w:w="70" w:type="dxa"/>
              <w:bottom w:w="70" w:type="dxa"/>
              <w:left w:w="95" w:type="dxa"/>
              <w:right w:w="95" w:type="dxa"/>
            </w:tcMar>
          </w:tcPr>
          <w:p>
            <w:pPr>
              <w:spacing w:after="0" w:line="240" w:lineRule="auto"/>
              <w:jc w:val="right"/>
            </w:pPr>
            <w:r>
              <w:rPr>
                <w:b w:val="0"/>
                <w:sz w:val="20"/>
              </w:rPr>
              <w:t>23.27</w:t>
            </w:r>
          </w:p>
        </w:tc>
        <w:tc>
          <w:tcPr>
            <w:tcW w:type="dxa" w:w="1512"/>
            <w:vAlign w:val="center"/>
            <w:tcMar>
              <w:top w:w="70" w:type="dxa"/>
              <w:bottom w:w="70" w:type="dxa"/>
              <w:left w:w="95" w:type="dxa"/>
              <w:right w:w="95" w:type="dxa"/>
            </w:tcMar>
          </w:tcPr>
          <w:p>
            <w:pPr>
              <w:spacing w:after="0" w:line="240" w:lineRule="auto"/>
              <w:jc w:val="right"/>
            </w:pPr>
            <w:r>
              <w:rPr>
                <w:b w:val="0"/>
                <w:sz w:val="20"/>
              </w:rPr>
              <w:t>0.73</w:t>
            </w:r>
          </w:p>
        </w:tc>
        <w:tc>
          <w:tcPr>
            <w:tcW w:type="dxa" w:w="1296"/>
            <w:vAlign w:val="center"/>
            <w:tcMar>
              <w:top w:w="70" w:type="dxa"/>
              <w:bottom w:w="70" w:type="dxa"/>
              <w:left w:w="95" w:type="dxa"/>
              <w:right w:w="95" w:type="dxa"/>
            </w:tcMar>
          </w:tcPr>
          <w:p>
            <w:pPr>
              <w:spacing w:after="0" w:line="240" w:lineRule="auto"/>
              <w:jc w:val="right"/>
            </w:pPr>
            <w:r>
              <w:rPr>
                <w:b w:val="0"/>
                <w:sz w:val="20"/>
              </w:rPr>
              <w:t>24</w:t>
            </w:r>
          </w:p>
        </w:tc>
        <w:tc>
          <w:tcPr>
            <w:tcW w:type="dxa" w:w="1296"/>
            <w:vAlign w:val="center"/>
            <w:tcMar>
              <w:top w:w="70" w:type="dxa"/>
              <w:bottom w:w="70" w:type="dxa"/>
              <w:left w:w="95" w:type="dxa"/>
              <w:right w:w="95" w:type="dxa"/>
            </w:tcMar>
          </w:tcPr>
          <w:p>
            <w:pPr>
              <w:spacing w:after="0" w:line="240" w:lineRule="auto"/>
              <w:jc w:val="right"/>
            </w:pPr>
            <w:r>
              <w:rPr>
                <w:b w:val="0"/>
                <w:sz w:val="20"/>
              </w:rPr>
              <w:t>12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Right → left</w:t>
            </w:r>
          </w:p>
        </w:tc>
        <w:tc>
          <w:tcPr>
            <w:tcW w:type="dxa" w:w="1512"/>
            <w:vAlign w:val="center"/>
            <w:tcMar>
              <w:top w:w="70" w:type="dxa"/>
              <w:bottom w:w="70" w:type="dxa"/>
              <w:left w:w="95" w:type="dxa"/>
              <w:right w:w="95" w:type="dxa"/>
            </w:tcMar>
          </w:tcPr>
          <w:p>
            <w:pPr>
              <w:spacing w:after="0" w:line="240" w:lineRule="auto"/>
              <w:jc w:val="right"/>
            </w:pPr>
            <w:r>
              <w:rPr>
                <w:b w:val="0"/>
                <w:sz w:val="20"/>
              </w:rPr>
              <w:t>29.67</w:t>
            </w:r>
          </w:p>
        </w:tc>
        <w:tc>
          <w:tcPr>
            <w:tcW w:type="dxa" w:w="1512"/>
            <w:vAlign w:val="center"/>
            <w:tcMar>
              <w:top w:w="70" w:type="dxa"/>
              <w:bottom w:w="70" w:type="dxa"/>
              <w:left w:w="95" w:type="dxa"/>
              <w:right w:w="95" w:type="dxa"/>
            </w:tcMar>
          </w:tcPr>
          <w:p>
            <w:pPr>
              <w:spacing w:after="0" w:line="240" w:lineRule="auto"/>
              <w:jc w:val="right"/>
            </w:pPr>
            <w:r>
              <w:rPr>
                <w:b w:val="0"/>
                <w:sz w:val="20"/>
              </w:rPr>
              <w:t>0.33</w:t>
            </w:r>
          </w:p>
        </w:tc>
        <w:tc>
          <w:tcPr>
            <w:tcW w:type="dxa" w:w="1296"/>
            <w:vAlign w:val="center"/>
            <w:tcMar>
              <w:top w:w="70" w:type="dxa"/>
              <w:bottom w:w="70" w:type="dxa"/>
              <w:left w:w="95" w:type="dxa"/>
              <w:right w:w="95" w:type="dxa"/>
            </w:tcMar>
          </w:tcPr>
          <w:p>
            <w:pPr>
              <w:spacing w:after="0" w:line="240" w:lineRule="auto"/>
              <w:jc w:val="right"/>
            </w:pPr>
            <w:r>
              <w:rPr>
                <w:b w:val="0"/>
                <w:sz w:val="20"/>
              </w:rPr>
              <w:t>30</w:t>
            </w:r>
          </w:p>
        </w:tc>
        <w:tc>
          <w:tcPr>
            <w:tcW w:type="dxa" w:w="1296"/>
            <w:vAlign w:val="center"/>
            <w:tcMar>
              <w:top w:w="70" w:type="dxa"/>
              <w:bottom w:w="70" w:type="dxa"/>
              <w:left w:w="95" w:type="dxa"/>
              <w:right w:w="95" w:type="dxa"/>
            </w:tcMar>
          </w:tcPr>
          <w:p>
            <w:pPr>
              <w:spacing w:after="0" w:line="240" w:lineRule="auto"/>
              <w:jc w:val="right"/>
            </w:pPr>
            <w:r>
              <w:rPr>
                <w:b w:val="0"/>
                <w:sz w:val="20"/>
              </w:rPr>
              <w:t>15</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Up → down</w:t>
            </w:r>
          </w:p>
        </w:tc>
        <w:tc>
          <w:tcPr>
            <w:tcW w:type="dxa" w:w="1512"/>
            <w:vAlign w:val="center"/>
            <w:tcMar>
              <w:top w:w="70" w:type="dxa"/>
              <w:bottom w:w="70" w:type="dxa"/>
              <w:left w:w="95" w:type="dxa"/>
              <w:right w:w="95" w:type="dxa"/>
            </w:tcMar>
          </w:tcPr>
          <w:p>
            <w:pPr>
              <w:spacing w:after="0" w:line="240" w:lineRule="auto"/>
              <w:jc w:val="right"/>
            </w:pPr>
            <w:r>
              <w:rPr>
                <w:b w:val="0"/>
                <w:sz w:val="20"/>
              </w:rPr>
              <w:t>23.20</w:t>
            </w:r>
          </w:p>
        </w:tc>
        <w:tc>
          <w:tcPr>
            <w:tcW w:type="dxa" w:w="1512"/>
            <w:vAlign w:val="center"/>
            <w:tcMar>
              <w:top w:w="70" w:type="dxa"/>
              <w:bottom w:w="70" w:type="dxa"/>
              <w:left w:w="95" w:type="dxa"/>
              <w:right w:w="95" w:type="dxa"/>
            </w:tcMar>
          </w:tcPr>
          <w:p>
            <w:pPr>
              <w:spacing w:after="0" w:line="240" w:lineRule="auto"/>
              <w:jc w:val="right"/>
            </w:pPr>
            <w:r>
              <w:rPr>
                <w:b w:val="0"/>
                <w:sz w:val="20"/>
              </w:rPr>
              <w:t>0.80</w:t>
            </w:r>
          </w:p>
        </w:tc>
        <w:tc>
          <w:tcPr>
            <w:tcW w:type="dxa" w:w="1296"/>
            <w:vAlign w:val="center"/>
            <w:tcMar>
              <w:top w:w="70" w:type="dxa"/>
              <w:bottom w:w="70" w:type="dxa"/>
              <w:left w:w="95" w:type="dxa"/>
              <w:right w:w="95" w:type="dxa"/>
            </w:tcMar>
          </w:tcPr>
          <w:p>
            <w:pPr>
              <w:spacing w:after="0" w:line="240" w:lineRule="auto"/>
              <w:jc w:val="right"/>
            </w:pPr>
            <w:r>
              <w:rPr>
                <w:b w:val="0"/>
                <w:sz w:val="20"/>
              </w:rPr>
              <w:t>24</w:t>
            </w:r>
          </w:p>
        </w:tc>
        <w:tc>
          <w:tcPr>
            <w:tcW w:type="dxa" w:w="1296"/>
            <w:vAlign w:val="center"/>
            <w:tcMar>
              <w:top w:w="70" w:type="dxa"/>
              <w:bottom w:w="70" w:type="dxa"/>
              <w:left w:w="95" w:type="dxa"/>
              <w:right w:w="95" w:type="dxa"/>
            </w:tcMar>
          </w:tcPr>
          <w:p>
            <w:pPr>
              <w:spacing w:after="0" w:line="240" w:lineRule="auto"/>
              <w:jc w:val="right"/>
            </w:pPr>
            <w:r>
              <w:rPr>
                <w:b w:val="0"/>
                <w:sz w:val="20"/>
              </w:rPr>
              <w:t>12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Lower-left → upper-right</w:t>
            </w:r>
          </w:p>
        </w:tc>
        <w:tc>
          <w:tcPr>
            <w:tcW w:type="dxa" w:w="1512"/>
            <w:vAlign w:val="center"/>
            <w:tcMar>
              <w:top w:w="70" w:type="dxa"/>
              <w:bottom w:w="70" w:type="dxa"/>
              <w:left w:w="95" w:type="dxa"/>
              <w:right w:w="95" w:type="dxa"/>
            </w:tcMar>
          </w:tcPr>
          <w:p>
            <w:pPr>
              <w:spacing w:after="0" w:line="240" w:lineRule="auto"/>
              <w:jc w:val="right"/>
            </w:pPr>
            <w:r>
              <w:rPr>
                <w:b w:val="0"/>
                <w:sz w:val="20"/>
              </w:rPr>
              <w:t>35.87</w:t>
            </w:r>
          </w:p>
        </w:tc>
        <w:tc>
          <w:tcPr>
            <w:tcW w:type="dxa" w:w="1512"/>
            <w:vAlign w:val="center"/>
            <w:tcMar>
              <w:top w:w="70" w:type="dxa"/>
              <w:bottom w:w="70" w:type="dxa"/>
              <w:left w:w="95" w:type="dxa"/>
              <w:right w:w="95" w:type="dxa"/>
            </w:tcMar>
          </w:tcPr>
          <w:p>
            <w:pPr>
              <w:spacing w:after="0" w:line="240" w:lineRule="auto"/>
              <w:jc w:val="right"/>
            </w:pPr>
            <w:r>
              <w:rPr>
                <w:b w:val="0"/>
                <w:sz w:val="20"/>
              </w:rPr>
              <w:t>0.13</w:t>
            </w:r>
          </w:p>
        </w:tc>
        <w:tc>
          <w:tcPr>
            <w:tcW w:type="dxa" w:w="1296"/>
            <w:vAlign w:val="center"/>
            <w:tcMar>
              <w:top w:w="70" w:type="dxa"/>
              <w:bottom w:w="70" w:type="dxa"/>
              <w:left w:w="95" w:type="dxa"/>
              <w:right w:w="95" w:type="dxa"/>
            </w:tcMar>
          </w:tcPr>
          <w:p>
            <w:pPr>
              <w:spacing w:after="0" w:line="240" w:lineRule="auto"/>
              <w:jc w:val="right"/>
            </w:pPr>
            <w:r>
              <w:rPr>
                <w:b w:val="0"/>
                <w:sz w:val="20"/>
              </w:rPr>
              <w:t>36</w:t>
            </w:r>
          </w:p>
        </w:tc>
        <w:tc>
          <w:tcPr>
            <w:tcW w:type="dxa" w:w="1296"/>
            <w:vAlign w:val="center"/>
            <w:tcMar>
              <w:top w:w="70" w:type="dxa"/>
              <w:bottom w:w="70" w:type="dxa"/>
              <w:left w:w="95" w:type="dxa"/>
              <w:right w:w="95" w:type="dxa"/>
            </w:tcMar>
          </w:tcPr>
          <w:p>
            <w:pPr>
              <w:spacing w:after="0" w:line="240" w:lineRule="auto"/>
              <w:jc w:val="right"/>
            </w:pPr>
            <w:r>
              <w:rPr>
                <w:b w:val="0"/>
                <w:sz w:val="20"/>
              </w:rPr>
              <w:t>18</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Lower-right → upper-left</w:t>
            </w:r>
          </w:p>
        </w:tc>
        <w:tc>
          <w:tcPr>
            <w:tcW w:type="dxa" w:w="1512"/>
            <w:vAlign w:val="center"/>
            <w:tcMar>
              <w:top w:w="70" w:type="dxa"/>
              <w:bottom w:w="70" w:type="dxa"/>
              <w:left w:w="95" w:type="dxa"/>
              <w:right w:w="95" w:type="dxa"/>
            </w:tcMar>
          </w:tcPr>
          <w:p>
            <w:pPr>
              <w:spacing w:after="0" w:line="240" w:lineRule="auto"/>
              <w:jc w:val="right"/>
            </w:pPr>
            <w:r>
              <w:rPr>
                <w:b w:val="0"/>
                <w:sz w:val="20"/>
              </w:rPr>
              <w:t>35.93</w:t>
            </w:r>
          </w:p>
        </w:tc>
        <w:tc>
          <w:tcPr>
            <w:tcW w:type="dxa" w:w="1512"/>
            <w:vAlign w:val="center"/>
            <w:tcMar>
              <w:top w:w="70" w:type="dxa"/>
              <w:bottom w:w="70" w:type="dxa"/>
              <w:left w:w="95" w:type="dxa"/>
              <w:right w:w="95" w:type="dxa"/>
            </w:tcMar>
          </w:tcPr>
          <w:p>
            <w:pPr>
              <w:spacing w:after="0" w:line="240" w:lineRule="auto"/>
              <w:jc w:val="right"/>
            </w:pPr>
            <w:r>
              <w:rPr>
                <w:b w:val="0"/>
                <w:sz w:val="20"/>
              </w:rPr>
              <w:t>0.07</w:t>
            </w:r>
          </w:p>
        </w:tc>
        <w:tc>
          <w:tcPr>
            <w:tcW w:type="dxa" w:w="1296"/>
            <w:vAlign w:val="center"/>
            <w:tcMar>
              <w:top w:w="70" w:type="dxa"/>
              <w:bottom w:w="70" w:type="dxa"/>
              <w:left w:w="95" w:type="dxa"/>
              <w:right w:w="95" w:type="dxa"/>
            </w:tcMar>
          </w:tcPr>
          <w:p>
            <w:pPr>
              <w:spacing w:after="0" w:line="240" w:lineRule="auto"/>
              <w:jc w:val="right"/>
            </w:pPr>
            <w:r>
              <w:rPr>
                <w:b w:val="0"/>
                <w:sz w:val="20"/>
              </w:rPr>
              <w:t>36</w:t>
            </w:r>
          </w:p>
        </w:tc>
        <w:tc>
          <w:tcPr>
            <w:tcW w:type="dxa" w:w="1296"/>
            <w:vAlign w:val="center"/>
            <w:tcMar>
              <w:top w:w="70" w:type="dxa"/>
              <w:bottom w:w="70" w:type="dxa"/>
              <w:left w:w="95" w:type="dxa"/>
              <w:right w:w="95" w:type="dxa"/>
            </w:tcMar>
          </w:tcPr>
          <w:p>
            <w:pPr>
              <w:spacing w:after="0" w:line="240" w:lineRule="auto"/>
              <w:jc w:val="right"/>
            </w:pPr>
            <w:r>
              <w:rPr>
                <w:b w:val="0"/>
                <w:sz w:val="20"/>
              </w:rPr>
              <w:t>18</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Upper-right → lower-left</w:t>
            </w:r>
          </w:p>
        </w:tc>
        <w:tc>
          <w:tcPr>
            <w:tcW w:type="dxa" w:w="1512"/>
            <w:vAlign w:val="center"/>
            <w:tcMar>
              <w:top w:w="70" w:type="dxa"/>
              <w:bottom w:w="70" w:type="dxa"/>
              <w:left w:w="95" w:type="dxa"/>
              <w:right w:w="95" w:type="dxa"/>
            </w:tcMar>
          </w:tcPr>
          <w:p>
            <w:pPr>
              <w:spacing w:after="0" w:line="240" w:lineRule="auto"/>
              <w:jc w:val="right"/>
            </w:pPr>
            <w:r>
              <w:rPr>
                <w:b w:val="0"/>
                <w:sz w:val="20"/>
              </w:rPr>
              <w:t>35.87</w:t>
            </w:r>
          </w:p>
        </w:tc>
        <w:tc>
          <w:tcPr>
            <w:tcW w:type="dxa" w:w="1512"/>
            <w:vAlign w:val="center"/>
            <w:tcMar>
              <w:top w:w="70" w:type="dxa"/>
              <w:bottom w:w="70" w:type="dxa"/>
              <w:left w:w="95" w:type="dxa"/>
              <w:right w:w="95" w:type="dxa"/>
            </w:tcMar>
          </w:tcPr>
          <w:p>
            <w:pPr>
              <w:spacing w:after="0" w:line="240" w:lineRule="auto"/>
              <w:jc w:val="right"/>
            </w:pPr>
            <w:r>
              <w:rPr>
                <w:b w:val="0"/>
                <w:sz w:val="20"/>
              </w:rPr>
              <w:t>0.13</w:t>
            </w:r>
          </w:p>
        </w:tc>
        <w:tc>
          <w:tcPr>
            <w:tcW w:type="dxa" w:w="1296"/>
            <w:vAlign w:val="center"/>
            <w:tcMar>
              <w:top w:w="70" w:type="dxa"/>
              <w:bottom w:w="70" w:type="dxa"/>
              <w:left w:w="95" w:type="dxa"/>
              <w:right w:w="95" w:type="dxa"/>
            </w:tcMar>
          </w:tcPr>
          <w:p>
            <w:pPr>
              <w:spacing w:after="0" w:line="240" w:lineRule="auto"/>
              <w:jc w:val="right"/>
            </w:pPr>
            <w:r>
              <w:rPr>
                <w:b w:val="0"/>
                <w:sz w:val="20"/>
              </w:rPr>
              <w:t>36</w:t>
            </w:r>
          </w:p>
        </w:tc>
        <w:tc>
          <w:tcPr>
            <w:tcW w:type="dxa" w:w="1296"/>
            <w:vAlign w:val="center"/>
            <w:tcMar>
              <w:top w:w="70" w:type="dxa"/>
              <w:bottom w:w="70" w:type="dxa"/>
              <w:left w:w="95" w:type="dxa"/>
              <w:right w:w="95" w:type="dxa"/>
            </w:tcMar>
          </w:tcPr>
          <w:p>
            <w:pPr>
              <w:spacing w:after="0" w:line="240" w:lineRule="auto"/>
              <w:jc w:val="right"/>
            </w:pPr>
            <w:r>
              <w:rPr>
                <w:b w:val="0"/>
                <w:sz w:val="20"/>
              </w:rPr>
              <w:t>18</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4</w:t>
            </w:r>
          </w:p>
        </w:tc>
        <w:tc>
          <w:tcPr>
            <w:tcW w:type="dxa" w:w="1296"/>
            <w:vAlign w:val="center"/>
            <w:tcMar>
              <w:top w:w="70" w:type="dxa"/>
              <w:bottom w:w="70" w:type="dxa"/>
              <w:left w:w="95" w:type="dxa"/>
              <w:right w:w="95" w:type="dxa"/>
            </w:tcMar>
          </w:tcPr>
          <w:p>
            <w:pPr>
              <w:spacing w:after="0" w:line="240" w:lineRule="auto"/>
              <w:jc w:val="right"/>
            </w:pPr>
            <w:r>
              <w:rPr>
                <w:b w:val="0"/>
                <w:sz w:val="20"/>
              </w:rPr>
              <w:t>2</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Upper-left → lower-right</w:t>
            </w:r>
          </w:p>
        </w:tc>
        <w:tc>
          <w:tcPr>
            <w:tcW w:type="dxa" w:w="1512"/>
            <w:vAlign w:val="center"/>
            <w:tcMar>
              <w:top w:w="70" w:type="dxa"/>
              <w:bottom w:w="70" w:type="dxa"/>
              <w:left w:w="95" w:type="dxa"/>
              <w:right w:w="95" w:type="dxa"/>
            </w:tcMar>
          </w:tcPr>
          <w:p>
            <w:pPr>
              <w:spacing w:after="0" w:line="240" w:lineRule="auto"/>
              <w:jc w:val="right"/>
            </w:pPr>
            <w:r>
              <w:rPr>
                <w:b w:val="0"/>
                <w:sz w:val="20"/>
              </w:rPr>
              <w:t>36.00</w:t>
            </w:r>
          </w:p>
        </w:tc>
        <w:tc>
          <w:tcPr>
            <w:tcW w:type="dxa" w:w="1512"/>
            <w:vAlign w:val="center"/>
            <w:tcMar>
              <w:top w:w="70" w:type="dxa"/>
              <w:bottom w:w="70" w:type="dxa"/>
              <w:left w:w="95" w:type="dxa"/>
              <w:right w:w="95" w:type="dxa"/>
            </w:tcMar>
          </w:tcPr>
          <w:p>
            <w:pPr>
              <w:spacing w:after="0" w:line="240" w:lineRule="auto"/>
              <w:jc w:val="right"/>
            </w:pPr>
            <w:r>
              <w:rPr>
                <w:b w:val="0"/>
                <w:sz w:val="20"/>
              </w:rPr>
              <w:t>0.00</w:t>
            </w:r>
          </w:p>
        </w:tc>
        <w:tc>
          <w:tcPr>
            <w:tcW w:type="dxa" w:w="1296"/>
            <w:vAlign w:val="center"/>
            <w:tcMar>
              <w:top w:w="70" w:type="dxa"/>
              <w:bottom w:w="70" w:type="dxa"/>
              <w:left w:w="95" w:type="dxa"/>
              <w:right w:w="95" w:type="dxa"/>
            </w:tcMar>
          </w:tcPr>
          <w:p>
            <w:pPr>
              <w:spacing w:after="0" w:line="240" w:lineRule="auto"/>
              <w:jc w:val="right"/>
            </w:pPr>
            <w:r>
              <w:rPr>
                <w:b w:val="0"/>
                <w:sz w:val="20"/>
              </w:rPr>
              <w:t>36</w:t>
            </w:r>
          </w:p>
        </w:tc>
        <w:tc>
          <w:tcPr>
            <w:tcW w:type="dxa" w:w="1296"/>
            <w:vAlign w:val="center"/>
            <w:tcMar>
              <w:top w:w="70" w:type="dxa"/>
              <w:bottom w:w="70" w:type="dxa"/>
              <w:left w:w="95" w:type="dxa"/>
              <w:right w:w="95" w:type="dxa"/>
            </w:tcMar>
          </w:tcPr>
          <w:p>
            <w:pPr>
              <w:spacing w:after="0" w:line="240" w:lineRule="auto"/>
              <w:jc w:val="right"/>
            </w:pPr>
            <w:r>
              <w:rPr>
                <w:b w:val="0"/>
                <w:sz w:val="20"/>
              </w:rPr>
              <w:t>18</w:t>
            </w:r>
          </w:p>
        </w:tc>
      </w:tr>
      <w:tr>
        <w:trPr>
          <w:cantSplit/>
        </w:trPr>
        <w:tc>
          <w:tcPr>
            <w:tcW w:type="dxa" w:w="4464"/>
            <w:vAlign w:val="center"/>
            <w:tcMar>
              <w:top w:w="70" w:type="dxa"/>
              <w:bottom w:w="70" w:type="dxa"/>
              <w:left w:w="95" w:type="dxa"/>
              <w:right w:w="95" w:type="dxa"/>
            </w:tcMar>
          </w:tcPr>
          <w:p>
            <w:pPr>
              <w:spacing w:after="0" w:line="240" w:lineRule="auto"/>
            </w:pPr>
            <w:r>
              <w:rPr>
                <w:b w:val="0"/>
                <w:sz w:val="20"/>
              </w:rPr>
              <w:t>Final rest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512"/>
            <w:vAlign w:val="center"/>
            <w:tcMar>
              <w:top w:w="70" w:type="dxa"/>
              <w:bottom w:w="70" w:type="dxa"/>
              <w:left w:w="95" w:type="dxa"/>
              <w:right w:w="95" w:type="dxa"/>
            </w:tcMar>
          </w:tcPr>
          <w:p>
            <w:pPr>
              <w:spacing w:after="0" w:line="240" w:lineRule="auto"/>
              <w:jc w:val="right"/>
            </w:pPr>
            <w:r>
              <w:rPr>
                <w:b w:val="0"/>
                <w:sz w:val="20"/>
              </w:rPr>
              <w:t>—</w:t>
            </w:r>
          </w:p>
        </w:tc>
        <w:tc>
          <w:tcPr>
            <w:tcW w:type="dxa" w:w="1296"/>
            <w:vAlign w:val="center"/>
            <w:tcMar>
              <w:top w:w="70" w:type="dxa"/>
              <w:bottom w:w="70" w:type="dxa"/>
              <w:left w:w="95" w:type="dxa"/>
              <w:right w:w="95" w:type="dxa"/>
            </w:tcMar>
          </w:tcPr>
          <w:p>
            <w:pPr>
              <w:spacing w:after="0" w:line="240" w:lineRule="auto"/>
              <w:jc w:val="right"/>
            </w:pPr>
            <w:r>
              <w:rPr>
                <w:b w:val="0"/>
                <w:sz w:val="20"/>
              </w:rPr>
              <w:t>12</w:t>
            </w:r>
          </w:p>
        </w:tc>
        <w:tc>
          <w:tcPr>
            <w:tcW w:type="dxa" w:w="1296"/>
            <w:vAlign w:val="center"/>
            <w:tcMar>
              <w:top w:w="70" w:type="dxa"/>
              <w:bottom w:w="70" w:type="dxa"/>
              <w:left w:w="95" w:type="dxa"/>
              <w:right w:w="95" w:type="dxa"/>
            </w:tcMar>
          </w:tcPr>
          <w:p>
            <w:pPr>
              <w:spacing w:after="0" w:line="240" w:lineRule="auto"/>
              <w:jc w:val="right"/>
            </w:pPr>
            <w:r>
              <w:rPr>
                <w:b w:val="0"/>
                <w:sz w:val="20"/>
              </w:rPr>
              <w:t>6</w:t>
            </w:r>
          </w:p>
        </w:tc>
      </w:tr>
    </w:tbl>
    <w:p>
      <w:r>
        <w:t>Totals: 249.47 seconds of bar presentation + 2.53 seconds of padding + 52 seconds of scheduled rest = 304 seconds. Displayed decimal times are rounded; the underlying schedule uses integer movie-frame counts.</w:t>
      </w:r>
    </w:p>
    <w:p>
      <w:pPr>
        <w:pStyle w:val="Heading1"/>
      </w:pPr>
      <w:r>
        <w:t>Presentation and task</w:t>
      </w:r>
    </w:p>
    <w:p>
      <w:r>
        <w:t>The movie updates at 15 Hz, once every four 60-Hz display refreshes, for 4560 planned movie frames. Fully offscreen prefixes and suffixes are removed from each sweep. The visual texture inside the bar is randomized; sweep order is not randomized.</w:t>
      </w:r>
    </w:p>
    <w:p>
      <w:r>
        <w:t>A small fixation dot is present throughout. Its size is 4 display pixels, with red, black and white colors and alpha 0.5. Color-change intervals are randomly scheduled around 3 seconds, with a ±2-second range. The experiment starts when trigger key 5 is detected and asks for subject and run numbers.</w:t>
      </w:r>
    </w:p>
    <w:p>
      <w:r>
        <w:t>The 3.28-second value describes visual coverage of a point, not the duration of its BOLD response. Exposure can be shorter at clipped boundaries. A pRF integrates over an area, and its modeled response also depends on pRF size and the hemodynamic response function.</w:t>
      </w:r>
    </w:p>
    <w:p>
      <w:r>
        <w:br w:type="page"/>
      </w:r>
    </w:p>
    <w:p>
      <w:pPr>
        <w:pStyle w:val="Heading1"/>
      </w:pPr>
      <w:r>
        <w:t>Saved data and fitting coordinates</w:t>
      </w:r>
    </w:p>
    <w:p>
      <w:r>
        <w:t>Run files are saved inside C:\Users\TseLab\Desktop\pRF_stim\subjN\, where N is the entered subject number. Filenames contain a timestamp, subject number, run number and experiment number 93. PNG frame capture is currently disabled.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70" w:type="dxa"/>
              <w:bottom w:w="70" w:type="dxa"/>
              <w:left w:w="95" w:type="dxa"/>
              <w:right w:w="95" w:type="dxa"/>
            </w:tcMar>
            <w:shd w:fill="E8EDF2"/>
          </w:tcPr>
          <w:p>
            <w:pPr>
              <w:spacing w:after="0" w:line="240" w:lineRule="auto"/>
            </w:pPr>
            <w:r>
              <w:rPr>
                <w:b/>
                <w:sz w:val="20"/>
              </w:rPr>
              <w:t>Output</w:t>
            </w:r>
          </w:p>
        </w:tc>
        <w:tc>
          <w:tcPr>
            <w:tcW w:type="dxa" w:w="7056"/>
            <w:vAlign w:val="center"/>
            <w:tcMar>
              <w:top w:w="70" w:type="dxa"/>
              <w:bottom w:w="70" w:type="dxa"/>
              <w:left w:w="95" w:type="dxa"/>
              <w:right w:w="95" w:type="dxa"/>
            </w:tcMar>
            <w:shd w:fill="E8EDF2"/>
          </w:tcPr>
          <w:p>
            <w:pPr>
              <w:spacing w:after="0" w:line="240" w:lineRule="auto"/>
            </w:pPr>
            <w:r>
              <w:rPr>
                <w:b/>
                <w:sz w:val="20"/>
              </w:rPr>
              <w:t>Contents</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Main run MAT file</w:t>
            </w:r>
          </w:p>
        </w:tc>
        <w:tc>
          <w:tcPr>
            <w:tcW w:type="dxa" w:w="7056"/>
            <w:vAlign w:val="center"/>
            <w:tcMar>
              <w:top w:w="70" w:type="dxa"/>
              <w:bottom w:w="70" w:type="dxa"/>
              <w:left w:w="95" w:type="dxa"/>
              <w:right w:w="95" w:type="dxa"/>
            </w:tcMar>
          </w:tcPr>
          <w:p>
            <w:pPr>
              <w:spacing w:after="0" w:line="240" w:lineRule="auto"/>
            </w:pPr>
            <w:r>
              <w:rPr>
                <w:b w:val="0"/>
                <w:sz w:val="20"/>
              </w:rPr>
              <w:t>Frame order, recorded frame and key timestamps, experiment parameters and playbackTiming diagnostics</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Companion stimulus MAT file</w:t>
            </w:r>
          </w:p>
        </w:tc>
        <w:tc>
          <w:tcPr>
            <w:tcW w:type="dxa" w:w="7056"/>
            <w:vAlign w:val="center"/>
            <w:tcMar>
              <w:top w:w="70" w:type="dxa"/>
              <w:bottom w:w="70" w:type="dxa"/>
              <w:left w:w="95" w:type="dxa"/>
              <w:right w:w="95" w:type="dxa"/>
            </w:tcMar>
          </w:tcPr>
          <w:p>
            <w:pPr>
              <w:spacing w:after="0" w:line="240" w:lineRule="auto"/>
            </w:pPr>
            <w:r>
              <w:rPr>
                <w:b w:val="0"/>
                <w:sz w:val="20"/>
              </w:rPr>
              <w:t>Native 768 × 768 masks and indices, planned frame order, geometry, clipping and calibration metadata</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nominalStimulus</w:t>
            </w:r>
          </w:p>
        </w:tc>
        <w:tc>
          <w:tcPr>
            <w:tcW w:type="dxa" w:w="7056"/>
            <w:vAlign w:val="center"/>
            <w:tcMar>
              <w:top w:w="70" w:type="dxa"/>
              <w:bottom w:w="70" w:type="dxa"/>
              <w:left w:w="95" w:type="dxa"/>
              <w:right w:w="95" w:type="dxa"/>
            </w:tcMar>
          </w:tcPr>
          <w:p>
            <w:pPr>
              <w:spacing w:after="0" w:line="240" w:lineRule="auto"/>
            </w:pPr>
            <w:r>
              <w:rPr>
                <w:b w:val="0"/>
                <w:sz w:val="20"/>
              </w:rPr>
              <w:t>Approximately 308 × 308 × 152; stimulus coverage averaged over each planned 2-second TR</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gazeClippedMaskBank</w:t>
            </w:r>
          </w:p>
        </w:tc>
        <w:tc>
          <w:tcPr>
            <w:tcW w:type="dxa" w:w="7056"/>
            <w:vAlign w:val="center"/>
            <w:tcMar>
              <w:top w:w="70" w:type="dxa"/>
              <w:bottom w:w="70" w:type="dxa"/>
              <w:left w:w="95" w:type="dxa"/>
              <w:right w:w="95" w:type="dxa"/>
            </w:tcMar>
          </w:tcPr>
          <w:p>
            <w:pPr>
              <w:spacing w:after="0" w:line="240" w:lineRule="auto"/>
            </w:pPr>
            <w:r>
              <w:rPr>
                <w:b w:val="0"/>
                <w:sz w:val="20"/>
              </w:rPr>
              <w:t>Resampled masks with screen clipping and the left-coverage boundary applied</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xDVA and yDVA</w:t>
            </w:r>
          </w:p>
        </w:tc>
        <w:tc>
          <w:tcPr>
            <w:tcW w:type="dxa" w:w="7056"/>
            <w:vAlign w:val="center"/>
            <w:tcMar>
              <w:top w:w="70" w:type="dxa"/>
              <w:bottom w:w="70" w:type="dxa"/>
              <w:left w:w="95" w:type="dxa"/>
              <w:right w:w="95" w:type="dxa"/>
            </w:tcMar>
          </w:tcPr>
          <w:p>
            <w:pPr>
              <w:spacing w:after="0" w:line="240" w:lineRule="auto"/>
            </w:pPr>
            <w:r>
              <w:rPr>
                <w:b w:val="0"/>
                <w:sz w:val="20"/>
              </w:rPr>
              <w:t>Fixation-centered angular coordinates; x positive right, y positive up</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visibleAnalysisMask</w:t>
            </w:r>
          </w:p>
        </w:tc>
        <w:tc>
          <w:tcPr>
            <w:tcW w:type="dxa" w:w="7056"/>
            <w:vAlign w:val="center"/>
            <w:tcMar>
              <w:top w:w="70" w:type="dxa"/>
              <w:bottom w:w="70" w:type="dxa"/>
              <w:left w:w="95" w:type="dxa"/>
              <w:right w:w="95" w:type="dxa"/>
            </w:tcMar>
          </w:tcPr>
          <w:p>
            <w:pPr>
              <w:spacing w:after="0" w:line="240" w:lineRule="auto"/>
            </w:pPr>
            <w:r>
              <w:rPr>
                <w:b w:val="0"/>
                <w:sz w:val="20"/>
              </w:rPr>
              <w:t>Visible domain for inspection and optional fitting constraints</w:t>
            </w:r>
          </w:p>
        </w:tc>
      </w:tr>
      <w:tr>
        <w:trPr>
          <w:cantSplit/>
        </w:trPr>
        <w:tc>
          <w:tcPr>
            <w:tcW w:type="dxa" w:w="3024"/>
            <w:vAlign w:val="center"/>
            <w:tcMar>
              <w:top w:w="70" w:type="dxa"/>
              <w:bottom w:w="70" w:type="dxa"/>
              <w:left w:w="95" w:type="dxa"/>
              <w:right w:w="95" w:type="dxa"/>
            </w:tcMar>
          </w:tcPr>
          <w:p>
            <w:pPr>
              <w:spacing w:after="0" w:line="240" w:lineRule="auto"/>
            </w:pPr>
            <w:r>
              <w:rPr>
                <w:b w:val="0"/>
                <w:sz w:val="20"/>
              </w:rPr>
              <w:t>apertureInfo</w:t>
            </w:r>
          </w:p>
        </w:tc>
        <w:tc>
          <w:tcPr>
            <w:tcW w:type="dxa" w:w="7056"/>
            <w:vAlign w:val="center"/>
            <w:tcMar>
              <w:top w:w="70" w:type="dxa"/>
              <w:bottom w:w="70" w:type="dxa"/>
              <w:left w:w="95" w:type="dxa"/>
              <w:right w:w="95" w:type="dxa"/>
            </w:tcMar>
          </w:tcPr>
          <w:p>
            <w:pPr>
              <w:spacing w:after="0" w:line="240" w:lineRule="auto"/>
            </w:pPr>
            <w:r>
              <w:rPr>
                <w:b w:val="0"/>
                <w:sz w:val="20"/>
              </w:rPr>
              <w:t>Analysis pixels per degree, screen and canvas dimensions, TR and timing basis</w:t>
            </w:r>
          </w:p>
        </w:tc>
      </w:tr>
    </w:tbl>
    <w:p>
      <w:r>
        <w:t>The analysis origin is fixation at (0°, 0°). Do not apply the screen-center fixation offset a second time. Unseen regions have zero stimulus coverage, and blank padding and rests are included in the movie. Analysis sampling targets approximately 0.1° per pixel; the canvas size currently gives a 308 × 308 grid.</w:t>
      </w:r>
    </w:p>
    <w:p>
      <w:pPr>
        <w:pStyle w:val="Heading1"/>
      </w:pPr>
      <w:r>
        <w:t>Timing verification and limits</w:t>
      </w:r>
    </w:p>
    <w:p>
      <w:r>
        <w:t>Dedicated playback uses absolute deadlines anchored to the first movie onset and holds the final frame through the planned run duration. The log saves target times, actual flip timing errors, late-frame counts and a timing pass/fail flag. Confirm an actual duration near 304 seconds and review late-frame and glitch counts before accepting the run.</w:t>
      </w:r>
    </w:p>
    <w:p>
      <w:r>
        <w:t>The exported nominalStimulus uses the planned schedule. Reconstruction from actual presentation timestamps has not been added. If timing fails, the nominal movie must not be assumed to match the acquired data.</w:t>
      </w:r>
    </w:p>
    <w:p>
      <w:r>
        <w:t>The smaller canvas reduces unused analysis area, but analyzePRF itself has not been changed to prohibit fitted pRF centers outside the visible field. A broad pRF can also extend beyond the screen. A visible-domain center constraint would require a separate analysis change.</w:t>
      </w:r>
    </w:p>
    <w:p>
      <w:pPr>
        <w:pStyle w:val="Heading1"/>
      </w:pPr>
      <w:r>
        <w:t>Automatic settings and future changes</w:t>
      </w:r>
    </w:p>
    <w:p>
      <w:r>
        <w:t>Screen geometry, fixation and left coverage determine the canvas automatically. Bar width follows one eighth of visible horizontal width. Sweep durations and padding are recalculated from the resulting masks, while analysis resolution follows the requested degrees-per-pixel scale. The current common speed was optimized for this geometry; a new geometry requires a new padding search. Existing saved stimulus files are not retroactively updated.</w:t>
      </w:r>
    </w:p>
    <w:p>
      <w:r>
        <w:t>Design reference: Benson et al. (2018), The Human Connectome Project 7 Tesla retinotopy dataset, Journal of Vision, 18(13), 23. The original protocol reports about 3.11 seconds of exposure per point. https://doi.org/10.1167/18.13.23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Current pRF bar mapping design</dc:title>
  <dc:subject>Stimulus geometry timing and fitting inputs</dc:subject>
  <dc:creator>TseLab</dc:creator>
  <cp:keywords/>
  <dc:description>generated by python-docx</dc:description>
  <cp:lastModifiedBy/>
  <cp:revision>1</cp:revision>
  <dcterms:created xsi:type="dcterms:W3CDTF">2013-12-23T23:15:00Z</dcterms:created>
  <dcterms:modified xsi:type="dcterms:W3CDTF">2013-12-23T23:15:00Z</dcterms:modified>
  <cp:category/>
</cp:coreProperties>
</file>