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Christopher Steinhacker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5OKhNOlkWxITp5NrcwWkQdfuxw==">AMUW2mWx+0VY3KNpMZqK3+XZEUdaot0i14XmPynv12/Yym8M1/2l2GVp7XfjomOc68RaSAX/yX7CxUjohwZ+EOR7etgX1nQHtnV2PBKBWIZy6l75cixZEtaWP06itEaFaZ3Sq51DA8ZFOEy6ILL4QRUPYvGUqKrDrQ==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