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BD0F06" w14:textId="77777777" w:rsidR="008D3DA4" w:rsidRDefault="005359AF" w:rsidP="004243C1">
      <w:pPr>
        <w:jc w:val="center"/>
        <w:rPr>
          <w:lang w:val="en-GB"/>
        </w:rPr>
      </w:pPr>
      <w:r w:rsidRPr="00725117">
        <w:rPr>
          <w:rFonts w:ascii="Calibri" w:hAnsi="Calibri" w:cs="Calibri"/>
          <w:b/>
          <w:bCs/>
          <w:color w:val="000000"/>
          <w:sz w:val="28"/>
          <w:szCs w:val="28"/>
          <w:lang w:val="en-GB"/>
        </w:rPr>
        <w:t xml:space="preserve">Mozambique – HDDS </w:t>
      </w:r>
      <w:r w:rsidR="008D3DA4">
        <w:rPr>
          <w:rFonts w:ascii="Calibri" w:hAnsi="Calibri" w:cs="Calibri"/>
          <w:b/>
          <w:bCs/>
          <w:color w:val="000000"/>
          <w:sz w:val="28"/>
          <w:szCs w:val="28"/>
          <w:lang w:val="en-GB"/>
        </w:rPr>
        <w:t>Modality</w:t>
      </w:r>
      <w:r w:rsidR="004243C1">
        <w:rPr>
          <w:rFonts w:ascii="Calibri" w:hAnsi="Calibri" w:cs="Calibri"/>
          <w:b/>
          <w:bCs/>
          <w:color w:val="000000"/>
          <w:sz w:val="28"/>
          <w:szCs w:val="28"/>
          <w:lang w:val="en-GB"/>
        </w:rPr>
        <w:t xml:space="preserve"> Comparison</w:t>
      </w:r>
    </w:p>
    <w:p w14:paraId="64F64DB1" w14:textId="402634FD" w:rsidR="00DE0B7A" w:rsidRDefault="007E5D1D" w:rsidP="007E5D1D">
      <w:pPr>
        <w:jc w:val="both"/>
      </w:pPr>
      <w:r>
        <w:t xml:space="preserve">The Household Dietary Diversity Score (HDDS) </w:t>
      </w:r>
      <w:r w:rsidR="00DE0B7A">
        <w:t xml:space="preserve">is an international </w:t>
      </w:r>
      <w:r>
        <w:t>proxy measure of</w:t>
      </w:r>
      <w:r w:rsidR="00607451">
        <w:t xml:space="preserve"> </w:t>
      </w:r>
      <w:r w:rsidR="00DE0B7A">
        <w:t>household’s socio-economic status</w:t>
      </w:r>
      <w:r w:rsidR="00607451">
        <w:t>.</w:t>
      </w:r>
    </w:p>
    <w:p w14:paraId="580F6A86" w14:textId="0113F5B9" w:rsidR="007E5D1D" w:rsidRDefault="00DE0B7A" w:rsidP="007E5D1D">
      <w:pPr>
        <w:jc w:val="both"/>
      </w:pPr>
      <w:r>
        <w:t xml:space="preserve">In order to validate this indicator for remote mobile-based data collection, </w:t>
      </w:r>
      <w:r w:rsidR="003241B2">
        <w:t>WFP</w:t>
      </w:r>
      <w:r>
        <w:t>’s Vulnerabi</w:t>
      </w:r>
      <w:bookmarkStart w:id="0" w:name="_GoBack"/>
      <w:bookmarkEnd w:id="0"/>
      <w:r>
        <w:t xml:space="preserve">lity Analysis and Mapping (mVAM) team </w:t>
      </w:r>
      <w:r w:rsidR="003241B2">
        <w:t>tested</w:t>
      </w:r>
      <w:r w:rsidR="007E5D1D">
        <w:t xml:space="preserve"> the feasibility of collecting </w:t>
      </w:r>
      <w:r w:rsidR="003241B2">
        <w:t>the HDDS indicator</w:t>
      </w:r>
      <w:r w:rsidR="007E5D1D">
        <w:t xml:space="preserve"> using </w:t>
      </w:r>
      <w:r w:rsidR="00C06302">
        <w:t xml:space="preserve">the </w:t>
      </w:r>
      <w:r>
        <w:t>Computer-Assisted Telephone Interviewing (CATI) method</w:t>
      </w:r>
      <w:r w:rsidR="00607451">
        <w:t xml:space="preserve"> </w:t>
      </w:r>
      <w:r w:rsidR="007E5D1D">
        <w:t xml:space="preserve">in Mozambique. </w:t>
      </w:r>
      <w:r>
        <w:t xml:space="preserve"> The data for this study was collected in June – July 2017 from two provinces in Mozambique – Gaza and Inhambane. </w:t>
      </w:r>
    </w:p>
    <w:p w14:paraId="62766DBF" w14:textId="698EF024" w:rsidR="005D38ED" w:rsidRDefault="00543EA2" w:rsidP="00DD460F">
      <w:r>
        <w:t xml:space="preserve">In order to test </w:t>
      </w:r>
      <w:r w:rsidR="004725D5">
        <w:t>if respondent</w:t>
      </w:r>
      <w:r>
        <w:t>s’</w:t>
      </w:r>
      <w:r w:rsidR="004725D5">
        <w:t xml:space="preserve"> answers</w:t>
      </w:r>
      <w:r w:rsidR="00A6712F">
        <w:t xml:space="preserve"> </w:t>
      </w:r>
      <w:r w:rsidR="004725D5">
        <w:t>change</w:t>
      </w:r>
      <w:r w:rsidR="00C06302">
        <w:t>d</w:t>
      </w:r>
      <w:r w:rsidR="004725D5">
        <w:t xml:space="preserve"> </w:t>
      </w:r>
      <w:r w:rsidR="008D3DA4">
        <w:t>significantly</w:t>
      </w:r>
      <w:r w:rsidR="004725D5">
        <w:t xml:space="preserve"> depending on the</w:t>
      </w:r>
      <w:r>
        <w:t xml:space="preserve"> mode of</w:t>
      </w:r>
      <w:r w:rsidR="004725D5">
        <w:t xml:space="preserve"> </w:t>
      </w:r>
      <w:r w:rsidR="008D3DA4">
        <w:t xml:space="preserve">data collection </w:t>
      </w:r>
      <w:r w:rsidR="004725D5">
        <w:t>(</w:t>
      </w:r>
      <w:r w:rsidR="00A30371">
        <w:t>face-to-face</w:t>
      </w:r>
      <w:r w:rsidR="004725D5">
        <w:t xml:space="preserve"> </w:t>
      </w:r>
      <w:r w:rsidR="00A6712F">
        <w:t>versus</w:t>
      </w:r>
      <w:r w:rsidR="004243C1">
        <w:t xml:space="preserve"> </w:t>
      </w:r>
      <w:r w:rsidR="004725D5">
        <w:t>CATI)</w:t>
      </w:r>
      <w:r>
        <w:t xml:space="preserve">, </w:t>
      </w:r>
      <w:r w:rsidR="00A6712F">
        <w:t>results</w:t>
      </w:r>
      <w:r w:rsidR="004725D5">
        <w:t xml:space="preserve"> from the</w:t>
      </w:r>
      <w:r w:rsidR="005D38ED" w:rsidRPr="005D38ED">
        <w:t xml:space="preserve"> </w:t>
      </w:r>
      <w:r w:rsidR="005D38ED">
        <w:t xml:space="preserve">annual </w:t>
      </w:r>
      <w:r w:rsidR="00091C63">
        <w:t xml:space="preserve">face-to-face </w:t>
      </w:r>
      <w:r w:rsidR="00A30371">
        <w:t xml:space="preserve">(F2F) </w:t>
      </w:r>
      <w:r w:rsidR="005D38ED">
        <w:t xml:space="preserve">Mozambique </w:t>
      </w:r>
      <w:r w:rsidR="00D12D31" w:rsidRPr="00D12D31">
        <w:t xml:space="preserve">Secretariado Técnico de Segurança </w:t>
      </w:r>
      <w:r w:rsidR="00091C63">
        <w:t xml:space="preserve">Alimentar e Nutricional </w:t>
      </w:r>
      <w:r w:rsidR="004243C1">
        <w:t xml:space="preserve">(SETSAN) </w:t>
      </w:r>
      <w:r w:rsidR="00A6712F">
        <w:t>assessment</w:t>
      </w:r>
      <w:r>
        <w:t xml:space="preserve"> (</w:t>
      </w:r>
      <w:r w:rsidR="00A6712F">
        <w:t>conducted in</w:t>
      </w:r>
      <w:r w:rsidR="00091C63">
        <w:t xml:space="preserve"> June/</w:t>
      </w:r>
      <w:r w:rsidR="005D38ED">
        <w:t>July 2017</w:t>
      </w:r>
      <w:r>
        <w:t>)</w:t>
      </w:r>
      <w:r w:rsidR="005D38ED">
        <w:t xml:space="preserve"> </w:t>
      </w:r>
      <w:r w:rsidR="00A6712F">
        <w:t xml:space="preserve">were compared </w:t>
      </w:r>
      <w:r>
        <w:t>with</w:t>
      </w:r>
      <w:r w:rsidR="00607451">
        <w:t xml:space="preserve"> </w:t>
      </w:r>
      <w:r w:rsidR="00A6712F">
        <w:t xml:space="preserve">results </w:t>
      </w:r>
      <w:r w:rsidR="00C06302">
        <w:t xml:space="preserve">from </w:t>
      </w:r>
      <w:r w:rsidR="00091C63">
        <w:t xml:space="preserve">the </w:t>
      </w:r>
      <w:r>
        <w:t xml:space="preserve">CATI </w:t>
      </w:r>
      <w:r w:rsidR="00DD460F">
        <w:t>survey</w:t>
      </w:r>
      <w:r w:rsidR="00CA30F5">
        <w:t>.</w:t>
      </w:r>
      <w:r w:rsidR="00091C63">
        <w:t xml:space="preserve"> </w:t>
      </w:r>
      <w:r w:rsidR="00A6712F">
        <w:t xml:space="preserve"> </w:t>
      </w:r>
    </w:p>
    <w:p w14:paraId="745D14C5" w14:textId="2B9F736A" w:rsidR="00CA30F5" w:rsidRPr="005D38ED" w:rsidRDefault="00A6712F" w:rsidP="00CA30F5">
      <w:pPr>
        <w:jc w:val="both"/>
      </w:pPr>
      <w:r>
        <w:t>It is important to note that t</w:t>
      </w:r>
      <w:r w:rsidR="005D38ED">
        <w:t>he SETSAN</w:t>
      </w:r>
      <w:r w:rsidR="00D12D31">
        <w:t xml:space="preserve"> assessment</w:t>
      </w:r>
      <w:r w:rsidR="00543EA2">
        <w:t>s were only</w:t>
      </w:r>
      <w:r>
        <w:t xml:space="preserve"> conducted in</w:t>
      </w:r>
      <w:r w:rsidR="004725D5">
        <w:t xml:space="preserve"> rural areas</w:t>
      </w:r>
      <w:r w:rsidR="00C06302">
        <w:t xml:space="preserve">; </w:t>
      </w:r>
      <w:r>
        <w:t>whereas</w:t>
      </w:r>
      <w:r w:rsidR="00C06302">
        <w:t>,</w:t>
      </w:r>
      <w:r>
        <w:t xml:space="preserve"> for</w:t>
      </w:r>
      <w:r w:rsidR="004725D5">
        <w:t xml:space="preserve"> the </w:t>
      </w:r>
      <w:r w:rsidR="0081183D">
        <w:t>CATI</w:t>
      </w:r>
      <w:r w:rsidR="004725D5">
        <w:t xml:space="preserve"> survey, respondents were asked to self-report whether they lived in a</w:t>
      </w:r>
      <w:r w:rsidR="00607451">
        <w:t xml:space="preserve"> rural or urban area</w:t>
      </w:r>
      <w:r w:rsidR="004725D5">
        <w:t xml:space="preserve">. </w:t>
      </w:r>
      <w:r w:rsidR="00B655D5">
        <w:t>Only</w:t>
      </w:r>
      <w:r w:rsidR="004725D5">
        <w:t xml:space="preserve"> those </w:t>
      </w:r>
      <w:r w:rsidR="00B655D5">
        <w:t xml:space="preserve">who </w:t>
      </w:r>
      <w:r w:rsidR="004725D5">
        <w:t xml:space="preserve">self-reported living in a </w:t>
      </w:r>
      <w:r w:rsidR="00607451">
        <w:t>rural area</w:t>
      </w:r>
      <w:r w:rsidR="004725D5">
        <w:t xml:space="preserve"> were included in the test. </w:t>
      </w:r>
    </w:p>
    <w:p w14:paraId="31F2C859" w14:textId="1938D444" w:rsidR="005D38ED" w:rsidRDefault="004725D5" w:rsidP="0081183D">
      <w:pPr>
        <w:jc w:val="both"/>
      </w:pPr>
      <w:r>
        <w:t xml:space="preserve">The </w:t>
      </w:r>
      <w:r w:rsidR="00B7054C">
        <w:t>SETSAN</w:t>
      </w:r>
      <w:r>
        <w:t xml:space="preserve"> sample is 962 respondents</w:t>
      </w:r>
      <w:r w:rsidR="00C06302">
        <w:t>,</w:t>
      </w:r>
      <w:r>
        <w:t xml:space="preserve"> while the </w:t>
      </w:r>
      <w:r w:rsidR="0081183D">
        <w:t>CATI</w:t>
      </w:r>
      <w:r>
        <w:t xml:space="preserve"> sample is 464 respondents. </w:t>
      </w:r>
    </w:p>
    <w:p w14:paraId="49FCBEB2" w14:textId="77777777" w:rsidR="00900EFE" w:rsidRPr="00900EFE" w:rsidRDefault="00900EFE" w:rsidP="00900EFE">
      <w:pPr>
        <w:pStyle w:val="Default"/>
        <w:rPr>
          <w:lang w:val="en-US"/>
        </w:rPr>
      </w:pPr>
    </w:p>
    <w:p w14:paraId="002C8DA2" w14:textId="77777777" w:rsidR="007E5D1D" w:rsidRDefault="006513E5" w:rsidP="007E5D1D">
      <w:pPr>
        <w:pStyle w:val="Default"/>
        <w:jc w:val="both"/>
        <w:rPr>
          <w:rFonts w:ascii="Calibri" w:hAnsi="Calibri" w:cs="Calibri"/>
          <w:b/>
          <w:bCs/>
          <w:sz w:val="28"/>
          <w:szCs w:val="28"/>
        </w:rPr>
      </w:pPr>
      <w:r w:rsidRPr="006513E5">
        <w:rPr>
          <w:rFonts w:ascii="Calibri" w:hAnsi="Calibri" w:cs="Calibri"/>
          <w:b/>
          <w:bCs/>
          <w:sz w:val="28"/>
          <w:szCs w:val="28"/>
        </w:rPr>
        <w:t xml:space="preserve">Structure of the </w:t>
      </w:r>
      <w:r w:rsidR="00BB3FB3">
        <w:rPr>
          <w:rFonts w:ascii="Calibri" w:hAnsi="Calibri" w:cs="Calibri"/>
          <w:b/>
          <w:bCs/>
          <w:sz w:val="28"/>
          <w:szCs w:val="28"/>
        </w:rPr>
        <w:t xml:space="preserve">F2F and mVAM </w:t>
      </w:r>
      <w:r w:rsidRPr="006513E5">
        <w:rPr>
          <w:rFonts w:ascii="Calibri" w:hAnsi="Calibri" w:cs="Calibri"/>
          <w:b/>
          <w:bCs/>
          <w:sz w:val="28"/>
          <w:szCs w:val="28"/>
        </w:rPr>
        <w:t>questionnaire</w:t>
      </w:r>
      <w:r w:rsidR="00BB3FB3">
        <w:rPr>
          <w:rFonts w:ascii="Calibri" w:hAnsi="Calibri" w:cs="Calibri"/>
          <w:b/>
          <w:bCs/>
          <w:sz w:val="28"/>
          <w:szCs w:val="28"/>
        </w:rPr>
        <w:t>s</w:t>
      </w:r>
    </w:p>
    <w:p w14:paraId="48422098" w14:textId="77777777" w:rsidR="00B125BF" w:rsidRPr="000D614A" w:rsidRDefault="00B125BF" w:rsidP="00453C51">
      <w:pPr>
        <w:pStyle w:val="Default"/>
        <w:jc w:val="both"/>
        <w:rPr>
          <w:rFonts w:ascii="Calibri" w:hAnsi="Calibri" w:cs="Calibri"/>
          <w:b/>
          <w:bCs/>
          <w:i/>
        </w:rPr>
      </w:pPr>
      <w:r w:rsidRPr="000D614A">
        <w:rPr>
          <w:rFonts w:ascii="Calibri" w:hAnsi="Calibri" w:cs="Calibri"/>
          <w:b/>
          <w:bCs/>
          <w:i/>
        </w:rPr>
        <w:t xml:space="preserve">Face-to-face Questionnaire </w:t>
      </w:r>
    </w:p>
    <w:p w14:paraId="2BE94F86" w14:textId="7E9B5662" w:rsidR="000704C2" w:rsidRDefault="000704C2" w:rsidP="00453C51">
      <w:pPr>
        <w:jc w:val="both"/>
        <w:rPr>
          <w:noProof/>
          <w:lang w:eastAsia="en-GB"/>
        </w:rPr>
      </w:pPr>
      <w:r>
        <w:rPr>
          <w:noProof/>
          <w:lang w:eastAsia="en-GB"/>
        </w:rPr>
        <w:t xml:space="preserve">SETSAN </w:t>
      </w:r>
      <w:r w:rsidR="002527BB">
        <w:rPr>
          <w:noProof/>
          <w:lang w:eastAsia="en-GB"/>
        </w:rPr>
        <w:t>survey</w:t>
      </w:r>
      <w:r w:rsidR="002E15C9">
        <w:rPr>
          <w:noProof/>
          <w:lang w:eastAsia="en-GB"/>
        </w:rPr>
        <w:t>s are</w:t>
      </w:r>
      <w:r w:rsidR="002527BB">
        <w:rPr>
          <w:noProof/>
          <w:lang w:eastAsia="en-GB"/>
        </w:rPr>
        <w:t xml:space="preserve"> designed to provide data on</w:t>
      </w:r>
      <w:r w:rsidR="00B125BF">
        <w:rPr>
          <w:noProof/>
          <w:lang w:eastAsia="en-GB"/>
        </w:rPr>
        <w:t xml:space="preserve"> the </w:t>
      </w:r>
      <w:r w:rsidR="002527BB">
        <w:rPr>
          <w:noProof/>
          <w:lang w:eastAsia="en-GB"/>
        </w:rPr>
        <w:t>food security and vulnerab</w:t>
      </w:r>
      <w:r>
        <w:rPr>
          <w:noProof/>
          <w:lang w:eastAsia="en-GB"/>
        </w:rPr>
        <w:t>ility situation of rural populat</w:t>
      </w:r>
      <w:r w:rsidR="002527BB">
        <w:rPr>
          <w:noProof/>
          <w:lang w:eastAsia="en-GB"/>
        </w:rPr>
        <w:t>ion</w:t>
      </w:r>
      <w:r w:rsidR="00B125BF">
        <w:rPr>
          <w:noProof/>
          <w:lang w:eastAsia="en-GB"/>
        </w:rPr>
        <w:t>s</w:t>
      </w:r>
      <w:r w:rsidR="002527BB">
        <w:rPr>
          <w:noProof/>
          <w:lang w:eastAsia="en-GB"/>
        </w:rPr>
        <w:t xml:space="preserve"> in Mozambique. The household questionnaire</w:t>
      </w:r>
      <w:r w:rsidR="00B125BF">
        <w:rPr>
          <w:noProof/>
          <w:lang w:eastAsia="en-GB"/>
        </w:rPr>
        <w:t>,</w:t>
      </w:r>
      <w:r w:rsidR="002527BB">
        <w:rPr>
          <w:noProof/>
          <w:lang w:eastAsia="en-GB"/>
        </w:rPr>
        <w:t xml:space="preserve"> which collect</w:t>
      </w:r>
      <w:r w:rsidR="00757C0F">
        <w:rPr>
          <w:noProof/>
          <w:lang w:eastAsia="en-GB"/>
        </w:rPr>
        <w:t>s</w:t>
      </w:r>
      <w:r w:rsidR="002527BB">
        <w:rPr>
          <w:noProof/>
          <w:lang w:eastAsia="en-GB"/>
        </w:rPr>
        <w:t xml:space="preserve"> info</w:t>
      </w:r>
      <w:r w:rsidR="002E15C9">
        <w:rPr>
          <w:noProof/>
          <w:lang w:eastAsia="en-GB"/>
        </w:rPr>
        <w:t>rmation</w:t>
      </w:r>
      <w:r w:rsidR="002527BB">
        <w:rPr>
          <w:noProof/>
          <w:lang w:eastAsia="en-GB"/>
        </w:rPr>
        <w:t xml:space="preserve"> at </w:t>
      </w:r>
      <w:r w:rsidR="00453C51">
        <w:rPr>
          <w:noProof/>
          <w:lang w:eastAsia="en-GB"/>
        </w:rPr>
        <w:t xml:space="preserve">the </w:t>
      </w:r>
      <w:r w:rsidR="002527BB">
        <w:rPr>
          <w:noProof/>
          <w:lang w:eastAsia="en-GB"/>
        </w:rPr>
        <w:t>household level</w:t>
      </w:r>
      <w:r w:rsidR="00453C51">
        <w:rPr>
          <w:noProof/>
          <w:lang w:eastAsia="en-GB"/>
        </w:rPr>
        <w:t>,</w:t>
      </w:r>
      <w:r w:rsidR="00B125BF">
        <w:rPr>
          <w:noProof/>
          <w:lang w:eastAsia="en-GB"/>
        </w:rPr>
        <w:t xml:space="preserve"> </w:t>
      </w:r>
      <w:r w:rsidR="002527BB">
        <w:rPr>
          <w:noProof/>
          <w:lang w:eastAsia="en-GB"/>
        </w:rPr>
        <w:t>include</w:t>
      </w:r>
      <w:r w:rsidR="002E15C9">
        <w:rPr>
          <w:noProof/>
          <w:lang w:eastAsia="en-GB"/>
        </w:rPr>
        <w:t>s</w:t>
      </w:r>
      <w:r w:rsidR="00B125BF">
        <w:rPr>
          <w:noProof/>
          <w:lang w:eastAsia="en-GB"/>
        </w:rPr>
        <w:t xml:space="preserve"> </w:t>
      </w:r>
      <w:r w:rsidR="0023345C">
        <w:rPr>
          <w:noProof/>
          <w:lang w:eastAsia="en-GB"/>
        </w:rPr>
        <w:t xml:space="preserve">many </w:t>
      </w:r>
      <w:r w:rsidR="00757C0F">
        <w:rPr>
          <w:noProof/>
          <w:lang w:eastAsia="en-GB"/>
        </w:rPr>
        <w:t>modules</w:t>
      </w:r>
      <w:r w:rsidR="00B125BF">
        <w:rPr>
          <w:noProof/>
          <w:lang w:eastAsia="en-GB"/>
        </w:rPr>
        <w:t xml:space="preserve"> </w:t>
      </w:r>
      <w:r w:rsidR="0023345C">
        <w:rPr>
          <w:noProof/>
          <w:lang w:eastAsia="en-GB"/>
        </w:rPr>
        <w:t>including</w:t>
      </w:r>
      <w:r w:rsidR="00757C0F">
        <w:rPr>
          <w:noProof/>
          <w:lang w:eastAsia="en-GB"/>
        </w:rPr>
        <w:t xml:space="preserve"> demographic</w:t>
      </w:r>
      <w:r w:rsidR="00B125BF">
        <w:rPr>
          <w:noProof/>
          <w:lang w:eastAsia="en-GB"/>
        </w:rPr>
        <w:t>s</w:t>
      </w:r>
      <w:r w:rsidR="00757C0F">
        <w:rPr>
          <w:noProof/>
          <w:lang w:eastAsia="en-GB"/>
        </w:rPr>
        <w:t>, education</w:t>
      </w:r>
      <w:r w:rsidR="00B125BF">
        <w:rPr>
          <w:noProof/>
          <w:lang w:eastAsia="en-GB"/>
        </w:rPr>
        <w:t xml:space="preserve"> levels</w:t>
      </w:r>
      <w:r w:rsidR="00757C0F">
        <w:rPr>
          <w:noProof/>
          <w:lang w:eastAsia="en-GB"/>
        </w:rPr>
        <w:t xml:space="preserve">, </w:t>
      </w:r>
      <w:r w:rsidR="00B125BF">
        <w:rPr>
          <w:noProof/>
          <w:lang w:eastAsia="en-GB"/>
        </w:rPr>
        <w:t xml:space="preserve">negative </w:t>
      </w:r>
      <w:r w:rsidR="00757C0F">
        <w:rPr>
          <w:noProof/>
          <w:lang w:eastAsia="en-GB"/>
        </w:rPr>
        <w:t xml:space="preserve">coping strategies, </w:t>
      </w:r>
      <w:r w:rsidR="00B125BF">
        <w:rPr>
          <w:noProof/>
          <w:lang w:eastAsia="en-GB"/>
        </w:rPr>
        <w:t xml:space="preserve">household </w:t>
      </w:r>
      <w:r w:rsidR="00757C0F">
        <w:rPr>
          <w:noProof/>
          <w:lang w:eastAsia="en-GB"/>
        </w:rPr>
        <w:t xml:space="preserve">expenditures, agriculture, food consumption, </w:t>
      </w:r>
      <w:r w:rsidR="00B125BF">
        <w:rPr>
          <w:noProof/>
          <w:lang w:eastAsia="en-GB"/>
        </w:rPr>
        <w:t xml:space="preserve">food </w:t>
      </w:r>
      <w:r w:rsidR="00757C0F">
        <w:rPr>
          <w:noProof/>
          <w:lang w:eastAsia="en-GB"/>
        </w:rPr>
        <w:t>assistance</w:t>
      </w:r>
      <w:r w:rsidR="00B125BF">
        <w:rPr>
          <w:noProof/>
          <w:lang w:eastAsia="en-GB"/>
        </w:rPr>
        <w:t>,</w:t>
      </w:r>
      <w:r w:rsidR="00757C0F">
        <w:rPr>
          <w:noProof/>
          <w:lang w:eastAsia="en-GB"/>
        </w:rPr>
        <w:t xml:space="preserve"> and nutrition.</w:t>
      </w:r>
    </w:p>
    <w:p w14:paraId="309C838C" w14:textId="77777777" w:rsidR="00B125BF" w:rsidRPr="000D614A" w:rsidRDefault="00B125BF" w:rsidP="00453C51">
      <w:pPr>
        <w:jc w:val="both"/>
        <w:rPr>
          <w:b/>
          <w:i/>
          <w:noProof/>
          <w:sz w:val="24"/>
          <w:szCs w:val="24"/>
          <w:lang w:eastAsia="en-GB"/>
        </w:rPr>
      </w:pPr>
      <w:r w:rsidRPr="000D614A">
        <w:rPr>
          <w:b/>
          <w:i/>
          <w:noProof/>
          <w:sz w:val="24"/>
          <w:szCs w:val="24"/>
          <w:lang w:eastAsia="en-GB"/>
        </w:rPr>
        <w:t>mVAM Questionnaire</w:t>
      </w:r>
    </w:p>
    <w:p w14:paraId="7F6F70B7" w14:textId="5C1BE706" w:rsidR="005C70AC" w:rsidRDefault="002E15C9" w:rsidP="00453C51">
      <w:pPr>
        <w:jc w:val="both"/>
        <w:rPr>
          <w:noProof/>
          <w:lang w:eastAsia="en-GB"/>
        </w:rPr>
      </w:pPr>
      <w:r>
        <w:rPr>
          <w:noProof/>
          <w:lang w:eastAsia="en-GB"/>
        </w:rPr>
        <w:t>In order t</w:t>
      </w:r>
      <w:r w:rsidR="005C70AC">
        <w:rPr>
          <w:noProof/>
          <w:lang w:eastAsia="en-GB"/>
        </w:rPr>
        <w:t xml:space="preserve">o </w:t>
      </w:r>
      <w:r w:rsidR="00B125BF">
        <w:rPr>
          <w:noProof/>
          <w:lang w:eastAsia="en-GB"/>
        </w:rPr>
        <w:t xml:space="preserve">mitigate </w:t>
      </w:r>
      <w:r>
        <w:rPr>
          <w:noProof/>
          <w:lang w:eastAsia="en-GB"/>
        </w:rPr>
        <w:t xml:space="preserve">any potential </w:t>
      </w:r>
      <w:r w:rsidR="00B125BF">
        <w:rPr>
          <w:noProof/>
          <w:lang w:eastAsia="en-GB"/>
        </w:rPr>
        <w:t xml:space="preserve">biases </w:t>
      </w:r>
      <w:r w:rsidR="005C70AC">
        <w:t xml:space="preserve">between results obtained using the two data collection modes </w:t>
      </w:r>
      <w:r>
        <w:t>(</w:t>
      </w:r>
      <w:r w:rsidR="005C70AC">
        <w:t>F2F and CATI</w:t>
      </w:r>
      <w:r>
        <w:t>)</w:t>
      </w:r>
      <w:r w:rsidR="00453C51">
        <w:t>,</w:t>
      </w:r>
      <w:r w:rsidR="000704C2">
        <w:t xml:space="preserve"> </w:t>
      </w:r>
      <w:r>
        <w:t xml:space="preserve">the questionnaires for CATI and F2F assessment were harmonized. </w:t>
      </w:r>
      <w:r w:rsidR="005C70AC">
        <w:t xml:space="preserve"> </w:t>
      </w:r>
      <w:r>
        <w:t xml:space="preserve">However, </w:t>
      </w:r>
      <w:r w:rsidR="00453C51">
        <w:t xml:space="preserve">the </w:t>
      </w:r>
      <w:r w:rsidR="00A6403E">
        <w:t xml:space="preserve">mVAM </w:t>
      </w:r>
      <w:r w:rsidR="005C70AC">
        <w:t xml:space="preserve">questionnaire </w:t>
      </w:r>
      <w:r w:rsidR="005C70AC">
        <w:rPr>
          <w:noProof/>
          <w:lang w:eastAsia="en-GB"/>
        </w:rPr>
        <w:t>was kept relatevely short</w:t>
      </w:r>
      <w:r w:rsidR="00453C51">
        <w:rPr>
          <w:noProof/>
          <w:lang w:eastAsia="en-GB"/>
        </w:rPr>
        <w:t>, with</w:t>
      </w:r>
      <w:r w:rsidR="00B125BF">
        <w:rPr>
          <w:noProof/>
          <w:lang w:eastAsia="en-GB"/>
        </w:rPr>
        <w:t xml:space="preserve">operators </w:t>
      </w:r>
      <w:r w:rsidR="00453C51">
        <w:rPr>
          <w:noProof/>
          <w:lang w:eastAsia="en-GB"/>
        </w:rPr>
        <w:t xml:space="preserve">taking </w:t>
      </w:r>
      <w:r w:rsidR="00B125BF">
        <w:rPr>
          <w:noProof/>
          <w:lang w:eastAsia="en-GB"/>
        </w:rPr>
        <w:t xml:space="preserve">approximately </w:t>
      </w:r>
      <w:r w:rsidR="005C70AC">
        <w:rPr>
          <w:noProof/>
          <w:lang w:eastAsia="en-GB"/>
        </w:rPr>
        <w:t>10</w:t>
      </w:r>
      <w:r w:rsidR="00B125BF">
        <w:rPr>
          <w:noProof/>
          <w:lang w:eastAsia="en-GB"/>
        </w:rPr>
        <w:t xml:space="preserve"> to</w:t>
      </w:r>
      <w:r w:rsidR="00453C51">
        <w:rPr>
          <w:noProof/>
          <w:lang w:eastAsia="en-GB"/>
        </w:rPr>
        <w:t xml:space="preserve"> </w:t>
      </w:r>
      <w:r w:rsidR="005C70AC">
        <w:rPr>
          <w:noProof/>
          <w:lang w:eastAsia="en-GB"/>
        </w:rPr>
        <w:t xml:space="preserve">15 minutes to complete one survey.  </w:t>
      </w:r>
    </w:p>
    <w:p w14:paraId="71441B08" w14:textId="77777777" w:rsidR="004C0F3A" w:rsidRDefault="005C70AC" w:rsidP="00453C51">
      <w:pPr>
        <w:jc w:val="both"/>
        <w:rPr>
          <w:noProof/>
          <w:lang w:eastAsia="en-GB"/>
        </w:rPr>
      </w:pPr>
      <w:r>
        <w:rPr>
          <w:noProof/>
          <w:lang w:eastAsia="en-GB"/>
        </w:rPr>
        <w:t xml:space="preserve">The </w:t>
      </w:r>
      <w:r w:rsidR="00A6403E">
        <w:rPr>
          <w:noProof/>
          <w:lang w:eastAsia="en-GB"/>
        </w:rPr>
        <w:t xml:space="preserve">mVAM </w:t>
      </w:r>
      <w:r>
        <w:rPr>
          <w:noProof/>
          <w:lang w:eastAsia="en-GB"/>
        </w:rPr>
        <w:t xml:space="preserve">questionnaire </w:t>
      </w:r>
      <w:r w:rsidR="004C0F3A">
        <w:rPr>
          <w:noProof/>
          <w:lang w:eastAsia="en-GB"/>
        </w:rPr>
        <w:t>wa</w:t>
      </w:r>
      <w:r>
        <w:rPr>
          <w:noProof/>
          <w:lang w:eastAsia="en-GB"/>
        </w:rPr>
        <w:t>s divided in</w:t>
      </w:r>
      <w:r w:rsidR="00B125BF">
        <w:rPr>
          <w:noProof/>
          <w:lang w:eastAsia="en-GB"/>
        </w:rPr>
        <w:t>to</w:t>
      </w:r>
      <w:r>
        <w:rPr>
          <w:noProof/>
          <w:lang w:eastAsia="en-GB"/>
        </w:rPr>
        <w:t xml:space="preserve"> three main sections</w:t>
      </w:r>
      <w:r w:rsidR="004C0F3A">
        <w:rPr>
          <w:noProof/>
          <w:lang w:eastAsia="en-GB"/>
        </w:rPr>
        <w:t>:</w:t>
      </w:r>
    </w:p>
    <w:p w14:paraId="5CCDFA2A" w14:textId="77777777" w:rsidR="004C0F3A" w:rsidRDefault="004C0F3A" w:rsidP="00453C51">
      <w:pPr>
        <w:pStyle w:val="ListParagraph"/>
        <w:numPr>
          <w:ilvl w:val="0"/>
          <w:numId w:val="11"/>
        </w:numPr>
        <w:jc w:val="both"/>
        <w:rPr>
          <w:noProof/>
        </w:rPr>
      </w:pPr>
      <w:r w:rsidRPr="00E36021">
        <w:rPr>
          <w:i/>
          <w:noProof/>
        </w:rPr>
        <w:t>Section 1</w:t>
      </w:r>
      <w:r>
        <w:rPr>
          <w:noProof/>
        </w:rPr>
        <w:t xml:space="preserve">: </w:t>
      </w:r>
      <w:r w:rsidR="005C70AC">
        <w:rPr>
          <w:noProof/>
        </w:rPr>
        <w:t>contain</w:t>
      </w:r>
      <w:r>
        <w:rPr>
          <w:noProof/>
        </w:rPr>
        <w:t>ed</w:t>
      </w:r>
      <w:r w:rsidR="005C70AC">
        <w:rPr>
          <w:noProof/>
        </w:rPr>
        <w:t xml:space="preserve"> questions on household demographics</w:t>
      </w:r>
      <w:r w:rsidR="00E43032">
        <w:rPr>
          <w:noProof/>
        </w:rPr>
        <w:t xml:space="preserve"> and </w:t>
      </w:r>
      <w:r w:rsidR="00A6403E">
        <w:rPr>
          <w:noProof/>
        </w:rPr>
        <w:t>location</w:t>
      </w:r>
      <w:r w:rsidR="00E43032">
        <w:rPr>
          <w:noProof/>
        </w:rPr>
        <w:t xml:space="preserve">. </w:t>
      </w:r>
    </w:p>
    <w:p w14:paraId="65030BA0" w14:textId="357AB655" w:rsidR="00A6403E" w:rsidRDefault="004C0F3A" w:rsidP="00453C51">
      <w:pPr>
        <w:pStyle w:val="ListParagraph"/>
        <w:numPr>
          <w:ilvl w:val="0"/>
          <w:numId w:val="11"/>
        </w:numPr>
        <w:jc w:val="both"/>
        <w:rPr>
          <w:noProof/>
        </w:rPr>
      </w:pPr>
      <w:r w:rsidRPr="00E36021">
        <w:rPr>
          <w:i/>
          <w:noProof/>
        </w:rPr>
        <w:t>Sections 2 and 3</w:t>
      </w:r>
      <w:r>
        <w:rPr>
          <w:noProof/>
        </w:rPr>
        <w:t xml:space="preserve">: </w:t>
      </w:r>
      <w:r w:rsidR="005C70AC">
        <w:rPr>
          <w:noProof/>
        </w:rPr>
        <w:t>contain</w:t>
      </w:r>
      <w:r>
        <w:rPr>
          <w:noProof/>
        </w:rPr>
        <w:t>ed</w:t>
      </w:r>
      <w:r w:rsidR="005C70AC">
        <w:rPr>
          <w:noProof/>
        </w:rPr>
        <w:t xml:space="preserve"> questions on </w:t>
      </w:r>
      <w:r w:rsidR="00A6403E">
        <w:rPr>
          <w:noProof/>
        </w:rPr>
        <w:t xml:space="preserve">household food consumption, </w:t>
      </w:r>
      <w:r w:rsidR="005C70AC">
        <w:rPr>
          <w:noProof/>
        </w:rPr>
        <w:t>coping strategies used</w:t>
      </w:r>
      <w:r w:rsidR="00A6403E">
        <w:rPr>
          <w:noProof/>
        </w:rPr>
        <w:t xml:space="preserve">, shocks faced </w:t>
      </w:r>
      <w:r w:rsidR="00E43032">
        <w:rPr>
          <w:noProof/>
        </w:rPr>
        <w:t>by the household</w:t>
      </w:r>
      <w:r w:rsidR="00BB3FB3">
        <w:rPr>
          <w:noProof/>
        </w:rPr>
        <w:t>s</w:t>
      </w:r>
      <w:r w:rsidR="00453C51">
        <w:rPr>
          <w:noProof/>
        </w:rPr>
        <w:t>,</w:t>
      </w:r>
      <w:r w:rsidR="00E43032">
        <w:rPr>
          <w:noProof/>
        </w:rPr>
        <w:t xml:space="preserve"> </w:t>
      </w:r>
      <w:r w:rsidR="00A6403E">
        <w:rPr>
          <w:noProof/>
        </w:rPr>
        <w:t xml:space="preserve">and </w:t>
      </w:r>
      <w:r>
        <w:rPr>
          <w:noProof/>
        </w:rPr>
        <w:t xml:space="preserve"> the provision of</w:t>
      </w:r>
      <w:r w:rsidR="00A6403E">
        <w:rPr>
          <w:noProof/>
        </w:rPr>
        <w:t xml:space="preserve"> food assistance</w:t>
      </w:r>
      <w:r w:rsidR="00E43032">
        <w:rPr>
          <w:noProof/>
        </w:rPr>
        <w:t>.</w:t>
      </w:r>
    </w:p>
    <w:p w14:paraId="40E1E852" w14:textId="77777777" w:rsidR="002E15C9" w:rsidRDefault="002E15C9" w:rsidP="00453C51">
      <w:pPr>
        <w:ind w:left="1080"/>
        <w:jc w:val="both"/>
        <w:rPr>
          <w:noProof/>
        </w:rPr>
      </w:pPr>
    </w:p>
    <w:p w14:paraId="359A5A8C" w14:textId="77777777" w:rsidR="007E5D1D" w:rsidRDefault="004C0F3A" w:rsidP="00453C51">
      <w:pPr>
        <w:spacing w:after="0" w:line="240" w:lineRule="auto"/>
        <w:jc w:val="both"/>
        <w:rPr>
          <w:color w:val="000000"/>
        </w:rPr>
      </w:pPr>
      <w:r>
        <w:rPr>
          <w:color w:val="000000"/>
        </w:rPr>
        <w:t xml:space="preserve">Both </w:t>
      </w:r>
      <w:r w:rsidR="00A6403E">
        <w:rPr>
          <w:color w:val="000000"/>
        </w:rPr>
        <w:t xml:space="preserve">phone </w:t>
      </w:r>
      <w:r w:rsidR="00970EC2">
        <w:rPr>
          <w:color w:val="000000"/>
        </w:rPr>
        <w:t xml:space="preserve">and F2F </w:t>
      </w:r>
      <w:r w:rsidR="00A6403E">
        <w:rPr>
          <w:color w:val="000000"/>
        </w:rPr>
        <w:t>interviews were conducted in Portuguese</w:t>
      </w:r>
      <w:r w:rsidR="00970EC2">
        <w:rPr>
          <w:color w:val="000000"/>
        </w:rPr>
        <w:t xml:space="preserve"> and in local languages. </w:t>
      </w:r>
    </w:p>
    <w:p w14:paraId="7D906EA5" w14:textId="77777777" w:rsidR="00CA30F5" w:rsidRDefault="00CA30F5" w:rsidP="00453C51">
      <w:pPr>
        <w:spacing w:after="0" w:line="240" w:lineRule="auto"/>
        <w:jc w:val="both"/>
        <w:rPr>
          <w:color w:val="000000"/>
        </w:rPr>
      </w:pPr>
    </w:p>
    <w:p w14:paraId="28F19C37" w14:textId="77777777" w:rsidR="00CA30F5" w:rsidRDefault="00CA30F5" w:rsidP="00453C51">
      <w:pPr>
        <w:spacing w:after="0" w:line="240" w:lineRule="auto"/>
        <w:jc w:val="both"/>
        <w:rPr>
          <w:color w:val="000000"/>
        </w:rPr>
      </w:pPr>
    </w:p>
    <w:p w14:paraId="5802AF96" w14:textId="77777777" w:rsidR="00CA30F5" w:rsidRDefault="00CA30F5" w:rsidP="00453C51">
      <w:pPr>
        <w:spacing w:after="0" w:line="240" w:lineRule="auto"/>
        <w:jc w:val="both"/>
        <w:rPr>
          <w:color w:val="000000"/>
        </w:rPr>
      </w:pPr>
    </w:p>
    <w:p w14:paraId="7A1703E0" w14:textId="77777777" w:rsidR="00CA30F5" w:rsidRDefault="00CA30F5" w:rsidP="00453C51">
      <w:pPr>
        <w:spacing w:after="0" w:line="240" w:lineRule="auto"/>
        <w:jc w:val="both"/>
        <w:rPr>
          <w:color w:val="000000"/>
        </w:rPr>
      </w:pPr>
    </w:p>
    <w:p w14:paraId="5FFCA847" w14:textId="77777777" w:rsidR="00CA30F5" w:rsidRDefault="00CA30F5" w:rsidP="00453C51">
      <w:pPr>
        <w:spacing w:after="0" w:line="240" w:lineRule="auto"/>
        <w:jc w:val="both"/>
        <w:rPr>
          <w:color w:val="000000"/>
        </w:rPr>
      </w:pPr>
    </w:p>
    <w:p w14:paraId="7AD08807" w14:textId="77777777" w:rsidR="008435B5" w:rsidRDefault="008435B5" w:rsidP="00453C51">
      <w:pPr>
        <w:jc w:val="both"/>
        <w:rPr>
          <w:rFonts w:ascii="Calibri" w:hAnsi="Calibri" w:cs="Calibri"/>
          <w:b/>
          <w:bCs/>
          <w:color w:val="000000"/>
          <w:sz w:val="28"/>
          <w:szCs w:val="28"/>
          <w:lang w:val="en-GB"/>
        </w:rPr>
      </w:pPr>
      <w:r>
        <w:rPr>
          <w:rFonts w:ascii="Calibri" w:hAnsi="Calibri" w:cs="Calibri"/>
          <w:b/>
          <w:bCs/>
          <w:color w:val="000000"/>
          <w:sz w:val="28"/>
          <w:szCs w:val="28"/>
          <w:lang w:val="en-GB"/>
        </w:rPr>
        <w:lastRenderedPageBreak/>
        <w:t xml:space="preserve">The Household Dietary Diversity Score (HDDS) </w:t>
      </w:r>
    </w:p>
    <w:p w14:paraId="2CFF6563" w14:textId="5419DCB3" w:rsidR="008435B5" w:rsidRDefault="00F06E06" w:rsidP="00453C51">
      <w:pPr>
        <w:jc w:val="both"/>
        <w:rPr>
          <w:rFonts w:ascii="Calibri" w:hAnsi="Calibri" w:cs="Calibri"/>
          <w:b/>
          <w:bCs/>
          <w:color w:val="000000"/>
          <w:sz w:val="28"/>
          <w:szCs w:val="28"/>
          <w:lang w:val="en-GB"/>
        </w:rPr>
      </w:pPr>
      <w:r>
        <w:t>The HDDS is used as a proxy measure of the socioeconomic level of the household. HDDS ideally looks at the number of 12 unique food groups (cereals</w:t>
      </w:r>
      <w:r w:rsidR="00E36021">
        <w:t xml:space="preserve"> and grains;</w:t>
      </w:r>
      <w:r>
        <w:t xml:space="preserve"> roots and tubers</w:t>
      </w:r>
      <w:r w:rsidR="00A30371">
        <w:t>;</w:t>
      </w:r>
      <w:r>
        <w:t xml:space="preserve"> vegetables</w:t>
      </w:r>
      <w:r w:rsidR="00E36021">
        <w:t xml:space="preserve"> and leaves</w:t>
      </w:r>
      <w:r w:rsidR="00A30371">
        <w:t>;</w:t>
      </w:r>
      <w:r>
        <w:t xml:space="preserve"> fruits</w:t>
      </w:r>
      <w:r w:rsidR="00A30371">
        <w:t>;</w:t>
      </w:r>
      <w:r>
        <w:t xml:space="preserve"> meat/poultry/offal</w:t>
      </w:r>
      <w:r w:rsidR="00A30371">
        <w:t>;</w:t>
      </w:r>
      <w:r>
        <w:t xml:space="preserve"> eggs</w:t>
      </w:r>
      <w:r w:rsidR="00E36021">
        <w:t xml:space="preserve">; </w:t>
      </w:r>
      <w:r>
        <w:t>fish</w:t>
      </w:r>
      <w:r w:rsidR="00A30371">
        <w:t>/</w:t>
      </w:r>
      <w:r>
        <w:t>seafood</w:t>
      </w:r>
      <w:r w:rsidR="00A30371">
        <w:t>;</w:t>
      </w:r>
      <w:r>
        <w:t xml:space="preserve"> pulses/legumes/nuts</w:t>
      </w:r>
      <w:r w:rsidR="00A30371">
        <w:t>;</w:t>
      </w:r>
      <w:r>
        <w:t xml:space="preserve"> milk/milk products</w:t>
      </w:r>
      <w:r w:rsidR="00A30371">
        <w:t>;</w:t>
      </w:r>
      <w:r>
        <w:t xml:space="preserve"> oil/fats</w:t>
      </w:r>
      <w:r w:rsidR="00A30371">
        <w:t>;</w:t>
      </w:r>
      <w:r>
        <w:t xml:space="preserve"> sugar/honey</w:t>
      </w:r>
      <w:r w:rsidR="00A30371">
        <w:t>;</w:t>
      </w:r>
      <w:r>
        <w:t xml:space="preserve"> and miscellaneous) consumed by household members </w:t>
      </w:r>
      <w:r w:rsidR="00490411">
        <w:t>in the home</w:t>
      </w:r>
      <w:r w:rsidR="00E24992">
        <w:t xml:space="preserve"> </w:t>
      </w:r>
      <w:r w:rsidR="00490411">
        <w:t xml:space="preserve">or outside the home </w:t>
      </w:r>
      <w:r w:rsidR="00AE0B54">
        <w:t xml:space="preserve">and </w:t>
      </w:r>
      <w:r w:rsidR="00490411">
        <w:t xml:space="preserve">that were prepared over </w:t>
      </w:r>
      <w:r>
        <w:t>a 24</w:t>
      </w:r>
      <w:r w:rsidR="00AE0B54">
        <w:t>-</w:t>
      </w:r>
      <w:r>
        <w:t>hour period. Studies have shown that HDDS is a useful a</w:t>
      </w:r>
      <w:r w:rsidR="00490411">
        <w:t xml:space="preserve">pproach for measuring </w:t>
      </w:r>
      <w:r>
        <w:t xml:space="preserve">the household’s ability to acquire sufficient </w:t>
      </w:r>
      <w:r w:rsidR="00AE0B54">
        <w:t xml:space="preserve">a </w:t>
      </w:r>
      <w:r>
        <w:t>quality and quantity of food to meet the nutritional requirements for their productive lives.</w:t>
      </w:r>
    </w:p>
    <w:p w14:paraId="5CE14FB8" w14:textId="77777777" w:rsidR="00F06E06" w:rsidRDefault="00F06E06" w:rsidP="00453C51">
      <w:pPr>
        <w:jc w:val="both"/>
        <w:rPr>
          <w:rFonts w:ascii="Calibri" w:hAnsi="Calibri" w:cs="Calibri"/>
          <w:b/>
          <w:bCs/>
          <w:color w:val="000000"/>
          <w:sz w:val="28"/>
          <w:szCs w:val="28"/>
          <w:lang w:val="en-GB"/>
        </w:rPr>
      </w:pPr>
    </w:p>
    <w:p w14:paraId="4ABC2DFE" w14:textId="77777777" w:rsidR="00CA30F5" w:rsidRDefault="00F85537" w:rsidP="00453C51">
      <w:pPr>
        <w:jc w:val="both"/>
        <w:rPr>
          <w:rFonts w:ascii="Calibri" w:hAnsi="Calibri" w:cs="Calibri"/>
          <w:b/>
          <w:bCs/>
          <w:color w:val="000000"/>
          <w:sz w:val="28"/>
          <w:szCs w:val="28"/>
          <w:lang w:val="en-GB"/>
        </w:rPr>
      </w:pPr>
      <w:r>
        <w:rPr>
          <w:rFonts w:ascii="Calibri" w:hAnsi="Calibri" w:cs="Calibri"/>
          <w:b/>
          <w:bCs/>
          <w:color w:val="000000"/>
          <w:sz w:val="28"/>
          <w:szCs w:val="28"/>
          <w:lang w:val="en-GB"/>
        </w:rPr>
        <w:t>O</w:t>
      </w:r>
      <w:r w:rsidR="0037305B" w:rsidRPr="0037305B">
        <w:rPr>
          <w:rFonts w:ascii="Calibri" w:hAnsi="Calibri" w:cs="Calibri"/>
          <w:b/>
          <w:bCs/>
          <w:i/>
          <w:iCs/>
          <w:color w:val="000000"/>
          <w:sz w:val="28"/>
          <w:szCs w:val="28"/>
          <w:lang w:val="en-GB"/>
        </w:rPr>
        <w:t>pen</w:t>
      </w:r>
      <w:r>
        <w:rPr>
          <w:rFonts w:ascii="Calibri" w:hAnsi="Calibri" w:cs="Calibri"/>
          <w:b/>
          <w:bCs/>
          <w:color w:val="000000"/>
          <w:sz w:val="28"/>
          <w:szCs w:val="28"/>
          <w:lang w:val="en-GB"/>
        </w:rPr>
        <w:t xml:space="preserve"> v</w:t>
      </w:r>
      <w:r w:rsidR="004C0F3A">
        <w:rPr>
          <w:rFonts w:ascii="Calibri" w:hAnsi="Calibri" w:cs="Calibri"/>
          <w:b/>
          <w:bCs/>
          <w:color w:val="000000"/>
          <w:sz w:val="28"/>
          <w:szCs w:val="28"/>
          <w:lang w:val="en-GB"/>
        </w:rPr>
        <w:t>ersu</w:t>
      </w:r>
      <w:r>
        <w:rPr>
          <w:rFonts w:ascii="Calibri" w:hAnsi="Calibri" w:cs="Calibri"/>
          <w:b/>
          <w:bCs/>
          <w:color w:val="000000"/>
          <w:sz w:val="28"/>
          <w:szCs w:val="28"/>
          <w:lang w:val="en-GB"/>
        </w:rPr>
        <w:t>s</w:t>
      </w:r>
      <w:r w:rsidR="0037305B">
        <w:rPr>
          <w:rFonts w:ascii="Calibri" w:hAnsi="Calibri" w:cs="Calibri"/>
          <w:b/>
          <w:bCs/>
          <w:color w:val="000000"/>
          <w:sz w:val="28"/>
          <w:szCs w:val="28"/>
          <w:lang w:val="en-GB"/>
        </w:rPr>
        <w:t xml:space="preserve"> </w:t>
      </w:r>
      <w:r w:rsidR="0037305B" w:rsidRPr="000D614A">
        <w:rPr>
          <w:rFonts w:ascii="Calibri" w:hAnsi="Calibri" w:cs="Calibri"/>
          <w:b/>
          <w:bCs/>
          <w:iCs/>
          <w:color w:val="000000"/>
          <w:sz w:val="28"/>
          <w:szCs w:val="28"/>
          <w:lang w:val="en-GB"/>
        </w:rPr>
        <w:t>list-based</w:t>
      </w:r>
      <w:r w:rsidR="0037305B">
        <w:rPr>
          <w:rFonts w:ascii="Calibri" w:hAnsi="Calibri" w:cs="Calibri"/>
          <w:b/>
          <w:bCs/>
          <w:color w:val="000000"/>
          <w:sz w:val="28"/>
          <w:szCs w:val="28"/>
          <w:lang w:val="en-GB"/>
        </w:rPr>
        <w:t xml:space="preserve"> </w:t>
      </w:r>
      <w:r>
        <w:rPr>
          <w:rFonts w:ascii="Calibri" w:hAnsi="Calibri" w:cs="Calibri"/>
          <w:b/>
          <w:bCs/>
          <w:color w:val="000000"/>
          <w:sz w:val="28"/>
          <w:szCs w:val="28"/>
          <w:lang w:val="en-GB"/>
        </w:rPr>
        <w:t>approach</w:t>
      </w:r>
      <w:r w:rsidR="0037305B" w:rsidRPr="0037305B">
        <w:rPr>
          <w:rFonts w:ascii="Calibri" w:hAnsi="Calibri" w:cs="Calibri"/>
          <w:b/>
          <w:bCs/>
          <w:color w:val="000000"/>
          <w:sz w:val="28"/>
          <w:szCs w:val="28"/>
          <w:lang w:val="en-GB"/>
        </w:rPr>
        <w:t xml:space="preserve"> in the </w:t>
      </w:r>
      <w:r w:rsidR="00292B8D">
        <w:rPr>
          <w:rFonts w:ascii="Calibri" w:hAnsi="Calibri" w:cs="Calibri"/>
          <w:b/>
          <w:bCs/>
          <w:color w:val="000000"/>
          <w:sz w:val="28"/>
          <w:szCs w:val="28"/>
          <w:lang w:val="en-GB"/>
        </w:rPr>
        <w:t xml:space="preserve">rural </w:t>
      </w:r>
      <w:r w:rsidR="00725C6F">
        <w:rPr>
          <w:rFonts w:ascii="Calibri" w:hAnsi="Calibri" w:cs="Calibri"/>
          <w:b/>
          <w:bCs/>
          <w:color w:val="000000"/>
          <w:sz w:val="28"/>
          <w:szCs w:val="28"/>
          <w:lang w:val="en-GB"/>
        </w:rPr>
        <w:t>CATI</w:t>
      </w:r>
      <w:r w:rsidR="0037305B" w:rsidRPr="0037305B">
        <w:rPr>
          <w:rFonts w:ascii="Calibri" w:hAnsi="Calibri" w:cs="Calibri"/>
          <w:b/>
          <w:bCs/>
          <w:color w:val="000000"/>
          <w:sz w:val="28"/>
          <w:szCs w:val="28"/>
          <w:lang w:val="en-GB"/>
        </w:rPr>
        <w:t xml:space="preserve"> data</w:t>
      </w:r>
    </w:p>
    <w:p w14:paraId="303D558C" w14:textId="77777777" w:rsidR="00CA30F5" w:rsidRDefault="00CA30F5" w:rsidP="00453C51">
      <w:pPr>
        <w:jc w:val="both"/>
        <w:rPr>
          <w:rFonts w:cs="Calibri"/>
          <w:color w:val="000000"/>
        </w:rPr>
      </w:pPr>
      <w:r w:rsidRPr="00CA30F5">
        <w:rPr>
          <w:rFonts w:cs="Calibri"/>
          <w:color w:val="000000"/>
        </w:rPr>
        <w:t xml:space="preserve"> </w:t>
      </w:r>
      <w:r>
        <w:rPr>
          <w:rFonts w:cs="Calibri"/>
          <w:color w:val="000000"/>
        </w:rPr>
        <w:t xml:space="preserve">Two different methods were used to collect HDDS with CATI: </w:t>
      </w:r>
      <w:r w:rsidRPr="00A610FD">
        <w:rPr>
          <w:rFonts w:cs="Calibri"/>
          <w:i/>
          <w:color w:val="000000"/>
        </w:rPr>
        <w:t>open recall and list-based</w:t>
      </w:r>
      <w:r>
        <w:rPr>
          <w:rFonts w:cs="Calibri"/>
          <w:color w:val="000000"/>
        </w:rPr>
        <w:t xml:space="preserve">. </w:t>
      </w:r>
    </w:p>
    <w:p w14:paraId="3C07A165" w14:textId="77777777" w:rsidR="00607451" w:rsidRPr="0078335C" w:rsidRDefault="00607451" w:rsidP="00453C51">
      <w:pPr>
        <w:jc w:val="both"/>
        <w:rPr>
          <w:rFonts w:ascii="Calibri" w:hAnsi="Calibri" w:cs="Calibri"/>
          <w:b/>
          <w:bCs/>
          <w:sz w:val="28"/>
          <w:szCs w:val="28"/>
        </w:rPr>
      </w:pPr>
      <w:r w:rsidRPr="0078335C">
        <w:rPr>
          <w:rFonts w:ascii="Calibri" w:hAnsi="Calibri" w:cs="Calibri"/>
          <w:b/>
          <w:bCs/>
          <w:sz w:val="28"/>
          <w:szCs w:val="28"/>
        </w:rPr>
        <w:t>Introduction to the methods of the HDDS data collection in the CATI survey</w:t>
      </w:r>
    </w:p>
    <w:p w14:paraId="0BC768C0" w14:textId="77777777" w:rsidR="00607451" w:rsidRDefault="00607451" w:rsidP="00453C51">
      <w:pPr>
        <w:pStyle w:val="Pa41"/>
        <w:spacing w:before="160" w:after="60"/>
        <w:ind w:left="360"/>
        <w:jc w:val="both"/>
        <w:rPr>
          <w:rFonts w:cs="Calibri"/>
          <w:color w:val="000000"/>
          <w:sz w:val="25"/>
          <w:szCs w:val="25"/>
        </w:rPr>
      </w:pPr>
      <w:r>
        <w:rPr>
          <w:rFonts w:cs="Calibri"/>
          <w:b/>
          <w:bCs/>
          <w:color w:val="000000"/>
          <w:sz w:val="25"/>
          <w:szCs w:val="25"/>
        </w:rPr>
        <w:t xml:space="preserve">OPEN RECALL METHOD </w:t>
      </w:r>
    </w:p>
    <w:p w14:paraId="7C0A450B" w14:textId="430DFDC3" w:rsidR="00607451" w:rsidRPr="00ED0E90" w:rsidRDefault="00607451" w:rsidP="00453C51">
      <w:pPr>
        <w:pStyle w:val="Pa8"/>
        <w:spacing w:after="140"/>
        <w:ind w:left="450"/>
        <w:jc w:val="both"/>
        <w:rPr>
          <w:rFonts w:cs="Calibri"/>
          <w:color w:val="000000"/>
          <w:sz w:val="22"/>
          <w:szCs w:val="22"/>
        </w:rPr>
      </w:pPr>
      <w:r>
        <w:rPr>
          <w:rFonts w:cs="Calibri"/>
          <w:color w:val="000000"/>
          <w:sz w:val="22"/>
          <w:szCs w:val="22"/>
        </w:rPr>
        <w:t xml:space="preserve">The open-recall method helps respondents to better recall all foods and beverages consumed the previous day and night by simply asking them to recall food items consumed the previous day. </w:t>
      </w:r>
      <w:r w:rsidR="006A5290">
        <w:rPr>
          <w:rFonts w:cs="Calibri"/>
          <w:color w:val="000000"/>
          <w:sz w:val="22"/>
          <w:szCs w:val="22"/>
        </w:rPr>
        <w:t>I</w:t>
      </w:r>
      <w:r w:rsidRPr="00757C0F">
        <w:rPr>
          <w:rFonts w:cs="Calibri"/>
          <w:color w:val="000000"/>
          <w:sz w:val="22"/>
          <w:szCs w:val="22"/>
        </w:rPr>
        <w:t>t also probes</w:t>
      </w:r>
      <w:r>
        <w:rPr>
          <w:rFonts w:cs="Calibri"/>
          <w:color w:val="000000"/>
          <w:sz w:val="22"/>
          <w:szCs w:val="22"/>
        </w:rPr>
        <w:t xml:space="preserve"> for main ingredients in mixed dishes (i.e., if someone says they ate “soup</w:t>
      </w:r>
      <w:r w:rsidR="006A5290">
        <w:rPr>
          <w:rFonts w:cs="Calibri"/>
          <w:color w:val="000000"/>
          <w:sz w:val="22"/>
          <w:szCs w:val="22"/>
        </w:rPr>
        <w:t xml:space="preserve">, </w:t>
      </w:r>
      <w:r>
        <w:rPr>
          <w:rFonts w:cs="Calibri"/>
          <w:color w:val="000000"/>
          <w:sz w:val="22"/>
          <w:szCs w:val="22"/>
        </w:rPr>
        <w:t>the interviewer asks the respondent to explain the key ingredients in the dish). This approach is called “open,” because operators do not read predefined food group questions to respondents</w:t>
      </w:r>
      <w:r w:rsidR="009C2CC8">
        <w:rPr>
          <w:rFonts w:cs="Calibri"/>
          <w:color w:val="000000"/>
          <w:sz w:val="22"/>
          <w:szCs w:val="22"/>
        </w:rPr>
        <w:t>. Instead they</w:t>
      </w:r>
      <w:r w:rsidR="00E36021">
        <w:rPr>
          <w:rFonts w:cs="Calibri"/>
          <w:color w:val="000000"/>
          <w:sz w:val="22"/>
          <w:szCs w:val="22"/>
        </w:rPr>
        <w:t xml:space="preserve"> </w:t>
      </w:r>
      <w:r>
        <w:rPr>
          <w:rFonts w:cs="Calibri"/>
          <w:color w:val="000000"/>
          <w:sz w:val="22"/>
          <w:szCs w:val="22"/>
        </w:rPr>
        <w:t xml:space="preserve">ask </w:t>
      </w:r>
      <w:r w:rsidRPr="00667CC1">
        <w:rPr>
          <w:rFonts w:asciiTheme="minorHAnsi" w:hAnsiTheme="minorHAnsi"/>
          <w:sz w:val="22"/>
          <w:szCs w:val="22"/>
          <w:lang w:val="en-US"/>
        </w:rPr>
        <w:t xml:space="preserve">what foods were eaten the day before </w:t>
      </w:r>
      <w:r>
        <w:rPr>
          <w:rFonts w:asciiTheme="minorHAnsi" w:hAnsiTheme="minorHAnsi"/>
          <w:sz w:val="22"/>
          <w:szCs w:val="22"/>
          <w:lang w:val="en-US"/>
        </w:rPr>
        <w:t xml:space="preserve">the interview </w:t>
      </w:r>
      <w:r w:rsidRPr="00667CC1">
        <w:rPr>
          <w:rFonts w:asciiTheme="minorHAnsi" w:hAnsiTheme="minorHAnsi"/>
          <w:sz w:val="22"/>
          <w:szCs w:val="22"/>
          <w:lang w:val="en-US"/>
        </w:rPr>
        <w:t xml:space="preserve">during the day </w:t>
      </w:r>
      <w:r>
        <w:rPr>
          <w:rFonts w:asciiTheme="minorHAnsi" w:hAnsiTheme="minorHAnsi"/>
          <w:sz w:val="22"/>
          <w:szCs w:val="22"/>
          <w:lang w:val="en-US"/>
        </w:rPr>
        <w:t>and/</w:t>
      </w:r>
      <w:r w:rsidRPr="00667CC1">
        <w:rPr>
          <w:rFonts w:asciiTheme="minorHAnsi" w:hAnsiTheme="minorHAnsi"/>
          <w:sz w:val="22"/>
          <w:szCs w:val="22"/>
          <w:lang w:val="en-US"/>
        </w:rPr>
        <w:t>or night, at home or anywhere else</w:t>
      </w:r>
      <w:r>
        <w:rPr>
          <w:rFonts w:asciiTheme="minorHAnsi" w:hAnsiTheme="minorHAnsi"/>
          <w:sz w:val="22"/>
          <w:szCs w:val="22"/>
          <w:lang w:val="en-US"/>
        </w:rPr>
        <w:t>,</w:t>
      </w:r>
      <w:r w:rsidRPr="00667CC1">
        <w:rPr>
          <w:rFonts w:asciiTheme="minorHAnsi" w:hAnsiTheme="minorHAnsi"/>
          <w:sz w:val="22"/>
          <w:szCs w:val="22"/>
          <w:lang w:val="en-US"/>
        </w:rPr>
        <w:t xml:space="preserve"> breaking it down by different time</w:t>
      </w:r>
      <w:r>
        <w:rPr>
          <w:rFonts w:asciiTheme="minorHAnsi" w:hAnsiTheme="minorHAnsi"/>
          <w:sz w:val="22"/>
          <w:szCs w:val="22"/>
          <w:lang w:val="en-US"/>
        </w:rPr>
        <w:t>s</w:t>
      </w:r>
      <w:r w:rsidRPr="00667CC1">
        <w:rPr>
          <w:rFonts w:asciiTheme="minorHAnsi" w:hAnsiTheme="minorHAnsi"/>
          <w:sz w:val="22"/>
          <w:szCs w:val="22"/>
          <w:lang w:val="en-US"/>
        </w:rPr>
        <w:t xml:space="preserve"> of the day</w:t>
      </w:r>
      <w:r>
        <w:rPr>
          <w:rFonts w:asciiTheme="minorHAnsi" w:hAnsiTheme="minorHAnsi"/>
          <w:sz w:val="22"/>
          <w:szCs w:val="22"/>
          <w:lang w:val="en-US"/>
        </w:rPr>
        <w:t xml:space="preserve">. For example: </w:t>
      </w:r>
    </w:p>
    <w:p w14:paraId="3107B926" w14:textId="77777777" w:rsidR="00607451" w:rsidRPr="00B1233F" w:rsidRDefault="00607451" w:rsidP="00453C51">
      <w:pPr>
        <w:autoSpaceDE w:val="0"/>
        <w:autoSpaceDN w:val="0"/>
        <w:spacing w:before="40" w:after="40"/>
        <w:ind w:left="450"/>
        <w:jc w:val="both"/>
        <w:rPr>
          <w:i/>
          <w:sz w:val="20"/>
        </w:rPr>
      </w:pPr>
      <w:r w:rsidRPr="00B1233F">
        <w:rPr>
          <w:i/>
          <w:sz w:val="20"/>
        </w:rPr>
        <w:t xml:space="preserve">1: Yesterday, what did you or anyone in your household eat in the morning when you woke up (for breakfast)? </w:t>
      </w:r>
    </w:p>
    <w:p w14:paraId="1056ADEA" w14:textId="77777777" w:rsidR="00607451" w:rsidRPr="00B1233F" w:rsidRDefault="00607451" w:rsidP="00453C51">
      <w:pPr>
        <w:autoSpaceDE w:val="0"/>
        <w:autoSpaceDN w:val="0"/>
        <w:spacing w:before="40" w:after="40"/>
        <w:ind w:firstLine="450"/>
        <w:jc w:val="both"/>
        <w:rPr>
          <w:i/>
          <w:sz w:val="20"/>
        </w:rPr>
      </w:pPr>
      <w:r w:rsidRPr="00B1233F">
        <w:rPr>
          <w:i/>
          <w:sz w:val="20"/>
        </w:rPr>
        <w:t xml:space="preserve">2: Yesterday, what did you or anyone in your household eat in </w:t>
      </w:r>
      <w:r>
        <w:rPr>
          <w:i/>
          <w:sz w:val="20"/>
        </w:rPr>
        <w:t>the afternoon</w:t>
      </w:r>
      <w:r w:rsidRPr="00B1233F">
        <w:rPr>
          <w:i/>
          <w:sz w:val="20"/>
        </w:rPr>
        <w:t xml:space="preserve"> for lunch? </w:t>
      </w:r>
    </w:p>
    <w:p w14:paraId="685AABF1" w14:textId="77777777" w:rsidR="00607451" w:rsidRPr="00B1233F" w:rsidRDefault="00607451" w:rsidP="00453C51">
      <w:pPr>
        <w:ind w:firstLine="450"/>
        <w:jc w:val="both"/>
        <w:rPr>
          <w:i/>
          <w:sz w:val="20"/>
        </w:rPr>
      </w:pPr>
      <w:r w:rsidRPr="00B1233F">
        <w:rPr>
          <w:i/>
          <w:sz w:val="20"/>
        </w:rPr>
        <w:t>3: Yesterday, what did you or anyone in your household eat </w:t>
      </w:r>
      <w:r>
        <w:rPr>
          <w:i/>
          <w:sz w:val="20"/>
        </w:rPr>
        <w:t xml:space="preserve">at </w:t>
      </w:r>
      <w:r w:rsidRPr="00B1233F">
        <w:rPr>
          <w:i/>
          <w:sz w:val="20"/>
        </w:rPr>
        <w:t>night for dinner?</w:t>
      </w:r>
    </w:p>
    <w:p w14:paraId="798336C1" w14:textId="1549960C" w:rsidR="00607451" w:rsidRDefault="00607451" w:rsidP="00453C51">
      <w:pPr>
        <w:ind w:left="450"/>
        <w:jc w:val="both"/>
      </w:pPr>
      <w:r w:rsidRPr="00B1233F">
        <w:t xml:space="preserve">For each eating </w:t>
      </w:r>
      <w:r>
        <w:t>“</w:t>
      </w:r>
      <w:r w:rsidRPr="00B1233F">
        <w:t>episode</w:t>
      </w:r>
      <w:r>
        <w:t>”</w:t>
      </w:r>
      <w:r w:rsidRPr="00B1233F">
        <w:t xml:space="preserve">, after the </w:t>
      </w:r>
      <w:r>
        <w:t>respondent mentions</w:t>
      </w:r>
      <w:r w:rsidRPr="00B1233F">
        <w:t xml:space="preserve"> foods</w:t>
      </w:r>
      <w:r>
        <w:t xml:space="preserve"> and beverages, the</w:t>
      </w:r>
      <w:r w:rsidRPr="00B1233F">
        <w:t xml:space="preserve"> operato</w:t>
      </w:r>
      <w:r>
        <w:t xml:space="preserve">r would probe again by asking if the respondent </w:t>
      </w:r>
      <w:r w:rsidRPr="00B1233F">
        <w:t xml:space="preserve">ate </w:t>
      </w:r>
      <w:r>
        <w:t>anything else. The operator would continue</w:t>
      </w:r>
      <w:r w:rsidRPr="00B1233F">
        <w:t xml:space="preserve"> probing until </w:t>
      </w:r>
      <w:r>
        <w:t xml:space="preserve">the respondent </w:t>
      </w:r>
      <w:r w:rsidRPr="00B1233F">
        <w:t>says “no, nothing els</w:t>
      </w:r>
      <w:r>
        <w:t>e”. Once the respondent finishes</w:t>
      </w:r>
      <w:r w:rsidRPr="00B1233F">
        <w:t xml:space="preserve"> recalling foods eaten</w:t>
      </w:r>
      <w:r>
        <w:t xml:space="preserve"> and beverages consumed,</w:t>
      </w:r>
      <w:r w:rsidRPr="00B1233F">
        <w:t xml:space="preserve"> </w:t>
      </w:r>
      <w:r>
        <w:t xml:space="preserve">the </w:t>
      </w:r>
      <w:r w:rsidRPr="00B1233F">
        <w:t>operator</w:t>
      </w:r>
      <w:r>
        <w:t xml:space="preserve"> </w:t>
      </w:r>
      <w:r w:rsidR="009C2CC8">
        <w:t>notes</w:t>
      </w:r>
      <w:r w:rsidRPr="00B1233F">
        <w:t xml:space="preserve"> all the correspondi</w:t>
      </w:r>
      <w:r>
        <w:t xml:space="preserve">ng food groups </w:t>
      </w:r>
      <w:r w:rsidR="009C2CC8">
        <w:t xml:space="preserve">and re-checked with the respondent </w:t>
      </w:r>
      <w:r w:rsidRPr="00B1233F">
        <w:t xml:space="preserve">whether she/he ate </w:t>
      </w:r>
      <w:r>
        <w:t>any</w:t>
      </w:r>
      <w:r w:rsidRPr="00B1233F">
        <w:t xml:space="preserve"> food</w:t>
      </w:r>
      <w:r w:rsidR="009C2CC8">
        <w:t>s from</w:t>
      </w:r>
      <w:r w:rsidRPr="00B1233F">
        <w:t xml:space="preserve"> group</w:t>
      </w:r>
      <w:r>
        <w:t>s</w:t>
      </w:r>
      <w:r w:rsidRPr="00B1233F">
        <w:t xml:space="preserve"> that w</w:t>
      </w:r>
      <w:r>
        <w:t>ere</w:t>
      </w:r>
      <w:r w:rsidRPr="00B1233F">
        <w:t xml:space="preserve"> not mentioned/checked</w:t>
      </w:r>
      <w:r>
        <w:t>.</w:t>
      </w:r>
    </w:p>
    <w:p w14:paraId="39D89422" w14:textId="77777777" w:rsidR="00607451" w:rsidRPr="00B1233F" w:rsidRDefault="00607451" w:rsidP="00453C51">
      <w:pPr>
        <w:ind w:left="450"/>
        <w:jc w:val="both"/>
      </w:pPr>
    </w:p>
    <w:p w14:paraId="44B7A64E" w14:textId="77777777" w:rsidR="00607451" w:rsidRPr="006513E5" w:rsidRDefault="00607451" w:rsidP="00E36021">
      <w:pPr>
        <w:pStyle w:val="Pa41"/>
        <w:spacing w:before="160" w:after="60"/>
        <w:ind w:firstLine="360"/>
        <w:jc w:val="both"/>
        <w:rPr>
          <w:rFonts w:cs="Calibri"/>
          <w:b/>
          <w:bCs/>
          <w:color w:val="000000"/>
          <w:sz w:val="25"/>
          <w:szCs w:val="25"/>
        </w:rPr>
      </w:pPr>
      <w:r>
        <w:rPr>
          <w:rFonts w:cs="Calibri"/>
          <w:b/>
          <w:bCs/>
          <w:color w:val="000000"/>
          <w:sz w:val="25"/>
          <w:szCs w:val="25"/>
        </w:rPr>
        <w:t xml:space="preserve">LIST-BASED METHOD </w:t>
      </w:r>
    </w:p>
    <w:p w14:paraId="5473E2E4" w14:textId="4CC9B916" w:rsidR="00607451" w:rsidRDefault="00607451" w:rsidP="00453C51">
      <w:pPr>
        <w:pStyle w:val="Pa8"/>
        <w:spacing w:after="140"/>
        <w:ind w:left="360"/>
        <w:jc w:val="both"/>
        <w:rPr>
          <w:rFonts w:asciiTheme="minorHAnsi" w:hAnsiTheme="minorHAnsi"/>
          <w:sz w:val="22"/>
          <w:szCs w:val="22"/>
          <w:lang w:val="en-US"/>
        </w:rPr>
      </w:pPr>
      <w:r w:rsidRPr="00D932E1">
        <w:rPr>
          <w:rFonts w:asciiTheme="minorHAnsi" w:hAnsiTheme="minorHAnsi"/>
          <w:sz w:val="22"/>
          <w:szCs w:val="22"/>
          <w:lang w:val="en-US"/>
        </w:rPr>
        <w:t xml:space="preserve">In the list-based method, </w:t>
      </w:r>
      <w:r>
        <w:rPr>
          <w:rFonts w:asciiTheme="minorHAnsi" w:hAnsiTheme="minorHAnsi"/>
          <w:sz w:val="22"/>
          <w:szCs w:val="22"/>
          <w:lang w:val="en-US"/>
        </w:rPr>
        <w:t xml:space="preserve">the </w:t>
      </w:r>
      <w:r w:rsidRPr="00D932E1">
        <w:rPr>
          <w:rFonts w:asciiTheme="minorHAnsi" w:hAnsiTheme="minorHAnsi"/>
          <w:sz w:val="22"/>
          <w:szCs w:val="22"/>
          <w:lang w:val="en-US"/>
        </w:rPr>
        <w:t>operator read</w:t>
      </w:r>
      <w:r>
        <w:rPr>
          <w:rFonts w:asciiTheme="minorHAnsi" w:hAnsiTheme="minorHAnsi"/>
          <w:sz w:val="22"/>
          <w:szCs w:val="22"/>
          <w:lang w:val="en-US"/>
        </w:rPr>
        <w:t xml:space="preserve">s </w:t>
      </w:r>
      <w:r w:rsidRPr="00D932E1">
        <w:rPr>
          <w:rFonts w:asciiTheme="minorHAnsi" w:hAnsiTheme="minorHAnsi"/>
          <w:sz w:val="22"/>
          <w:szCs w:val="22"/>
          <w:lang w:val="en-US"/>
        </w:rPr>
        <w:t xml:space="preserve">a list of 12 </w:t>
      </w:r>
      <w:r w:rsidR="009C2CC8">
        <w:rPr>
          <w:rFonts w:asciiTheme="minorHAnsi" w:hAnsiTheme="minorHAnsi"/>
          <w:sz w:val="22"/>
          <w:szCs w:val="22"/>
          <w:lang w:val="en-US"/>
        </w:rPr>
        <w:t>“</w:t>
      </w:r>
      <w:r w:rsidR="00484D94">
        <w:t>yes</w:t>
      </w:r>
      <w:r w:rsidR="009C2CC8">
        <w:t>”</w:t>
      </w:r>
      <w:r w:rsidR="00484D94">
        <w:t xml:space="preserve"> or </w:t>
      </w:r>
      <w:r w:rsidR="009C2CC8">
        <w:t>“</w:t>
      </w:r>
      <w:r w:rsidR="00484D94">
        <w:t>no</w:t>
      </w:r>
      <w:r w:rsidR="009C2CC8">
        <w:t>”</w:t>
      </w:r>
      <w:r w:rsidR="00484D94">
        <w:t xml:space="preserve"> </w:t>
      </w:r>
      <w:r w:rsidRPr="00D932E1">
        <w:rPr>
          <w:rFonts w:asciiTheme="minorHAnsi" w:hAnsiTheme="minorHAnsi"/>
          <w:sz w:val="22"/>
          <w:szCs w:val="22"/>
          <w:lang w:val="en-US"/>
        </w:rPr>
        <w:t>pre</w:t>
      </w:r>
      <w:r w:rsidR="00484D94">
        <w:rPr>
          <w:rFonts w:asciiTheme="minorHAnsi" w:hAnsiTheme="minorHAnsi"/>
          <w:sz w:val="22"/>
          <w:szCs w:val="22"/>
          <w:lang w:val="en-US"/>
        </w:rPr>
        <w:t>-</w:t>
      </w:r>
      <w:r w:rsidRPr="00D932E1">
        <w:rPr>
          <w:rFonts w:asciiTheme="minorHAnsi" w:hAnsiTheme="minorHAnsi"/>
          <w:sz w:val="22"/>
          <w:szCs w:val="22"/>
          <w:lang w:val="en-US"/>
        </w:rPr>
        <w:t xml:space="preserve">defined questions </w:t>
      </w:r>
      <w:r>
        <w:rPr>
          <w:rFonts w:asciiTheme="minorHAnsi" w:hAnsiTheme="minorHAnsi"/>
          <w:sz w:val="22"/>
          <w:szCs w:val="22"/>
          <w:lang w:val="en-US"/>
        </w:rPr>
        <w:t xml:space="preserve">to the respondent. The pre-defined questions are </w:t>
      </w:r>
      <w:r w:rsidRPr="00D932E1">
        <w:rPr>
          <w:rFonts w:asciiTheme="minorHAnsi" w:hAnsiTheme="minorHAnsi"/>
          <w:sz w:val="22"/>
          <w:szCs w:val="22"/>
          <w:lang w:val="en-US"/>
        </w:rPr>
        <w:t>on</w:t>
      </w:r>
      <w:r>
        <w:rPr>
          <w:rFonts w:asciiTheme="minorHAnsi" w:hAnsiTheme="minorHAnsi"/>
          <w:sz w:val="22"/>
          <w:szCs w:val="22"/>
          <w:lang w:val="en-US"/>
        </w:rPr>
        <w:t xml:space="preserve"> different</w:t>
      </w:r>
      <w:r w:rsidRPr="00D932E1">
        <w:rPr>
          <w:rFonts w:asciiTheme="minorHAnsi" w:hAnsiTheme="minorHAnsi"/>
          <w:sz w:val="22"/>
          <w:szCs w:val="22"/>
          <w:lang w:val="en-US"/>
        </w:rPr>
        <w:t xml:space="preserve"> foods</w:t>
      </w:r>
      <w:r>
        <w:rPr>
          <w:rFonts w:asciiTheme="minorHAnsi" w:hAnsiTheme="minorHAnsi"/>
          <w:sz w:val="22"/>
          <w:szCs w:val="22"/>
          <w:lang w:val="en-US"/>
        </w:rPr>
        <w:t xml:space="preserve"> groups</w:t>
      </w:r>
      <w:r w:rsidRPr="00D932E1">
        <w:rPr>
          <w:rFonts w:asciiTheme="minorHAnsi" w:hAnsiTheme="minorHAnsi"/>
          <w:sz w:val="22"/>
          <w:szCs w:val="22"/>
          <w:lang w:val="en-US"/>
        </w:rPr>
        <w:t xml:space="preserve"> consumed </w:t>
      </w:r>
      <w:r w:rsidR="002F7120">
        <w:rPr>
          <w:rFonts w:asciiTheme="minorHAnsi" w:hAnsiTheme="minorHAnsi"/>
          <w:sz w:val="22"/>
          <w:szCs w:val="22"/>
          <w:lang w:val="en-US"/>
        </w:rPr>
        <w:t>during the 24-hour period</w:t>
      </w:r>
      <w:r w:rsidRPr="00D932E1">
        <w:rPr>
          <w:rFonts w:asciiTheme="minorHAnsi" w:hAnsiTheme="minorHAnsi"/>
          <w:sz w:val="22"/>
          <w:szCs w:val="22"/>
          <w:lang w:val="en-US"/>
        </w:rPr>
        <w:t xml:space="preserve"> before the interview. When operators </w:t>
      </w:r>
      <w:r w:rsidRPr="00667CC1">
        <w:rPr>
          <w:rFonts w:asciiTheme="minorHAnsi" w:hAnsiTheme="minorHAnsi"/>
          <w:sz w:val="22"/>
          <w:szCs w:val="22"/>
          <w:lang w:val="en-US"/>
        </w:rPr>
        <w:t>inquire about each food group</w:t>
      </w:r>
      <w:r>
        <w:rPr>
          <w:rFonts w:asciiTheme="minorHAnsi" w:hAnsiTheme="minorHAnsi"/>
          <w:sz w:val="22"/>
          <w:szCs w:val="22"/>
          <w:lang w:val="en-US"/>
        </w:rPr>
        <w:t>,</w:t>
      </w:r>
      <w:r w:rsidRPr="00D932E1">
        <w:rPr>
          <w:rFonts w:asciiTheme="minorHAnsi" w:hAnsiTheme="minorHAnsi"/>
          <w:sz w:val="22"/>
          <w:szCs w:val="22"/>
          <w:lang w:val="en-US"/>
        </w:rPr>
        <w:t xml:space="preserve"> they give multiple examples for</w:t>
      </w:r>
      <w:r>
        <w:rPr>
          <w:rFonts w:asciiTheme="minorHAnsi" w:hAnsiTheme="minorHAnsi"/>
          <w:sz w:val="22"/>
          <w:szCs w:val="22"/>
          <w:lang w:val="en-US"/>
        </w:rPr>
        <w:t xml:space="preserve"> items within that specific</w:t>
      </w:r>
      <w:r w:rsidRPr="00D932E1">
        <w:rPr>
          <w:rFonts w:asciiTheme="minorHAnsi" w:hAnsiTheme="minorHAnsi"/>
          <w:sz w:val="22"/>
          <w:szCs w:val="22"/>
          <w:lang w:val="en-US"/>
        </w:rPr>
        <w:t xml:space="preserve"> food group</w:t>
      </w:r>
      <w:r w:rsidR="002F7120">
        <w:rPr>
          <w:rFonts w:asciiTheme="minorHAnsi" w:hAnsiTheme="minorHAnsi"/>
          <w:sz w:val="22"/>
          <w:szCs w:val="22"/>
          <w:lang w:val="en-US"/>
        </w:rPr>
        <w:t>.</w:t>
      </w:r>
      <w:r w:rsidR="00E36021">
        <w:rPr>
          <w:rFonts w:asciiTheme="minorHAnsi" w:hAnsiTheme="minorHAnsi"/>
          <w:sz w:val="22"/>
          <w:szCs w:val="22"/>
          <w:lang w:val="en-US"/>
        </w:rPr>
        <w:t xml:space="preserve"> </w:t>
      </w:r>
      <w:r w:rsidR="002F7120">
        <w:rPr>
          <w:rFonts w:asciiTheme="minorHAnsi" w:hAnsiTheme="minorHAnsi"/>
          <w:sz w:val="22"/>
          <w:szCs w:val="22"/>
          <w:lang w:val="en-US"/>
        </w:rPr>
        <w:t>F</w:t>
      </w:r>
      <w:r w:rsidR="0023345C">
        <w:rPr>
          <w:rFonts w:asciiTheme="minorHAnsi" w:hAnsiTheme="minorHAnsi"/>
          <w:sz w:val="22"/>
          <w:szCs w:val="22"/>
          <w:lang w:val="en-US"/>
        </w:rPr>
        <w:t>or</w:t>
      </w:r>
      <w:r w:rsidR="00484D94">
        <w:rPr>
          <w:rFonts w:asciiTheme="minorHAnsi" w:hAnsiTheme="minorHAnsi"/>
          <w:sz w:val="22"/>
          <w:szCs w:val="22"/>
          <w:lang w:val="en-US"/>
        </w:rPr>
        <w:t xml:space="preserve"> example:</w:t>
      </w:r>
    </w:p>
    <w:p w14:paraId="7CD41586" w14:textId="77777777" w:rsidR="00484D94" w:rsidRPr="0023345C" w:rsidRDefault="0023345C" w:rsidP="00E36021">
      <w:pPr>
        <w:autoSpaceDE w:val="0"/>
        <w:autoSpaceDN w:val="0"/>
        <w:spacing w:before="40" w:after="40"/>
        <w:ind w:left="360"/>
        <w:jc w:val="both"/>
        <w:rPr>
          <w:i/>
          <w:sz w:val="20"/>
        </w:rPr>
      </w:pPr>
      <w:r w:rsidRPr="0023345C">
        <w:rPr>
          <w:i/>
          <w:sz w:val="20"/>
        </w:rPr>
        <w:t xml:space="preserve">Did you or anyone in your household eat cereals and grains including maize, maize meal, rice, wheat, pasta, bread, biscuits, sorghum, and millet yesterday during the day or night? </w:t>
      </w:r>
    </w:p>
    <w:p w14:paraId="71CE5BE1" w14:textId="77777777" w:rsidR="00E36021" w:rsidRDefault="00E36021" w:rsidP="00453C51">
      <w:pPr>
        <w:pStyle w:val="Default"/>
        <w:jc w:val="both"/>
        <w:rPr>
          <w:rFonts w:ascii="Calibri" w:hAnsi="Calibri" w:cs="Calibri"/>
          <w:b/>
          <w:bCs/>
          <w:sz w:val="28"/>
          <w:szCs w:val="28"/>
        </w:rPr>
      </w:pPr>
    </w:p>
    <w:p w14:paraId="6F4AA791" w14:textId="77777777" w:rsidR="00CA30F5" w:rsidRPr="00C62712" w:rsidRDefault="00CA30F5" w:rsidP="00453C51">
      <w:pPr>
        <w:pStyle w:val="Default"/>
        <w:jc w:val="both"/>
        <w:rPr>
          <w:lang w:val="en-US"/>
        </w:rPr>
      </w:pPr>
      <w:r>
        <w:rPr>
          <w:rFonts w:ascii="Calibri" w:hAnsi="Calibri" w:cs="Calibri"/>
          <w:b/>
          <w:bCs/>
          <w:sz w:val="28"/>
          <w:szCs w:val="28"/>
        </w:rPr>
        <w:lastRenderedPageBreak/>
        <w:t xml:space="preserve">Analysis </w:t>
      </w:r>
      <w:r w:rsidR="006C144F">
        <w:rPr>
          <w:rFonts w:ascii="Calibri" w:hAnsi="Calibri" w:cs="Calibri"/>
          <w:b/>
          <w:bCs/>
          <w:sz w:val="28"/>
          <w:szCs w:val="28"/>
        </w:rPr>
        <w:t xml:space="preserve">of the </w:t>
      </w:r>
      <w:r w:rsidR="001B49B2">
        <w:rPr>
          <w:rFonts w:ascii="Calibri" w:hAnsi="Calibri" w:cs="Calibri"/>
          <w:b/>
          <w:bCs/>
          <w:sz w:val="28"/>
          <w:szCs w:val="28"/>
        </w:rPr>
        <w:t xml:space="preserve">HDDS score collected using </w:t>
      </w:r>
      <w:r w:rsidR="006C144F">
        <w:rPr>
          <w:rFonts w:ascii="Calibri" w:hAnsi="Calibri" w:cs="Calibri"/>
          <w:b/>
          <w:bCs/>
          <w:sz w:val="28"/>
          <w:szCs w:val="28"/>
        </w:rPr>
        <w:t xml:space="preserve">CATI </w:t>
      </w:r>
      <w:r>
        <w:rPr>
          <w:rFonts w:ascii="Calibri" w:hAnsi="Calibri" w:cs="Calibri"/>
          <w:b/>
          <w:bCs/>
          <w:sz w:val="28"/>
          <w:szCs w:val="28"/>
        </w:rPr>
        <w:t>(Open vs List)</w:t>
      </w:r>
    </w:p>
    <w:p w14:paraId="1E0B697A" w14:textId="77777777" w:rsidR="00CA30F5" w:rsidRPr="005D38ED" w:rsidRDefault="00CA30F5" w:rsidP="00453C51">
      <w:pPr>
        <w:jc w:val="both"/>
      </w:pPr>
      <w:r>
        <w:rPr>
          <w:rFonts w:cs="Calibri"/>
          <w:color w:val="000000"/>
        </w:rPr>
        <w:t xml:space="preserve">In order to assess if these two different approaches of data collection produce similar results, we compared the HDDS scores produced </w:t>
      </w:r>
      <w:r w:rsidR="00095ED9">
        <w:rPr>
          <w:rFonts w:cs="Calibri"/>
          <w:color w:val="000000"/>
        </w:rPr>
        <w:t>using the “open” and “list” approaches.</w:t>
      </w:r>
      <w:r w:rsidR="006C144F">
        <w:rPr>
          <w:rFonts w:cs="Calibri"/>
          <w:color w:val="000000"/>
        </w:rPr>
        <w:t xml:space="preserve"> </w:t>
      </w:r>
    </w:p>
    <w:p w14:paraId="36DA3447" w14:textId="77777777" w:rsidR="00F85537" w:rsidRPr="00F85537" w:rsidRDefault="002E15C9" w:rsidP="00453C51">
      <w:pPr>
        <w:jc w:val="both"/>
      </w:pPr>
      <w:r>
        <w:t xml:space="preserve">A </w:t>
      </w:r>
      <w:r w:rsidR="00B7054C">
        <w:t xml:space="preserve">total number of 460 rural respondents </w:t>
      </w:r>
      <w:r>
        <w:t xml:space="preserve">from </w:t>
      </w:r>
      <w:r w:rsidR="00855A1B">
        <w:t xml:space="preserve">Gaza and Inhambane Provinces </w:t>
      </w:r>
      <w:r w:rsidR="00B7054C">
        <w:t>were reached through</w:t>
      </w:r>
      <w:r w:rsidR="008547F2">
        <w:t xml:space="preserve"> an</w:t>
      </w:r>
      <w:r w:rsidR="00B7054C">
        <w:t xml:space="preserve"> external call center.  </w:t>
      </w:r>
      <w:r w:rsidR="00F85537">
        <w:t xml:space="preserve">In both provinces, half </w:t>
      </w:r>
      <w:r w:rsidR="00F85537" w:rsidRPr="00F85537">
        <w:t xml:space="preserve">of the </w:t>
      </w:r>
      <w:r w:rsidR="00095ED9">
        <w:t xml:space="preserve">surveyed </w:t>
      </w:r>
      <w:r w:rsidR="00F85537" w:rsidRPr="00F85537">
        <w:t xml:space="preserve">respondents were asked to name the foods they had eaten in the previous 24 hours (open approach), while the other </w:t>
      </w:r>
      <w:r w:rsidR="00F85537">
        <w:t xml:space="preserve">half </w:t>
      </w:r>
      <w:r w:rsidR="00F85537" w:rsidRPr="00F85537">
        <w:t xml:space="preserve">were asked to pick food groups from a list (list-based approach). </w:t>
      </w:r>
    </w:p>
    <w:p w14:paraId="6C146227" w14:textId="77777777" w:rsidR="00F41859" w:rsidRDefault="00F75310" w:rsidP="00453C51">
      <w:pPr>
        <w:jc w:val="both"/>
      </w:pPr>
      <w:r>
        <w:t xml:space="preserve">As </w:t>
      </w:r>
      <w:r w:rsidR="00855A1B">
        <w:t xml:space="preserve">illustrated in </w:t>
      </w:r>
      <w:r>
        <w:t>Figure</w:t>
      </w:r>
      <w:r w:rsidR="00855A1B">
        <w:t xml:space="preserve">s </w:t>
      </w:r>
      <w:r>
        <w:t>1, 2 and 3</w:t>
      </w:r>
      <w:r w:rsidR="00855A1B">
        <w:t>,</w:t>
      </w:r>
      <w:r w:rsidR="00292B8D">
        <w:t xml:space="preserve"> there are no</w:t>
      </w:r>
      <w:r w:rsidR="00ED7968" w:rsidRPr="00D27BBF">
        <w:t xml:space="preserve"> significant difference</w:t>
      </w:r>
      <w:r w:rsidR="00292B8D">
        <w:t>s</w:t>
      </w:r>
      <w:r w:rsidR="00ED7968" w:rsidRPr="00D27BBF">
        <w:t xml:space="preserve"> between </w:t>
      </w:r>
      <w:r w:rsidR="00292B8D">
        <w:t>the</w:t>
      </w:r>
      <w:r w:rsidR="002E15C9">
        <w:t xml:space="preserve"> </w:t>
      </w:r>
      <w:r w:rsidR="00073F36">
        <w:t xml:space="preserve">means </w:t>
      </w:r>
      <w:r w:rsidR="002E15C9">
        <w:t>of</w:t>
      </w:r>
      <w:r w:rsidR="00292B8D">
        <w:t xml:space="preserve"> </w:t>
      </w:r>
      <w:r w:rsidR="00490411">
        <w:t xml:space="preserve">the </w:t>
      </w:r>
      <w:r w:rsidR="00ED7968" w:rsidRPr="00D27BBF">
        <w:t xml:space="preserve">HDDS </w:t>
      </w:r>
      <w:r w:rsidR="00490411">
        <w:t>score</w:t>
      </w:r>
      <w:r w:rsidR="002E15C9">
        <w:t xml:space="preserve"> produced using </w:t>
      </w:r>
      <w:r w:rsidR="007E5D1D" w:rsidRPr="00D27BBF">
        <w:t xml:space="preserve">the “open” approach </w:t>
      </w:r>
      <w:r w:rsidR="00ED7968" w:rsidRPr="00D27BBF">
        <w:t xml:space="preserve">and </w:t>
      </w:r>
      <w:r w:rsidR="007E5D1D" w:rsidRPr="00D27BBF">
        <w:t>the “list”</w:t>
      </w:r>
      <w:r w:rsidR="006E1C1C">
        <w:t xml:space="preserve"> approach</w:t>
      </w:r>
      <w:r>
        <w:t xml:space="preserve"> for the sub-sample of rural respondents within the two provinces (Gaza and Inhambane)</w:t>
      </w:r>
      <w:r w:rsidR="006E1C1C">
        <w:t xml:space="preserve">. </w:t>
      </w:r>
      <w:r w:rsidR="00F41859" w:rsidRPr="001A4D31">
        <w:t>Overall, the mean HDDS is 6 for the list approach and almost 7 for the open approach</w:t>
      </w:r>
      <w:r w:rsidR="008547F2">
        <w:t>. At the province level</w:t>
      </w:r>
      <w:r w:rsidR="00F41859" w:rsidRPr="001A4D31">
        <w:t xml:space="preserve">, the HDDS was 6 in the Gaza </w:t>
      </w:r>
      <w:r w:rsidR="00770A6A">
        <w:t>P</w:t>
      </w:r>
      <w:r w:rsidR="00F41859" w:rsidRPr="001A4D31">
        <w:t xml:space="preserve">rovince and 7 in the Inhambane </w:t>
      </w:r>
      <w:r w:rsidR="00770A6A">
        <w:t>P</w:t>
      </w:r>
      <w:r w:rsidR="00F41859" w:rsidRPr="001A4D31">
        <w:t>rovince for both approaches.</w:t>
      </w:r>
    </w:p>
    <w:p w14:paraId="6506749E" w14:textId="77777777" w:rsidR="00D27BBF" w:rsidRPr="00E36021" w:rsidRDefault="00F75310" w:rsidP="00453C51">
      <w:pPr>
        <w:jc w:val="both"/>
        <w:rPr>
          <w:b/>
          <w:i/>
        </w:rPr>
      </w:pPr>
      <w:r w:rsidRPr="00E36021">
        <w:rPr>
          <w:b/>
          <w:i/>
        </w:rPr>
        <w:t>Figure</w:t>
      </w:r>
      <w:r w:rsidR="00770A6A" w:rsidRPr="00E36021">
        <w:rPr>
          <w:b/>
          <w:i/>
        </w:rPr>
        <w:t xml:space="preserve"> </w:t>
      </w:r>
      <w:r w:rsidRPr="00E36021">
        <w:rPr>
          <w:b/>
          <w:i/>
        </w:rPr>
        <w:t>1</w:t>
      </w:r>
      <w:r w:rsidR="00D27BBF" w:rsidRPr="00E36021">
        <w:rPr>
          <w:b/>
          <w:i/>
        </w:rPr>
        <w:t xml:space="preserve">: </w:t>
      </w:r>
      <w:r w:rsidR="00E02B57" w:rsidRPr="00E36021">
        <w:rPr>
          <w:b/>
          <w:i/>
        </w:rPr>
        <w:t xml:space="preserve">Distribution of the </w:t>
      </w:r>
      <w:r w:rsidRPr="00E36021">
        <w:rPr>
          <w:b/>
          <w:i/>
        </w:rPr>
        <w:t>HDDS</w:t>
      </w:r>
      <w:r w:rsidR="00872039" w:rsidRPr="00E36021">
        <w:rPr>
          <w:b/>
          <w:i/>
        </w:rPr>
        <w:t xml:space="preserve"> score</w:t>
      </w:r>
      <w:r w:rsidRPr="00E36021">
        <w:rPr>
          <w:b/>
          <w:i/>
        </w:rPr>
        <w:t xml:space="preserve">, </w:t>
      </w:r>
      <w:r w:rsidR="00D27BBF" w:rsidRPr="00E36021">
        <w:rPr>
          <w:b/>
          <w:i/>
        </w:rPr>
        <w:t>rural</w:t>
      </w:r>
      <w:r w:rsidRPr="00E36021">
        <w:rPr>
          <w:b/>
          <w:i/>
        </w:rPr>
        <w:t xml:space="preserve"> respondents</w:t>
      </w:r>
      <w:r w:rsidR="00D27BBF" w:rsidRPr="00E36021">
        <w:rPr>
          <w:b/>
          <w:i/>
        </w:rPr>
        <w:t>– June/July 2017</w:t>
      </w:r>
    </w:p>
    <w:p w14:paraId="43B4B461" w14:textId="77777777" w:rsidR="001B49B2" w:rsidRDefault="001B49B2" w:rsidP="00453C51">
      <w:pPr>
        <w:jc w:val="both"/>
      </w:pPr>
      <w:r>
        <w:rPr>
          <w:noProof/>
          <w:lang w:val="en-GB" w:eastAsia="en-GB"/>
        </w:rPr>
        <w:drawing>
          <wp:inline distT="0" distB="0" distL="0" distR="0" wp14:anchorId="2F6BF41A" wp14:editId="5B804A1B">
            <wp:extent cx="4769780" cy="3333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0413" cy="3341182"/>
                    </a:xfrm>
                    <a:prstGeom prst="rect">
                      <a:avLst/>
                    </a:prstGeom>
                  </pic:spPr>
                </pic:pic>
              </a:graphicData>
            </a:graphic>
          </wp:inline>
        </w:drawing>
      </w:r>
    </w:p>
    <w:p w14:paraId="0678C50F" w14:textId="77777777" w:rsidR="001B49B2" w:rsidRDefault="001B49B2" w:rsidP="00453C51">
      <w:pPr>
        <w:jc w:val="both"/>
      </w:pPr>
    </w:p>
    <w:p w14:paraId="622C7F6D" w14:textId="77777777" w:rsidR="001B49B2" w:rsidRDefault="001B49B2" w:rsidP="00453C51">
      <w:pPr>
        <w:jc w:val="both"/>
      </w:pPr>
    </w:p>
    <w:p w14:paraId="60217487" w14:textId="77777777" w:rsidR="001B49B2" w:rsidRDefault="001B49B2" w:rsidP="00453C51">
      <w:pPr>
        <w:jc w:val="both"/>
      </w:pPr>
    </w:p>
    <w:p w14:paraId="7E804983" w14:textId="77777777" w:rsidR="001B49B2" w:rsidRDefault="001B49B2" w:rsidP="00453C51">
      <w:pPr>
        <w:jc w:val="both"/>
      </w:pPr>
    </w:p>
    <w:p w14:paraId="1A912B11" w14:textId="77777777" w:rsidR="001B49B2" w:rsidRDefault="001B49B2" w:rsidP="00453C51">
      <w:pPr>
        <w:jc w:val="both"/>
      </w:pPr>
    </w:p>
    <w:p w14:paraId="4E2DE40C" w14:textId="77777777" w:rsidR="001B49B2" w:rsidRDefault="001B49B2" w:rsidP="00453C51">
      <w:pPr>
        <w:jc w:val="both"/>
      </w:pPr>
    </w:p>
    <w:p w14:paraId="51927507" w14:textId="77777777" w:rsidR="00D27BBF" w:rsidRDefault="00D27BBF" w:rsidP="00453C51">
      <w:pPr>
        <w:jc w:val="both"/>
      </w:pPr>
    </w:p>
    <w:p w14:paraId="7AA0711F" w14:textId="77777777" w:rsidR="00D27BBF" w:rsidRPr="00E36021" w:rsidRDefault="00F75310" w:rsidP="00453C51">
      <w:pPr>
        <w:jc w:val="both"/>
        <w:rPr>
          <w:b/>
          <w:i/>
        </w:rPr>
      </w:pPr>
      <w:r w:rsidRPr="00E36021">
        <w:rPr>
          <w:b/>
          <w:i/>
        </w:rPr>
        <w:lastRenderedPageBreak/>
        <w:t>Figure</w:t>
      </w:r>
      <w:r w:rsidR="003C27AB" w:rsidRPr="00E36021">
        <w:rPr>
          <w:b/>
          <w:i/>
        </w:rPr>
        <w:t xml:space="preserve"> </w:t>
      </w:r>
      <w:r w:rsidRPr="00E36021">
        <w:rPr>
          <w:b/>
          <w:i/>
        </w:rPr>
        <w:t>2</w:t>
      </w:r>
      <w:r w:rsidR="00D27BBF" w:rsidRPr="00E36021">
        <w:rPr>
          <w:b/>
          <w:i/>
        </w:rPr>
        <w:t>: Box-</w:t>
      </w:r>
      <w:r w:rsidRPr="00E36021">
        <w:rPr>
          <w:b/>
          <w:i/>
        </w:rPr>
        <w:t xml:space="preserve">plot </w:t>
      </w:r>
      <w:r w:rsidR="001E20FC" w:rsidRPr="00E36021">
        <w:rPr>
          <w:b/>
          <w:i/>
        </w:rPr>
        <w:t xml:space="preserve">of the </w:t>
      </w:r>
      <w:r w:rsidRPr="00E36021">
        <w:rPr>
          <w:b/>
          <w:i/>
        </w:rPr>
        <w:t xml:space="preserve">HDDS </w:t>
      </w:r>
      <w:r w:rsidR="001E20FC" w:rsidRPr="00E36021">
        <w:rPr>
          <w:b/>
          <w:i/>
        </w:rPr>
        <w:t>score</w:t>
      </w:r>
      <w:r w:rsidRPr="00E36021">
        <w:rPr>
          <w:b/>
          <w:i/>
        </w:rPr>
        <w:t xml:space="preserve">, </w:t>
      </w:r>
      <w:r w:rsidR="00D27BBF" w:rsidRPr="00E36021">
        <w:rPr>
          <w:b/>
          <w:i/>
        </w:rPr>
        <w:t>rural respondents– June/July 2017</w:t>
      </w:r>
    </w:p>
    <w:p w14:paraId="78209B75" w14:textId="77777777" w:rsidR="007E5D1D" w:rsidRDefault="001B49B2" w:rsidP="00453C51">
      <w:pPr>
        <w:jc w:val="both"/>
      </w:pPr>
      <w:r w:rsidRPr="001B49B2">
        <w:rPr>
          <w:noProof/>
          <w:lang w:val="en-GB" w:eastAsia="en-GB"/>
        </w:rPr>
        <w:t xml:space="preserve"> </w:t>
      </w:r>
      <w:r>
        <w:rPr>
          <w:noProof/>
          <w:lang w:val="en-GB" w:eastAsia="en-GB"/>
        </w:rPr>
        <w:drawing>
          <wp:inline distT="0" distB="0" distL="0" distR="0" wp14:anchorId="63A7E4A5" wp14:editId="3AFB6AEE">
            <wp:extent cx="4595567" cy="3190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1491" cy="3194988"/>
                    </a:xfrm>
                    <a:prstGeom prst="rect">
                      <a:avLst/>
                    </a:prstGeom>
                  </pic:spPr>
                </pic:pic>
              </a:graphicData>
            </a:graphic>
          </wp:inline>
        </w:drawing>
      </w:r>
      <w:r>
        <w:rPr>
          <w:noProof/>
          <w:lang w:val="en-GB" w:eastAsia="en-GB"/>
        </w:rPr>
        <w:t xml:space="preserve"> </w:t>
      </w:r>
    </w:p>
    <w:p w14:paraId="15F8D89C" w14:textId="77777777" w:rsidR="00991EF9" w:rsidRPr="00E36021" w:rsidRDefault="00991EF9" w:rsidP="00453C51">
      <w:pPr>
        <w:jc w:val="both"/>
        <w:rPr>
          <w:b/>
          <w:i/>
        </w:rPr>
      </w:pPr>
      <w:r w:rsidRPr="00E36021">
        <w:rPr>
          <w:b/>
          <w:i/>
        </w:rPr>
        <w:t>Figure</w:t>
      </w:r>
      <w:r w:rsidR="00E6746B" w:rsidRPr="00E36021">
        <w:rPr>
          <w:b/>
          <w:i/>
        </w:rPr>
        <w:t xml:space="preserve"> </w:t>
      </w:r>
      <w:r w:rsidR="00F75310" w:rsidRPr="00E36021">
        <w:rPr>
          <w:b/>
          <w:i/>
        </w:rPr>
        <w:t>3</w:t>
      </w:r>
      <w:r w:rsidRPr="00E36021">
        <w:rPr>
          <w:b/>
          <w:i/>
        </w:rPr>
        <w:t xml:space="preserve">: Box-plot </w:t>
      </w:r>
      <w:r w:rsidR="001E20FC" w:rsidRPr="00E36021">
        <w:rPr>
          <w:b/>
          <w:i/>
        </w:rPr>
        <w:t xml:space="preserve">of the </w:t>
      </w:r>
      <w:r w:rsidRPr="00E36021">
        <w:rPr>
          <w:b/>
          <w:i/>
        </w:rPr>
        <w:t xml:space="preserve">HDDS </w:t>
      </w:r>
      <w:r w:rsidR="001E20FC" w:rsidRPr="00E36021">
        <w:rPr>
          <w:b/>
          <w:i/>
        </w:rPr>
        <w:t xml:space="preserve">score </w:t>
      </w:r>
      <w:r w:rsidRPr="00E36021">
        <w:rPr>
          <w:b/>
          <w:i/>
        </w:rPr>
        <w:t>by province – June/July 2017</w:t>
      </w:r>
    </w:p>
    <w:p w14:paraId="069A8AF4" w14:textId="77777777" w:rsidR="00991EF9" w:rsidRDefault="00991EF9" w:rsidP="00453C51">
      <w:pPr>
        <w:jc w:val="both"/>
      </w:pPr>
      <w:r>
        <w:rPr>
          <w:noProof/>
          <w:lang w:val="en-GB" w:eastAsia="en-GB"/>
        </w:rPr>
        <w:drawing>
          <wp:inline distT="0" distB="0" distL="0" distR="0" wp14:anchorId="5A41EFE5" wp14:editId="2E9D1050">
            <wp:extent cx="3951636" cy="2552700"/>
            <wp:effectExtent l="0" t="0" r="0" b="0"/>
            <wp:docPr id="15" name="Picture 15" descr="cid:image001.png@01D340F1.2284C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340F1.2284C96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969498" cy="2564239"/>
                    </a:xfrm>
                    <a:prstGeom prst="rect">
                      <a:avLst/>
                    </a:prstGeom>
                    <a:noFill/>
                    <a:ln>
                      <a:noFill/>
                    </a:ln>
                  </pic:spPr>
                </pic:pic>
              </a:graphicData>
            </a:graphic>
          </wp:inline>
        </w:drawing>
      </w:r>
    </w:p>
    <w:p w14:paraId="71D1618B" w14:textId="77777777" w:rsidR="001E0E8B" w:rsidRDefault="00C76375" w:rsidP="00453C51">
      <w:pPr>
        <w:jc w:val="both"/>
      </w:pPr>
      <w:r>
        <w:t xml:space="preserve">To validate the above results, </w:t>
      </w:r>
      <w:r w:rsidR="00816CC8">
        <w:t>an</w:t>
      </w:r>
      <w:r w:rsidR="007E5D1D">
        <w:t xml:space="preserve"> ANOVA model </w:t>
      </w:r>
      <w:r>
        <w:t>was implemented</w:t>
      </w:r>
      <w:r w:rsidR="00E6746B">
        <w:t>,</w:t>
      </w:r>
      <w:r>
        <w:t xml:space="preserve"> </w:t>
      </w:r>
      <w:r w:rsidR="001E0E8B">
        <w:t xml:space="preserve">and </w:t>
      </w:r>
      <w:r w:rsidR="00F328AC">
        <w:t>no significant differences were found between the two approaches</w:t>
      </w:r>
      <w:r w:rsidR="00F71B29">
        <w:t xml:space="preserve">. </w:t>
      </w:r>
      <w:r w:rsidR="002E15C9">
        <w:t xml:space="preserve">The </w:t>
      </w:r>
      <w:r w:rsidR="00F328AC">
        <w:t xml:space="preserve">difference </w:t>
      </w:r>
      <w:r w:rsidR="002E15C9">
        <w:t>between</w:t>
      </w:r>
      <w:r w:rsidR="00F328AC">
        <w:t xml:space="preserve"> the mean </w:t>
      </w:r>
      <w:r w:rsidR="00F71B29">
        <w:t>HDDS</w:t>
      </w:r>
      <w:r w:rsidR="00E6746B">
        <w:t xml:space="preserve"> across the two approaches</w:t>
      </w:r>
      <w:r w:rsidR="002E15C9">
        <w:t xml:space="preserve"> (open and list)</w:t>
      </w:r>
      <w:r w:rsidR="00E6746B">
        <w:t xml:space="preserve"> </w:t>
      </w:r>
      <w:r w:rsidR="00E67820">
        <w:t>is 0.2</w:t>
      </w:r>
      <w:r w:rsidR="00F328AC">
        <w:t>.</w:t>
      </w:r>
    </w:p>
    <w:p w14:paraId="08980676" w14:textId="06D97136" w:rsidR="007E5D1D" w:rsidRDefault="00C76375" w:rsidP="00453C51">
      <w:pPr>
        <w:jc w:val="both"/>
        <w:rPr>
          <w:rFonts w:ascii="Calibri" w:hAnsi="Calibri"/>
        </w:rPr>
      </w:pPr>
      <w:r>
        <w:rPr>
          <w:rFonts w:ascii="Calibri" w:hAnsi="Calibri"/>
        </w:rPr>
        <w:t>In addition, n</w:t>
      </w:r>
      <w:r w:rsidR="00956433">
        <w:rPr>
          <w:rFonts w:ascii="Calibri" w:hAnsi="Calibri"/>
        </w:rPr>
        <w:t xml:space="preserve">o </w:t>
      </w:r>
      <w:r w:rsidR="007E5D1D" w:rsidRPr="00956433">
        <w:rPr>
          <w:rFonts w:ascii="Calibri" w:hAnsi="Calibri"/>
        </w:rPr>
        <w:t>significant difference</w:t>
      </w:r>
      <w:r w:rsidR="0016137B">
        <w:rPr>
          <w:rFonts w:ascii="Calibri" w:hAnsi="Calibri"/>
        </w:rPr>
        <w:t>s</w:t>
      </w:r>
      <w:r w:rsidR="007E5D1D" w:rsidRPr="00956433">
        <w:rPr>
          <w:rFonts w:ascii="Calibri" w:hAnsi="Calibri"/>
        </w:rPr>
        <w:t xml:space="preserve"> </w:t>
      </w:r>
      <w:r w:rsidR="0016137B">
        <w:rPr>
          <w:rFonts w:ascii="Calibri" w:hAnsi="Calibri"/>
        </w:rPr>
        <w:t>were</w:t>
      </w:r>
      <w:r w:rsidR="00956433">
        <w:rPr>
          <w:rFonts w:ascii="Calibri" w:hAnsi="Calibri"/>
        </w:rPr>
        <w:t xml:space="preserve"> found </w:t>
      </w:r>
      <w:r w:rsidR="007E5D1D" w:rsidRPr="00956433">
        <w:rPr>
          <w:rFonts w:ascii="Calibri" w:hAnsi="Calibri"/>
        </w:rPr>
        <w:t xml:space="preserve">in the proportion of </w:t>
      </w:r>
      <w:r w:rsidR="00647A72">
        <w:rPr>
          <w:rFonts w:ascii="Calibri" w:hAnsi="Calibri"/>
        </w:rPr>
        <w:t>households</w:t>
      </w:r>
      <w:r w:rsidR="00647A72" w:rsidRPr="00956433">
        <w:rPr>
          <w:rFonts w:ascii="Calibri" w:hAnsi="Calibri"/>
        </w:rPr>
        <w:t xml:space="preserve"> </w:t>
      </w:r>
      <w:r w:rsidR="007E5D1D" w:rsidRPr="00956433">
        <w:rPr>
          <w:rFonts w:ascii="Calibri" w:hAnsi="Calibri"/>
        </w:rPr>
        <w:t xml:space="preserve">who consumed </w:t>
      </w:r>
      <w:r w:rsidR="007E5D1D" w:rsidRPr="00956433">
        <w:rPr>
          <w:rFonts w:ascii="Calibri" w:hAnsi="Calibri"/>
          <w:i/>
          <w:iCs/>
        </w:rPr>
        <w:t xml:space="preserve">cereals, roots, </w:t>
      </w:r>
      <w:r w:rsidR="00956433">
        <w:rPr>
          <w:rFonts w:ascii="Calibri" w:hAnsi="Calibri"/>
          <w:i/>
          <w:iCs/>
        </w:rPr>
        <w:t>fruits</w:t>
      </w:r>
      <w:r w:rsidR="007E5D1D" w:rsidRPr="00956433">
        <w:rPr>
          <w:rFonts w:ascii="Calibri" w:hAnsi="Calibri"/>
          <w:i/>
          <w:iCs/>
        </w:rPr>
        <w:t>,</w:t>
      </w:r>
      <w:r w:rsidR="00956433">
        <w:rPr>
          <w:rFonts w:ascii="Calibri" w:hAnsi="Calibri"/>
          <w:i/>
          <w:iCs/>
        </w:rPr>
        <w:t xml:space="preserve"> meat</w:t>
      </w:r>
      <w:r w:rsidR="007E5D1D" w:rsidRPr="00956433">
        <w:rPr>
          <w:rFonts w:ascii="Calibri" w:hAnsi="Calibri"/>
          <w:i/>
          <w:iCs/>
        </w:rPr>
        <w:t xml:space="preserve">, fish and sugar </w:t>
      </w:r>
      <w:r w:rsidR="007E5D1D" w:rsidRPr="00956433">
        <w:rPr>
          <w:rFonts w:ascii="Calibri" w:hAnsi="Calibri"/>
        </w:rPr>
        <w:t xml:space="preserve">between the </w:t>
      </w:r>
      <w:r w:rsidR="0016137B">
        <w:rPr>
          <w:rFonts w:ascii="Calibri" w:hAnsi="Calibri"/>
        </w:rPr>
        <w:t xml:space="preserve">two </w:t>
      </w:r>
      <w:r w:rsidR="00647A72">
        <w:rPr>
          <w:rFonts w:ascii="Calibri" w:hAnsi="Calibri"/>
        </w:rPr>
        <w:t>approaches</w:t>
      </w:r>
      <w:r w:rsidR="00E6746B">
        <w:rPr>
          <w:rFonts w:ascii="Calibri" w:hAnsi="Calibri"/>
        </w:rPr>
        <w:t xml:space="preserve"> (</w:t>
      </w:r>
      <w:r w:rsidR="00271912">
        <w:rPr>
          <w:rFonts w:ascii="Calibri" w:hAnsi="Calibri"/>
        </w:rPr>
        <w:t>open and list</w:t>
      </w:r>
      <w:r w:rsidR="00E6746B">
        <w:rPr>
          <w:rFonts w:ascii="Calibri" w:hAnsi="Calibri"/>
        </w:rPr>
        <w:t>)</w:t>
      </w:r>
      <w:r w:rsidR="00956433">
        <w:rPr>
          <w:rFonts w:ascii="Calibri" w:hAnsi="Calibri"/>
        </w:rPr>
        <w:t xml:space="preserve">. </w:t>
      </w:r>
      <w:r w:rsidR="00271912">
        <w:rPr>
          <w:rFonts w:ascii="Calibri" w:hAnsi="Calibri"/>
        </w:rPr>
        <w:t>That said,</w:t>
      </w:r>
      <w:r w:rsidR="00956433">
        <w:rPr>
          <w:rFonts w:ascii="Calibri" w:hAnsi="Calibri"/>
        </w:rPr>
        <w:t xml:space="preserve"> a</w:t>
      </w:r>
      <w:r w:rsidR="007E5D1D" w:rsidRPr="005359AF">
        <w:rPr>
          <w:rFonts w:ascii="Calibri" w:hAnsi="Calibri"/>
        </w:rPr>
        <w:t xml:space="preserve"> higher percentage of respondents interviewed using t</w:t>
      </w:r>
      <w:r w:rsidR="00956433">
        <w:rPr>
          <w:rFonts w:ascii="Calibri" w:hAnsi="Calibri"/>
        </w:rPr>
        <w:t>he “</w:t>
      </w:r>
      <w:r w:rsidR="00271912">
        <w:rPr>
          <w:rFonts w:ascii="Calibri" w:hAnsi="Calibri"/>
        </w:rPr>
        <w:t>list based</w:t>
      </w:r>
      <w:r w:rsidR="00956433">
        <w:rPr>
          <w:rFonts w:ascii="Calibri" w:hAnsi="Calibri"/>
        </w:rPr>
        <w:t>” method</w:t>
      </w:r>
      <w:r w:rsidR="007E5D1D" w:rsidRPr="005359AF">
        <w:rPr>
          <w:rFonts w:ascii="Calibri" w:hAnsi="Calibri"/>
        </w:rPr>
        <w:t xml:space="preserve"> report</w:t>
      </w:r>
      <w:r w:rsidR="005359AF">
        <w:rPr>
          <w:rFonts w:ascii="Calibri" w:hAnsi="Calibri"/>
        </w:rPr>
        <w:t xml:space="preserve">ed eating </w:t>
      </w:r>
      <w:r w:rsidR="00DD7B8A">
        <w:rPr>
          <w:rFonts w:ascii="Calibri" w:hAnsi="Calibri"/>
        </w:rPr>
        <w:t xml:space="preserve">more </w:t>
      </w:r>
      <w:r w:rsidR="005359AF">
        <w:rPr>
          <w:rFonts w:ascii="Calibri" w:hAnsi="Calibri"/>
        </w:rPr>
        <w:t xml:space="preserve">eggs, dairy and </w:t>
      </w:r>
      <w:r w:rsidR="00956433">
        <w:rPr>
          <w:rFonts w:ascii="Calibri" w:hAnsi="Calibri"/>
        </w:rPr>
        <w:t>condiments</w:t>
      </w:r>
      <w:r w:rsidR="00271912">
        <w:rPr>
          <w:rFonts w:ascii="Calibri" w:hAnsi="Calibri"/>
        </w:rPr>
        <w:t>,</w:t>
      </w:r>
      <w:r w:rsidR="00956433">
        <w:rPr>
          <w:rFonts w:ascii="Calibri" w:hAnsi="Calibri"/>
        </w:rPr>
        <w:t xml:space="preserve"> </w:t>
      </w:r>
      <w:r w:rsidR="00DD7B8A">
        <w:rPr>
          <w:rFonts w:ascii="Calibri" w:hAnsi="Calibri"/>
        </w:rPr>
        <w:t xml:space="preserve">and a lower percentage of respondents reported eating less pulses and vegetables </w:t>
      </w:r>
      <w:r w:rsidR="007E5D1D" w:rsidRPr="005359AF">
        <w:rPr>
          <w:rFonts w:ascii="Calibri" w:hAnsi="Calibri"/>
        </w:rPr>
        <w:t>compared to respondents interviewed using th</w:t>
      </w:r>
      <w:r w:rsidR="00956433">
        <w:rPr>
          <w:rFonts w:ascii="Calibri" w:hAnsi="Calibri"/>
        </w:rPr>
        <w:t>e “</w:t>
      </w:r>
      <w:r w:rsidR="00271912">
        <w:rPr>
          <w:rFonts w:ascii="Calibri" w:hAnsi="Calibri"/>
        </w:rPr>
        <w:t>open-based</w:t>
      </w:r>
      <w:r w:rsidR="00956433">
        <w:rPr>
          <w:rFonts w:ascii="Calibri" w:hAnsi="Calibri"/>
        </w:rPr>
        <w:t>” method</w:t>
      </w:r>
      <w:r w:rsidR="00DD7B8A">
        <w:rPr>
          <w:rFonts w:ascii="Calibri" w:hAnsi="Calibri"/>
        </w:rPr>
        <w:t xml:space="preserve"> (Figure</w:t>
      </w:r>
      <w:r w:rsidR="003C27AB">
        <w:rPr>
          <w:rFonts w:ascii="Calibri" w:hAnsi="Calibri"/>
        </w:rPr>
        <w:t xml:space="preserve"> </w:t>
      </w:r>
      <w:r w:rsidR="00E36021">
        <w:rPr>
          <w:rFonts w:ascii="Calibri" w:hAnsi="Calibri"/>
        </w:rPr>
        <w:t>4</w:t>
      </w:r>
      <w:r w:rsidR="00DD7B8A">
        <w:rPr>
          <w:rFonts w:ascii="Calibri" w:hAnsi="Calibri"/>
        </w:rPr>
        <w:t>).</w:t>
      </w:r>
    </w:p>
    <w:p w14:paraId="4B3CA52C" w14:textId="77777777" w:rsidR="00B2154A" w:rsidRPr="00E36021" w:rsidRDefault="00B2154A" w:rsidP="00453C51">
      <w:pPr>
        <w:jc w:val="both"/>
        <w:rPr>
          <w:rFonts w:ascii="Calibri" w:hAnsi="Calibri"/>
          <w:b/>
          <w:i/>
        </w:rPr>
      </w:pPr>
      <w:r w:rsidRPr="00E36021">
        <w:rPr>
          <w:rFonts w:ascii="Calibri" w:hAnsi="Calibri"/>
          <w:b/>
          <w:i/>
        </w:rPr>
        <w:lastRenderedPageBreak/>
        <w:t>Figure</w:t>
      </w:r>
      <w:r w:rsidR="003C27AB" w:rsidRPr="00E36021">
        <w:rPr>
          <w:rFonts w:ascii="Calibri" w:hAnsi="Calibri"/>
          <w:b/>
          <w:i/>
        </w:rPr>
        <w:t xml:space="preserve"> </w:t>
      </w:r>
      <w:r w:rsidR="00A93610" w:rsidRPr="00E36021">
        <w:rPr>
          <w:rFonts w:ascii="Calibri" w:hAnsi="Calibri"/>
          <w:b/>
          <w:i/>
        </w:rPr>
        <w:t>4</w:t>
      </w:r>
      <w:r w:rsidRPr="00E36021">
        <w:rPr>
          <w:rFonts w:ascii="Calibri" w:hAnsi="Calibri"/>
          <w:b/>
          <w:i/>
        </w:rPr>
        <w:t>: Percentage of household</w:t>
      </w:r>
      <w:r w:rsidR="00DD7B8A" w:rsidRPr="00E36021">
        <w:rPr>
          <w:rFonts w:ascii="Calibri" w:hAnsi="Calibri"/>
          <w:b/>
          <w:i/>
        </w:rPr>
        <w:t>s</w:t>
      </w:r>
      <w:r w:rsidRPr="00E36021">
        <w:rPr>
          <w:rFonts w:ascii="Calibri" w:hAnsi="Calibri"/>
          <w:b/>
          <w:i/>
        </w:rPr>
        <w:t xml:space="preserve"> who consumed specific food item</w:t>
      </w:r>
      <w:r w:rsidR="00DD7B8A" w:rsidRPr="00E36021">
        <w:rPr>
          <w:rFonts w:ascii="Calibri" w:hAnsi="Calibri"/>
          <w:b/>
          <w:i/>
        </w:rPr>
        <w:t>s</w:t>
      </w:r>
      <w:r w:rsidRPr="00E36021">
        <w:rPr>
          <w:rFonts w:ascii="Calibri" w:hAnsi="Calibri"/>
          <w:b/>
          <w:i/>
        </w:rPr>
        <w:t xml:space="preserve"> in the previous 24 hours</w:t>
      </w:r>
    </w:p>
    <w:p w14:paraId="70996DAF" w14:textId="77777777" w:rsidR="00B2154A" w:rsidRPr="00B2154A" w:rsidRDefault="00B2154A" w:rsidP="00453C51">
      <w:pPr>
        <w:ind w:left="360"/>
        <w:jc w:val="both"/>
        <w:rPr>
          <w:rFonts w:ascii="Calibri" w:hAnsi="Calibri"/>
        </w:rPr>
      </w:pPr>
      <w:r>
        <w:rPr>
          <w:noProof/>
          <w:lang w:val="en-GB" w:eastAsia="en-GB"/>
        </w:rPr>
        <w:drawing>
          <wp:inline distT="0" distB="0" distL="0" distR="0" wp14:anchorId="5A87AB05" wp14:editId="21B8D67B">
            <wp:extent cx="3448050" cy="2068830"/>
            <wp:effectExtent l="0" t="0" r="0" b="7620"/>
            <wp:docPr id="17" name="Picture 17" descr="cid:image001.png@01D340F7.03ACC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1.png@01D340F7.03ACC37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448050" cy="2068830"/>
                    </a:xfrm>
                    <a:prstGeom prst="rect">
                      <a:avLst/>
                    </a:prstGeom>
                    <a:noFill/>
                    <a:ln>
                      <a:noFill/>
                    </a:ln>
                  </pic:spPr>
                </pic:pic>
              </a:graphicData>
            </a:graphic>
          </wp:inline>
        </w:drawing>
      </w:r>
    </w:p>
    <w:p w14:paraId="4911D792" w14:textId="5ED8DC4A" w:rsidR="00D12D31" w:rsidRPr="00D12D31" w:rsidRDefault="008547F2" w:rsidP="00453C51">
      <w:pPr>
        <w:spacing w:after="0" w:line="240" w:lineRule="auto"/>
        <w:jc w:val="both"/>
        <w:rPr>
          <w:bCs/>
        </w:rPr>
      </w:pPr>
      <w:r>
        <w:rPr>
          <w:bCs/>
        </w:rPr>
        <w:t>Since</w:t>
      </w:r>
      <w:r w:rsidR="0016137B" w:rsidRPr="0016137B">
        <w:rPr>
          <w:bCs/>
        </w:rPr>
        <w:t xml:space="preserve"> </w:t>
      </w:r>
      <w:r w:rsidR="001E4B18">
        <w:rPr>
          <w:bCs/>
        </w:rPr>
        <w:t xml:space="preserve">the </w:t>
      </w:r>
      <w:r w:rsidR="0016137B" w:rsidRPr="0016137B">
        <w:rPr>
          <w:bCs/>
        </w:rPr>
        <w:t xml:space="preserve">results </w:t>
      </w:r>
      <w:r w:rsidR="00221189">
        <w:rPr>
          <w:bCs/>
        </w:rPr>
        <w:t xml:space="preserve">do not </w:t>
      </w:r>
      <w:r w:rsidRPr="00D12D31">
        <w:rPr>
          <w:bCs/>
        </w:rPr>
        <w:t>reveal</w:t>
      </w:r>
      <w:r>
        <w:rPr>
          <w:bCs/>
        </w:rPr>
        <w:t xml:space="preserve"> any statistical</w:t>
      </w:r>
      <w:r w:rsidR="00271912">
        <w:rPr>
          <w:bCs/>
        </w:rPr>
        <w:t>ly</w:t>
      </w:r>
      <w:r>
        <w:rPr>
          <w:bCs/>
        </w:rPr>
        <w:t xml:space="preserve"> </w:t>
      </w:r>
      <w:r w:rsidR="00D12D31" w:rsidRPr="00D12D31">
        <w:rPr>
          <w:bCs/>
        </w:rPr>
        <w:t xml:space="preserve">significant differences in the </w:t>
      </w:r>
      <w:r w:rsidR="00D12D31" w:rsidRPr="0016137B">
        <w:rPr>
          <w:bCs/>
        </w:rPr>
        <w:t>Household D</w:t>
      </w:r>
      <w:r w:rsidR="00D12D31" w:rsidRPr="00D12D31">
        <w:rPr>
          <w:bCs/>
        </w:rPr>
        <w:t xml:space="preserve">ietary </w:t>
      </w:r>
      <w:r w:rsidR="00D12D31" w:rsidRPr="0016137B">
        <w:rPr>
          <w:bCs/>
        </w:rPr>
        <w:t>Diversity S</w:t>
      </w:r>
      <w:r w:rsidR="00D12D31" w:rsidRPr="00D12D31">
        <w:rPr>
          <w:bCs/>
        </w:rPr>
        <w:t xml:space="preserve">core </w:t>
      </w:r>
      <w:r w:rsidR="00D12D31" w:rsidRPr="0016137B">
        <w:rPr>
          <w:bCs/>
        </w:rPr>
        <w:t xml:space="preserve">(HDDS) </w:t>
      </w:r>
      <w:r w:rsidR="00D12D31" w:rsidRPr="00D12D31">
        <w:rPr>
          <w:bCs/>
        </w:rPr>
        <w:t xml:space="preserve">from the two </w:t>
      </w:r>
      <w:r w:rsidR="00D12D31" w:rsidRPr="0016137B">
        <w:rPr>
          <w:bCs/>
        </w:rPr>
        <w:t>groups of respondents</w:t>
      </w:r>
      <w:r w:rsidR="00D12D31" w:rsidRPr="00D12D31">
        <w:rPr>
          <w:bCs/>
        </w:rPr>
        <w:t xml:space="preserve"> </w:t>
      </w:r>
      <w:r w:rsidR="0016137B" w:rsidRPr="0016137B">
        <w:rPr>
          <w:bCs/>
        </w:rPr>
        <w:t xml:space="preserve">who were interviewed using the </w:t>
      </w:r>
      <w:r w:rsidR="00221189">
        <w:rPr>
          <w:bCs/>
        </w:rPr>
        <w:t>two</w:t>
      </w:r>
      <w:r w:rsidR="0016137B" w:rsidRPr="0016137B">
        <w:rPr>
          <w:bCs/>
        </w:rPr>
        <w:t xml:space="preserve"> different approaches </w:t>
      </w:r>
      <w:r w:rsidR="00221189">
        <w:rPr>
          <w:bCs/>
        </w:rPr>
        <w:t>(</w:t>
      </w:r>
      <w:r w:rsidR="00271912">
        <w:rPr>
          <w:bCs/>
        </w:rPr>
        <w:t>open and list</w:t>
      </w:r>
      <w:r w:rsidR="00221189">
        <w:rPr>
          <w:bCs/>
        </w:rPr>
        <w:t>)</w:t>
      </w:r>
      <w:r>
        <w:rPr>
          <w:bCs/>
        </w:rPr>
        <w:t xml:space="preserve">, </w:t>
      </w:r>
      <w:r w:rsidR="00D12D31" w:rsidRPr="00D12D31">
        <w:rPr>
          <w:bCs/>
        </w:rPr>
        <w:t xml:space="preserve">the data </w:t>
      </w:r>
      <w:r w:rsidR="0016137B" w:rsidRPr="0016137B">
        <w:rPr>
          <w:bCs/>
        </w:rPr>
        <w:t>from both groups</w:t>
      </w:r>
      <w:r w:rsidR="00120BA5">
        <w:rPr>
          <w:bCs/>
        </w:rPr>
        <w:t xml:space="preserve"> </w:t>
      </w:r>
      <w:r w:rsidR="00221189">
        <w:rPr>
          <w:bCs/>
        </w:rPr>
        <w:t xml:space="preserve">was </w:t>
      </w:r>
      <w:r w:rsidR="00120BA5">
        <w:rPr>
          <w:bCs/>
        </w:rPr>
        <w:t>aggregated when compar</w:t>
      </w:r>
      <w:r w:rsidR="00221189">
        <w:rPr>
          <w:bCs/>
        </w:rPr>
        <w:t>ing</w:t>
      </w:r>
      <w:r w:rsidR="00120BA5">
        <w:rPr>
          <w:bCs/>
        </w:rPr>
        <w:t xml:space="preserve"> the results with th</w:t>
      </w:r>
      <w:r w:rsidR="00221189">
        <w:rPr>
          <w:bCs/>
        </w:rPr>
        <w:t>ose collected via face-to-face data collection</w:t>
      </w:r>
      <w:r w:rsidR="00D12D31" w:rsidRPr="0016137B">
        <w:rPr>
          <w:bCs/>
        </w:rPr>
        <w:t>.</w:t>
      </w:r>
    </w:p>
    <w:p w14:paraId="4C87E5C3" w14:textId="77777777" w:rsidR="007E5D1D" w:rsidRPr="00D12D31" w:rsidRDefault="007E5D1D" w:rsidP="00453C51">
      <w:pPr>
        <w:jc w:val="both"/>
        <w:rPr>
          <w:b/>
        </w:rPr>
      </w:pPr>
    </w:p>
    <w:p w14:paraId="14864EFF" w14:textId="77777777" w:rsidR="001B49B2" w:rsidRDefault="001B49B2" w:rsidP="00453C51">
      <w:pPr>
        <w:jc w:val="both"/>
        <w:rPr>
          <w:b/>
        </w:rPr>
      </w:pPr>
      <w:r>
        <w:rPr>
          <w:b/>
        </w:rPr>
        <w:br w:type="page"/>
      </w:r>
    </w:p>
    <w:p w14:paraId="7F91485A" w14:textId="77777777" w:rsidR="00004A25" w:rsidRPr="005A5FD3" w:rsidRDefault="00004A25" w:rsidP="00453C51">
      <w:pPr>
        <w:jc w:val="both"/>
        <w:rPr>
          <w:sz w:val="28"/>
          <w:szCs w:val="28"/>
        </w:rPr>
      </w:pPr>
      <w:r w:rsidRPr="005A5FD3">
        <w:rPr>
          <w:b/>
          <w:sz w:val="28"/>
          <w:szCs w:val="28"/>
        </w:rPr>
        <w:lastRenderedPageBreak/>
        <w:t>HDDS mode test (F2F</w:t>
      </w:r>
      <w:r w:rsidR="00D70E83">
        <w:rPr>
          <w:b/>
          <w:sz w:val="28"/>
          <w:szCs w:val="28"/>
        </w:rPr>
        <w:t xml:space="preserve"> vs CATI</w:t>
      </w:r>
      <w:r w:rsidRPr="005A5FD3">
        <w:rPr>
          <w:b/>
          <w:sz w:val="28"/>
          <w:szCs w:val="28"/>
        </w:rPr>
        <w:t>) for the June</w:t>
      </w:r>
      <w:r w:rsidR="005A5FD3">
        <w:rPr>
          <w:b/>
          <w:sz w:val="28"/>
          <w:szCs w:val="28"/>
        </w:rPr>
        <w:t>/July 2017</w:t>
      </w:r>
      <w:r w:rsidRPr="005A5FD3">
        <w:rPr>
          <w:b/>
          <w:sz w:val="28"/>
          <w:szCs w:val="28"/>
        </w:rPr>
        <w:t xml:space="preserve"> survey</w:t>
      </w:r>
    </w:p>
    <w:p w14:paraId="03919BFC" w14:textId="5FC45CF8" w:rsidR="00CA30F5" w:rsidRPr="005D38ED" w:rsidRDefault="00FD08F4" w:rsidP="00453C51">
      <w:pPr>
        <w:jc w:val="both"/>
      </w:pPr>
      <w:r>
        <w:t>We</w:t>
      </w:r>
      <w:r w:rsidR="00021B4A">
        <w:t xml:space="preserve"> then</w:t>
      </w:r>
      <w:r>
        <w:t xml:space="preserve"> compare</w:t>
      </w:r>
      <w:r w:rsidR="000B2698">
        <w:t xml:space="preserve"> </w:t>
      </w:r>
      <w:r>
        <w:t xml:space="preserve">the </w:t>
      </w:r>
      <w:r w:rsidR="000B2698">
        <w:t>combined results from the</w:t>
      </w:r>
      <w:r w:rsidR="00431FB9">
        <w:t xml:space="preserve"> June and July 2017</w:t>
      </w:r>
      <w:r w:rsidR="000B2698">
        <w:t xml:space="preserve"> CATI list and open samples </w:t>
      </w:r>
      <w:r w:rsidR="00431FB9">
        <w:t>with the F2F</w:t>
      </w:r>
      <w:r w:rsidR="00431FB9">
        <w:rPr>
          <w:rStyle w:val="FootnoteReference"/>
        </w:rPr>
        <w:footnoteReference w:id="1"/>
      </w:r>
      <w:r w:rsidR="00431FB9">
        <w:t xml:space="preserve"> survey </w:t>
      </w:r>
      <w:r w:rsidR="00021B4A">
        <w:t xml:space="preserve">to better understand any differences that occurred between the two modalities. </w:t>
      </w:r>
    </w:p>
    <w:p w14:paraId="6CCB9A78" w14:textId="77777777" w:rsidR="00004A25" w:rsidRPr="00E67820" w:rsidRDefault="00004A25" w:rsidP="00453C51">
      <w:pPr>
        <w:pStyle w:val="Heading2"/>
        <w:jc w:val="both"/>
        <w:rPr>
          <w:b/>
          <w:bCs/>
          <w:color w:val="000000" w:themeColor="text1"/>
        </w:rPr>
      </w:pPr>
      <w:r w:rsidRPr="00E67820">
        <w:rPr>
          <w:b/>
          <w:bCs/>
          <w:color w:val="000000" w:themeColor="text1"/>
        </w:rPr>
        <w:t>Samples</w:t>
      </w:r>
    </w:p>
    <w:p w14:paraId="59F1DBF6" w14:textId="5BD72311" w:rsidR="00004A25" w:rsidRDefault="00492AEB" w:rsidP="00453C51">
      <w:pPr>
        <w:jc w:val="both"/>
      </w:pPr>
      <w:r>
        <w:t xml:space="preserve">Before looking at the </w:t>
      </w:r>
      <w:r w:rsidR="00E67820">
        <w:t xml:space="preserve">HDDS </w:t>
      </w:r>
      <w:r>
        <w:t>results obtained with different survey</w:t>
      </w:r>
      <w:r w:rsidR="000328B9">
        <w:t xml:space="preserve"> methods</w:t>
      </w:r>
      <w:r>
        <w:t>, we analyze</w:t>
      </w:r>
      <w:r w:rsidR="00271912">
        <w:t>d</w:t>
      </w:r>
      <w:r>
        <w:t xml:space="preserve"> and compare</w:t>
      </w:r>
      <w:r w:rsidR="00271912">
        <w:t>d</w:t>
      </w:r>
      <w:r w:rsidR="000328B9">
        <w:t xml:space="preserve"> </w:t>
      </w:r>
      <w:r>
        <w:t>the sample’s demographics</w:t>
      </w:r>
      <w:r w:rsidR="00B6464E">
        <w:t xml:space="preserve"> in an attempt</w:t>
      </w:r>
      <w:r>
        <w:t xml:space="preserve"> to identify any significant differences</w:t>
      </w:r>
      <w:r w:rsidR="00A206F1">
        <w:t xml:space="preserve"> that could affect the HDDS score</w:t>
      </w:r>
      <w:r w:rsidR="00CB2963">
        <w:t>. In particular</w:t>
      </w:r>
      <w:r w:rsidR="00314B75">
        <w:t>,</w:t>
      </w:r>
      <w:r w:rsidR="00CB2963">
        <w:t xml:space="preserve"> we comp</w:t>
      </w:r>
      <w:r w:rsidR="00385CA3">
        <w:t>are</w:t>
      </w:r>
      <w:r w:rsidR="00271912">
        <w:t>d</w:t>
      </w:r>
      <w:r w:rsidR="00CB2963">
        <w:t xml:space="preserve"> the </w:t>
      </w:r>
      <w:r w:rsidR="00314B75">
        <w:t>two samples</w:t>
      </w:r>
      <w:r w:rsidR="00271912">
        <w:t>—along with their significance values—</w:t>
      </w:r>
      <w:r w:rsidR="00314B75">
        <w:t xml:space="preserve"> </w:t>
      </w:r>
      <w:r w:rsidR="00271912">
        <w:t xml:space="preserve">for </w:t>
      </w:r>
      <w:r w:rsidR="00A206F1">
        <w:t>gender, income sources</w:t>
      </w:r>
      <w:r w:rsidR="00271912">
        <w:t>,</w:t>
      </w:r>
      <w:r w:rsidR="00A206F1">
        <w:t xml:space="preserve"> and shocks</w:t>
      </w:r>
      <w:r w:rsidR="00314B75">
        <w:t xml:space="preserve"> faced</w:t>
      </w:r>
      <w:r w:rsidR="00271912">
        <w:t xml:space="preserve"> </w:t>
      </w:r>
      <w:r w:rsidR="00CB2963">
        <w:t xml:space="preserve">to quantify the differences </w:t>
      </w:r>
      <w:r w:rsidR="00A206F1">
        <w:t>across the F2F and CATI samples.</w:t>
      </w:r>
    </w:p>
    <w:p w14:paraId="2E905BA3" w14:textId="67693032" w:rsidR="002A6845" w:rsidRPr="00E36021" w:rsidRDefault="0010178F" w:rsidP="00453C51">
      <w:pPr>
        <w:jc w:val="both"/>
        <w:rPr>
          <w:rFonts w:ascii="Calibri" w:hAnsi="Calibri"/>
          <w:b/>
          <w:i/>
        </w:rPr>
      </w:pPr>
      <w:r w:rsidRPr="00E36021">
        <w:rPr>
          <w:rFonts w:ascii="Calibri" w:hAnsi="Calibri"/>
          <w:b/>
          <w:i/>
        </w:rPr>
        <w:t>Table</w:t>
      </w:r>
      <w:r w:rsidR="003402AE" w:rsidRPr="00E36021">
        <w:rPr>
          <w:rFonts w:ascii="Calibri" w:hAnsi="Calibri"/>
          <w:b/>
          <w:i/>
        </w:rPr>
        <w:t>1</w:t>
      </w:r>
      <w:r w:rsidRPr="00E36021">
        <w:rPr>
          <w:rFonts w:ascii="Calibri" w:hAnsi="Calibri"/>
          <w:b/>
          <w:i/>
        </w:rPr>
        <w:t>. P</w:t>
      </w:r>
      <w:r w:rsidR="002A6845" w:rsidRPr="00E36021">
        <w:rPr>
          <w:rFonts w:ascii="Calibri" w:hAnsi="Calibri"/>
          <w:b/>
          <w:i/>
        </w:rPr>
        <w:t xml:space="preserve">opulation's proportions in F2F and </w:t>
      </w:r>
      <w:r w:rsidRPr="00E36021">
        <w:rPr>
          <w:rFonts w:ascii="Calibri" w:hAnsi="Calibri"/>
          <w:b/>
          <w:i/>
        </w:rPr>
        <w:t>CATI</w:t>
      </w:r>
      <w:r w:rsidR="002A6845" w:rsidRPr="00E36021">
        <w:rPr>
          <w:rFonts w:ascii="Calibri" w:hAnsi="Calibri"/>
          <w:b/>
          <w:i/>
        </w:rPr>
        <w:t xml:space="preserve"> sur</w:t>
      </w:r>
      <w:r w:rsidR="004D2612" w:rsidRPr="00E36021">
        <w:rPr>
          <w:rFonts w:ascii="Calibri" w:hAnsi="Calibri"/>
          <w:b/>
          <w:i/>
        </w:rPr>
        <w:t>v</w:t>
      </w:r>
      <w:r w:rsidR="002A6845" w:rsidRPr="00E36021">
        <w:rPr>
          <w:rFonts w:ascii="Calibri" w:hAnsi="Calibri"/>
          <w:b/>
          <w:i/>
        </w:rPr>
        <w:t>eys</w:t>
      </w:r>
    </w:p>
    <w:tbl>
      <w:tblPr>
        <w:tblW w:w="6663" w:type="dxa"/>
        <w:tblLook w:val="04A0" w:firstRow="1" w:lastRow="0" w:firstColumn="1" w:lastColumn="0" w:noHBand="0" w:noVBand="1"/>
      </w:tblPr>
      <w:tblGrid>
        <w:gridCol w:w="3240"/>
        <w:gridCol w:w="1155"/>
        <w:gridCol w:w="1141"/>
        <w:gridCol w:w="1127"/>
      </w:tblGrid>
      <w:tr w:rsidR="00DB789A" w:rsidRPr="00B24840" w14:paraId="6A07095A" w14:textId="77777777" w:rsidTr="004E175C">
        <w:trPr>
          <w:trHeight w:val="345"/>
        </w:trPr>
        <w:tc>
          <w:tcPr>
            <w:tcW w:w="3240" w:type="dxa"/>
            <w:tcBorders>
              <w:top w:val="nil"/>
              <w:left w:val="nil"/>
              <w:bottom w:val="single" w:sz="18" w:space="0" w:color="auto"/>
              <w:right w:val="nil"/>
            </w:tcBorders>
            <w:shd w:val="clear" w:color="auto" w:fill="auto"/>
            <w:noWrap/>
            <w:vAlign w:val="center"/>
            <w:hideMark/>
          </w:tcPr>
          <w:p w14:paraId="73184BF0"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eastAsia="en-GB"/>
              </w:rPr>
              <w:t>Variable</w:t>
            </w:r>
          </w:p>
        </w:tc>
        <w:tc>
          <w:tcPr>
            <w:tcW w:w="1155" w:type="dxa"/>
            <w:tcBorders>
              <w:top w:val="nil"/>
              <w:left w:val="nil"/>
              <w:bottom w:val="single" w:sz="18" w:space="0" w:color="auto"/>
              <w:right w:val="nil"/>
            </w:tcBorders>
            <w:shd w:val="clear" w:color="auto" w:fill="auto"/>
            <w:noWrap/>
            <w:vAlign w:val="center"/>
            <w:hideMark/>
          </w:tcPr>
          <w:p w14:paraId="06261A38"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eastAsia="en-GB"/>
              </w:rPr>
              <w:t xml:space="preserve"> F2F </w:t>
            </w:r>
          </w:p>
        </w:tc>
        <w:tc>
          <w:tcPr>
            <w:tcW w:w="1141" w:type="dxa"/>
            <w:tcBorders>
              <w:top w:val="nil"/>
              <w:left w:val="nil"/>
              <w:bottom w:val="single" w:sz="18" w:space="0" w:color="auto"/>
              <w:right w:val="nil"/>
            </w:tcBorders>
            <w:shd w:val="clear" w:color="auto" w:fill="auto"/>
            <w:noWrap/>
            <w:vAlign w:val="center"/>
            <w:hideMark/>
          </w:tcPr>
          <w:p w14:paraId="7EC89CB3"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eastAsia="en-GB"/>
              </w:rPr>
              <w:t xml:space="preserve">  CATI </w:t>
            </w:r>
          </w:p>
        </w:tc>
        <w:tc>
          <w:tcPr>
            <w:tcW w:w="1127" w:type="dxa"/>
            <w:tcBorders>
              <w:top w:val="nil"/>
              <w:left w:val="nil"/>
              <w:bottom w:val="single" w:sz="18" w:space="0" w:color="auto"/>
              <w:right w:val="nil"/>
            </w:tcBorders>
            <w:shd w:val="clear" w:color="auto" w:fill="auto"/>
            <w:noWrap/>
            <w:vAlign w:val="center"/>
            <w:hideMark/>
          </w:tcPr>
          <w:p w14:paraId="71306E5E"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eastAsia="en-GB"/>
              </w:rPr>
              <w:t>p-value</w:t>
            </w:r>
          </w:p>
        </w:tc>
      </w:tr>
      <w:tr w:rsidR="00DB789A" w:rsidRPr="00B24840" w14:paraId="28C6DF70" w14:textId="77777777" w:rsidTr="004E175C">
        <w:trPr>
          <w:trHeight w:val="315"/>
        </w:trPr>
        <w:tc>
          <w:tcPr>
            <w:tcW w:w="3240" w:type="dxa"/>
            <w:tcBorders>
              <w:top w:val="single" w:sz="4" w:space="0" w:color="auto"/>
              <w:left w:val="nil"/>
              <w:bottom w:val="nil"/>
              <w:right w:val="nil"/>
            </w:tcBorders>
            <w:shd w:val="clear" w:color="auto" w:fill="auto"/>
            <w:noWrap/>
            <w:vAlign w:val="bottom"/>
            <w:hideMark/>
          </w:tcPr>
          <w:p w14:paraId="2AFEAF9E"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eastAsia="en-GB"/>
              </w:rPr>
              <w:t>Sex of head of household (M)</w:t>
            </w:r>
          </w:p>
        </w:tc>
        <w:tc>
          <w:tcPr>
            <w:tcW w:w="1155" w:type="dxa"/>
            <w:tcBorders>
              <w:top w:val="single" w:sz="4" w:space="0" w:color="auto"/>
              <w:left w:val="nil"/>
              <w:bottom w:val="nil"/>
              <w:right w:val="nil"/>
            </w:tcBorders>
            <w:shd w:val="clear" w:color="auto" w:fill="auto"/>
            <w:noWrap/>
            <w:vAlign w:val="center"/>
            <w:hideMark/>
          </w:tcPr>
          <w:p w14:paraId="07A405C9" w14:textId="77777777" w:rsidR="00DB789A" w:rsidRPr="00B24840" w:rsidRDefault="00DB789A" w:rsidP="00453C51">
            <w:pPr>
              <w:spacing w:after="0" w:line="240" w:lineRule="auto"/>
              <w:jc w:val="both"/>
              <w:rPr>
                <w:rFonts w:ascii="Calibri" w:eastAsia="Times New Roman" w:hAnsi="Calibri" w:cs="Calibri"/>
                <w:b/>
                <w:bCs/>
                <w:color w:val="000000"/>
                <w:lang w:val="en-GB" w:eastAsia="en-GB"/>
              </w:rPr>
            </w:pPr>
            <w:r w:rsidRPr="00B24840">
              <w:rPr>
                <w:rFonts w:ascii="Calibri" w:eastAsia="Times New Roman" w:hAnsi="Calibri" w:cs="Calibri"/>
                <w:color w:val="44546A"/>
                <w:lang w:val="en-GB" w:eastAsia="en-GB"/>
              </w:rPr>
              <w:t>6</w:t>
            </w:r>
            <w:r w:rsidR="00EF2C4D">
              <w:rPr>
                <w:rFonts w:ascii="Calibri" w:eastAsia="Times New Roman" w:hAnsi="Calibri" w:cs="Calibri"/>
                <w:color w:val="44546A"/>
                <w:lang w:val="en-GB" w:eastAsia="en-GB"/>
              </w:rPr>
              <w:t>6.8</w:t>
            </w:r>
            <w:r w:rsidRPr="00B24840">
              <w:rPr>
                <w:rFonts w:ascii="Calibri" w:eastAsia="Times New Roman" w:hAnsi="Calibri" w:cs="Calibri"/>
                <w:color w:val="44546A"/>
                <w:lang w:val="en-GB" w:eastAsia="en-GB"/>
              </w:rPr>
              <w:t>%</w:t>
            </w:r>
          </w:p>
        </w:tc>
        <w:tc>
          <w:tcPr>
            <w:tcW w:w="1141" w:type="dxa"/>
            <w:tcBorders>
              <w:top w:val="single" w:sz="4" w:space="0" w:color="auto"/>
              <w:left w:val="nil"/>
              <w:bottom w:val="nil"/>
              <w:right w:val="nil"/>
            </w:tcBorders>
            <w:shd w:val="clear" w:color="auto" w:fill="auto"/>
            <w:noWrap/>
            <w:vAlign w:val="center"/>
            <w:hideMark/>
          </w:tcPr>
          <w:p w14:paraId="3A7EAB23" w14:textId="77777777" w:rsidR="00DB789A" w:rsidRPr="00B24840" w:rsidRDefault="00DB789A" w:rsidP="00453C51">
            <w:pPr>
              <w:spacing w:after="0" w:line="240" w:lineRule="auto"/>
              <w:jc w:val="both"/>
              <w:rPr>
                <w:rFonts w:ascii="Calibri" w:eastAsia="Times New Roman" w:hAnsi="Calibri" w:cs="Calibri"/>
                <w:b/>
                <w:bCs/>
                <w:color w:val="000000"/>
                <w:lang w:val="en-GB" w:eastAsia="en-GB"/>
              </w:rPr>
            </w:pPr>
            <w:r w:rsidRPr="00B24840">
              <w:rPr>
                <w:rFonts w:ascii="Calibri" w:eastAsia="Times New Roman" w:hAnsi="Calibri" w:cs="Calibri"/>
                <w:color w:val="44546A"/>
                <w:lang w:val="en-GB" w:eastAsia="en-GB"/>
              </w:rPr>
              <w:t>69</w:t>
            </w:r>
            <w:r w:rsidR="00EF2C4D">
              <w:rPr>
                <w:rFonts w:ascii="Calibri" w:eastAsia="Times New Roman" w:hAnsi="Calibri" w:cs="Calibri"/>
                <w:color w:val="44546A"/>
                <w:lang w:val="en-GB" w:eastAsia="en-GB"/>
              </w:rPr>
              <w:t>.0</w:t>
            </w:r>
            <w:r w:rsidRPr="00B24840">
              <w:rPr>
                <w:rFonts w:ascii="Calibri" w:eastAsia="Times New Roman" w:hAnsi="Calibri" w:cs="Calibri"/>
                <w:color w:val="44546A"/>
                <w:lang w:val="en-GB" w:eastAsia="en-GB"/>
              </w:rPr>
              <w:t>%</w:t>
            </w:r>
          </w:p>
        </w:tc>
        <w:tc>
          <w:tcPr>
            <w:tcW w:w="1127" w:type="dxa"/>
            <w:tcBorders>
              <w:top w:val="single" w:sz="4" w:space="0" w:color="auto"/>
              <w:left w:val="nil"/>
              <w:bottom w:val="nil"/>
              <w:right w:val="nil"/>
            </w:tcBorders>
            <w:shd w:val="clear" w:color="auto" w:fill="auto"/>
            <w:noWrap/>
            <w:vAlign w:val="center"/>
            <w:hideMark/>
          </w:tcPr>
          <w:p w14:paraId="2878439E" w14:textId="77777777" w:rsidR="00DB789A" w:rsidRPr="00B24840" w:rsidRDefault="009D0AC4" w:rsidP="00453C51">
            <w:pPr>
              <w:spacing w:after="0" w:line="240" w:lineRule="auto"/>
              <w:jc w:val="both"/>
              <w:rPr>
                <w:rFonts w:ascii="Calibri" w:eastAsia="Times New Roman" w:hAnsi="Calibri" w:cs="Calibri"/>
                <w:b/>
                <w:bCs/>
                <w:color w:val="000000"/>
                <w:lang w:val="en-GB" w:eastAsia="en-GB"/>
              </w:rPr>
            </w:pPr>
            <w:r>
              <w:rPr>
                <w:rFonts w:ascii="Calibri" w:eastAsia="Times New Roman" w:hAnsi="Calibri" w:cs="Calibri"/>
                <w:color w:val="44546A"/>
                <w:lang w:val="en-GB" w:eastAsia="en-GB"/>
              </w:rPr>
              <w:t>0.42</w:t>
            </w:r>
          </w:p>
        </w:tc>
      </w:tr>
      <w:tr w:rsidR="00DB789A" w:rsidRPr="00B24840" w14:paraId="27CD17DF" w14:textId="77777777" w:rsidTr="004E175C">
        <w:trPr>
          <w:trHeight w:val="315"/>
        </w:trPr>
        <w:tc>
          <w:tcPr>
            <w:tcW w:w="3240" w:type="dxa"/>
            <w:tcBorders>
              <w:top w:val="nil"/>
              <w:left w:val="nil"/>
              <w:right w:val="nil"/>
            </w:tcBorders>
            <w:shd w:val="clear" w:color="auto" w:fill="auto"/>
            <w:noWrap/>
            <w:vAlign w:val="bottom"/>
          </w:tcPr>
          <w:p w14:paraId="707699C3" w14:textId="77777777" w:rsidR="00DB789A" w:rsidRPr="00636C3E" w:rsidRDefault="00DB789A" w:rsidP="00453C51">
            <w:pPr>
              <w:spacing w:after="0" w:line="240" w:lineRule="auto"/>
              <w:jc w:val="both"/>
              <w:rPr>
                <w:rFonts w:ascii="Calibri" w:eastAsia="Times New Roman" w:hAnsi="Calibri" w:cs="Calibri"/>
                <w:b/>
                <w:bCs/>
                <w:i/>
                <w:iCs/>
                <w:color w:val="000000"/>
                <w:lang w:eastAsia="en-GB"/>
              </w:rPr>
            </w:pPr>
            <w:r w:rsidRPr="00636C3E">
              <w:rPr>
                <w:rFonts w:ascii="Calibri" w:eastAsia="Times New Roman" w:hAnsi="Calibri" w:cs="Calibri"/>
                <w:b/>
                <w:bCs/>
                <w:i/>
                <w:iCs/>
                <w:color w:val="000000"/>
                <w:lang w:eastAsia="en-GB"/>
              </w:rPr>
              <w:t>Gender of respondent (M)</w:t>
            </w:r>
          </w:p>
        </w:tc>
        <w:tc>
          <w:tcPr>
            <w:tcW w:w="1155" w:type="dxa"/>
            <w:tcBorders>
              <w:top w:val="nil"/>
              <w:left w:val="nil"/>
              <w:right w:val="nil"/>
            </w:tcBorders>
            <w:shd w:val="clear" w:color="auto" w:fill="auto"/>
            <w:noWrap/>
            <w:vAlign w:val="center"/>
          </w:tcPr>
          <w:p w14:paraId="10F5B206"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19</w:t>
            </w:r>
            <w:r w:rsidR="00EF2C4D">
              <w:rPr>
                <w:rFonts w:ascii="Calibri" w:eastAsia="Times New Roman" w:hAnsi="Calibri" w:cs="Calibri"/>
                <w:color w:val="44546A"/>
                <w:lang w:val="en-GB" w:eastAsia="en-GB"/>
              </w:rPr>
              <w:t>.4</w:t>
            </w:r>
            <w:r w:rsidRPr="00B24840">
              <w:rPr>
                <w:rFonts w:ascii="Calibri" w:eastAsia="Times New Roman" w:hAnsi="Calibri" w:cs="Calibri"/>
                <w:color w:val="44546A"/>
                <w:lang w:val="en-GB" w:eastAsia="en-GB"/>
              </w:rPr>
              <w:t>%</w:t>
            </w:r>
          </w:p>
        </w:tc>
        <w:tc>
          <w:tcPr>
            <w:tcW w:w="1141" w:type="dxa"/>
            <w:tcBorders>
              <w:top w:val="nil"/>
              <w:left w:val="nil"/>
              <w:right w:val="nil"/>
            </w:tcBorders>
            <w:shd w:val="clear" w:color="auto" w:fill="auto"/>
            <w:noWrap/>
            <w:vAlign w:val="center"/>
          </w:tcPr>
          <w:p w14:paraId="3CBB3E1C"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4</w:t>
            </w:r>
            <w:r w:rsidR="00EF2C4D">
              <w:rPr>
                <w:rFonts w:ascii="Calibri" w:eastAsia="Times New Roman" w:hAnsi="Calibri" w:cs="Calibri"/>
                <w:color w:val="44546A"/>
                <w:lang w:val="en-GB" w:eastAsia="en-GB"/>
              </w:rPr>
              <w:t>7.6</w:t>
            </w:r>
            <w:r w:rsidRPr="00B24840">
              <w:rPr>
                <w:rFonts w:ascii="Calibri" w:eastAsia="Times New Roman" w:hAnsi="Calibri" w:cs="Calibri"/>
                <w:color w:val="44546A"/>
                <w:lang w:val="en-GB" w:eastAsia="en-GB"/>
              </w:rPr>
              <w:t>%</w:t>
            </w:r>
          </w:p>
        </w:tc>
        <w:tc>
          <w:tcPr>
            <w:tcW w:w="1127" w:type="dxa"/>
            <w:tcBorders>
              <w:top w:val="nil"/>
              <w:left w:val="nil"/>
              <w:right w:val="nil"/>
            </w:tcBorders>
            <w:shd w:val="clear" w:color="auto" w:fill="auto"/>
            <w:noWrap/>
            <w:vAlign w:val="center"/>
          </w:tcPr>
          <w:p w14:paraId="764A9F45" w14:textId="77777777" w:rsidR="00DB789A" w:rsidRPr="00B24840" w:rsidRDefault="004E175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3e-28</w:t>
            </w:r>
            <w:r w:rsidR="00DB789A" w:rsidRPr="00F65331">
              <w:rPr>
                <w:rFonts w:ascii="Calibri" w:eastAsia="Times New Roman" w:hAnsi="Calibri" w:cs="Calibri"/>
                <w:color w:val="44546A"/>
                <w:sz w:val="18"/>
                <w:szCs w:val="18"/>
                <w:lang w:val="en-GB" w:eastAsia="en-GB"/>
              </w:rPr>
              <w:t>**</w:t>
            </w:r>
            <w:r w:rsidR="00DC296C">
              <w:rPr>
                <w:rFonts w:ascii="Calibri" w:eastAsia="Times New Roman" w:hAnsi="Calibri" w:cs="Calibri"/>
                <w:color w:val="44546A"/>
                <w:sz w:val="18"/>
                <w:szCs w:val="18"/>
                <w:lang w:val="en-GB" w:eastAsia="en-GB"/>
              </w:rPr>
              <w:t>*</w:t>
            </w:r>
          </w:p>
        </w:tc>
      </w:tr>
      <w:tr w:rsidR="00DB789A" w:rsidRPr="00B24840" w14:paraId="32B8E58B" w14:textId="77777777" w:rsidTr="004E175C">
        <w:trPr>
          <w:trHeight w:val="315"/>
        </w:trPr>
        <w:tc>
          <w:tcPr>
            <w:tcW w:w="3240" w:type="dxa"/>
            <w:tcBorders>
              <w:top w:val="nil"/>
              <w:left w:val="nil"/>
              <w:bottom w:val="single" w:sz="4" w:space="0" w:color="auto"/>
              <w:right w:val="nil"/>
            </w:tcBorders>
            <w:shd w:val="clear" w:color="auto" w:fill="auto"/>
            <w:noWrap/>
            <w:vAlign w:val="bottom"/>
          </w:tcPr>
          <w:p w14:paraId="02199EF5"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Age of respondent in years</w:t>
            </w:r>
          </w:p>
        </w:tc>
        <w:tc>
          <w:tcPr>
            <w:tcW w:w="1155" w:type="dxa"/>
            <w:tcBorders>
              <w:top w:val="nil"/>
              <w:left w:val="nil"/>
              <w:bottom w:val="single" w:sz="4" w:space="0" w:color="auto"/>
              <w:right w:val="nil"/>
            </w:tcBorders>
            <w:shd w:val="clear" w:color="auto" w:fill="auto"/>
            <w:noWrap/>
            <w:vAlign w:val="center"/>
          </w:tcPr>
          <w:p w14:paraId="2BF3C16C" w14:textId="77777777" w:rsidR="00DB789A" w:rsidRDefault="00DB789A"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w:t>
            </w:r>
          </w:p>
        </w:tc>
        <w:tc>
          <w:tcPr>
            <w:tcW w:w="1141" w:type="dxa"/>
            <w:tcBorders>
              <w:top w:val="nil"/>
              <w:left w:val="nil"/>
              <w:bottom w:val="single" w:sz="4" w:space="0" w:color="auto"/>
              <w:right w:val="nil"/>
            </w:tcBorders>
            <w:shd w:val="clear" w:color="auto" w:fill="auto"/>
            <w:noWrap/>
            <w:vAlign w:val="center"/>
          </w:tcPr>
          <w:p w14:paraId="41500A5A" w14:textId="77777777" w:rsidR="00DB789A" w:rsidRDefault="00DB789A"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 xml:space="preserve"> 39</w:t>
            </w:r>
          </w:p>
        </w:tc>
        <w:tc>
          <w:tcPr>
            <w:tcW w:w="1127" w:type="dxa"/>
            <w:tcBorders>
              <w:top w:val="nil"/>
              <w:left w:val="nil"/>
              <w:bottom w:val="single" w:sz="4" w:space="0" w:color="auto"/>
              <w:right w:val="nil"/>
            </w:tcBorders>
            <w:shd w:val="clear" w:color="auto" w:fill="auto"/>
            <w:noWrap/>
            <w:vAlign w:val="center"/>
          </w:tcPr>
          <w:p w14:paraId="36A9FF6E" w14:textId="77777777" w:rsidR="00DB789A" w:rsidRDefault="00DB789A"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w:t>
            </w:r>
          </w:p>
        </w:tc>
      </w:tr>
      <w:tr w:rsidR="00DB789A" w:rsidRPr="00B24840" w14:paraId="22FDABD6" w14:textId="77777777" w:rsidTr="004E175C">
        <w:trPr>
          <w:trHeight w:val="315"/>
        </w:trPr>
        <w:tc>
          <w:tcPr>
            <w:tcW w:w="3240" w:type="dxa"/>
            <w:tcBorders>
              <w:top w:val="single" w:sz="4" w:space="0" w:color="auto"/>
              <w:left w:val="nil"/>
              <w:bottom w:val="nil"/>
              <w:right w:val="nil"/>
            </w:tcBorders>
            <w:shd w:val="clear" w:color="auto" w:fill="auto"/>
            <w:noWrap/>
            <w:vAlign w:val="bottom"/>
          </w:tcPr>
          <w:p w14:paraId="7A4AE361"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eastAsia="en-GB"/>
              </w:rPr>
              <w:t>Income source (Ag+Fish)</w:t>
            </w:r>
          </w:p>
        </w:tc>
        <w:tc>
          <w:tcPr>
            <w:tcW w:w="1155" w:type="dxa"/>
            <w:tcBorders>
              <w:top w:val="single" w:sz="4" w:space="0" w:color="auto"/>
              <w:left w:val="nil"/>
              <w:bottom w:val="nil"/>
              <w:right w:val="nil"/>
            </w:tcBorders>
            <w:shd w:val="clear" w:color="auto" w:fill="auto"/>
            <w:noWrap/>
            <w:vAlign w:val="center"/>
          </w:tcPr>
          <w:p w14:paraId="2601F0EF" w14:textId="77777777" w:rsidR="00DB789A" w:rsidRPr="00B24840" w:rsidRDefault="004D0B6B"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63.8</w:t>
            </w:r>
            <w:r w:rsidR="00DB789A" w:rsidRPr="00B24840">
              <w:rPr>
                <w:rFonts w:ascii="Calibri" w:eastAsia="Times New Roman" w:hAnsi="Calibri" w:cs="Calibri"/>
                <w:color w:val="44546A"/>
                <w:lang w:val="en-GB" w:eastAsia="en-GB"/>
              </w:rPr>
              <w:t>%</w:t>
            </w:r>
          </w:p>
        </w:tc>
        <w:tc>
          <w:tcPr>
            <w:tcW w:w="1141" w:type="dxa"/>
            <w:tcBorders>
              <w:top w:val="single" w:sz="4" w:space="0" w:color="auto"/>
              <w:left w:val="nil"/>
              <w:bottom w:val="nil"/>
              <w:right w:val="nil"/>
            </w:tcBorders>
            <w:shd w:val="clear" w:color="auto" w:fill="auto"/>
            <w:noWrap/>
            <w:vAlign w:val="center"/>
          </w:tcPr>
          <w:p w14:paraId="3384BB7F" w14:textId="77777777" w:rsidR="00DB789A" w:rsidRPr="00B24840" w:rsidRDefault="004D0B6B"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45.7</w:t>
            </w:r>
            <w:r w:rsidR="00DB789A" w:rsidRPr="00B24840">
              <w:rPr>
                <w:rFonts w:ascii="Calibri" w:eastAsia="Times New Roman" w:hAnsi="Calibri" w:cs="Calibri"/>
                <w:color w:val="44546A"/>
                <w:lang w:val="en-GB" w:eastAsia="en-GB"/>
              </w:rPr>
              <w:t>%</w:t>
            </w:r>
          </w:p>
        </w:tc>
        <w:tc>
          <w:tcPr>
            <w:tcW w:w="1127" w:type="dxa"/>
            <w:tcBorders>
              <w:top w:val="single" w:sz="4" w:space="0" w:color="auto"/>
              <w:left w:val="nil"/>
              <w:bottom w:val="nil"/>
              <w:right w:val="nil"/>
            </w:tcBorders>
            <w:shd w:val="clear" w:color="auto" w:fill="auto"/>
            <w:noWrap/>
            <w:vAlign w:val="center"/>
          </w:tcPr>
          <w:p w14:paraId="0619B33C" w14:textId="77777777" w:rsidR="00DB789A" w:rsidRPr="00B24840" w:rsidRDefault="004E175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8e-11</w:t>
            </w:r>
            <w:r w:rsidR="00DB789A" w:rsidRPr="00F65331">
              <w:rPr>
                <w:rFonts w:ascii="Calibri" w:eastAsia="Times New Roman" w:hAnsi="Calibri" w:cs="Calibri"/>
                <w:color w:val="44546A"/>
                <w:sz w:val="18"/>
                <w:szCs w:val="18"/>
                <w:lang w:val="en-GB" w:eastAsia="en-GB"/>
              </w:rPr>
              <w:t>**</w:t>
            </w:r>
            <w:r w:rsidR="00DC296C">
              <w:rPr>
                <w:rFonts w:ascii="Calibri" w:eastAsia="Times New Roman" w:hAnsi="Calibri" w:cs="Calibri"/>
                <w:color w:val="44546A"/>
                <w:sz w:val="18"/>
                <w:szCs w:val="18"/>
                <w:lang w:val="en-GB" w:eastAsia="en-GB"/>
              </w:rPr>
              <w:t>*</w:t>
            </w:r>
          </w:p>
        </w:tc>
      </w:tr>
      <w:tr w:rsidR="00DB789A" w:rsidRPr="00B24840" w14:paraId="1720DD1B" w14:textId="77777777" w:rsidTr="004E175C">
        <w:trPr>
          <w:trHeight w:val="315"/>
        </w:trPr>
        <w:tc>
          <w:tcPr>
            <w:tcW w:w="3240" w:type="dxa"/>
            <w:tcBorders>
              <w:top w:val="nil"/>
              <w:left w:val="nil"/>
              <w:bottom w:val="nil"/>
              <w:right w:val="nil"/>
            </w:tcBorders>
            <w:shd w:val="clear" w:color="auto" w:fill="auto"/>
            <w:noWrap/>
            <w:vAlign w:val="bottom"/>
            <w:hideMark/>
          </w:tcPr>
          <w:p w14:paraId="78B5FC91"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eastAsia="en-GB"/>
              </w:rPr>
              <w:t>Income source (Assist + Casual)</w:t>
            </w:r>
          </w:p>
        </w:tc>
        <w:tc>
          <w:tcPr>
            <w:tcW w:w="1155" w:type="dxa"/>
            <w:tcBorders>
              <w:top w:val="nil"/>
              <w:left w:val="nil"/>
              <w:bottom w:val="nil"/>
              <w:right w:val="nil"/>
            </w:tcBorders>
            <w:shd w:val="clear" w:color="auto" w:fill="auto"/>
            <w:noWrap/>
            <w:vAlign w:val="center"/>
            <w:hideMark/>
          </w:tcPr>
          <w:p w14:paraId="78A73FFB" w14:textId="77777777" w:rsidR="00DB789A" w:rsidRPr="00B24840" w:rsidRDefault="004D0B6B"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9.8</w:t>
            </w:r>
            <w:r w:rsidR="00DB789A" w:rsidRPr="00B24840">
              <w:rPr>
                <w:rFonts w:ascii="Calibri" w:eastAsia="Times New Roman" w:hAnsi="Calibri" w:cs="Calibri"/>
                <w:color w:val="44546A"/>
                <w:lang w:val="en-GB" w:eastAsia="en-GB"/>
              </w:rPr>
              <w:t>%</w:t>
            </w:r>
          </w:p>
        </w:tc>
        <w:tc>
          <w:tcPr>
            <w:tcW w:w="1141" w:type="dxa"/>
            <w:tcBorders>
              <w:top w:val="nil"/>
              <w:left w:val="nil"/>
              <w:bottom w:val="nil"/>
              <w:right w:val="nil"/>
            </w:tcBorders>
            <w:shd w:val="clear" w:color="auto" w:fill="auto"/>
            <w:noWrap/>
            <w:vAlign w:val="center"/>
            <w:hideMark/>
          </w:tcPr>
          <w:p w14:paraId="434E8362"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18</w:t>
            </w:r>
            <w:r w:rsidR="004D0B6B">
              <w:rPr>
                <w:rFonts w:ascii="Calibri" w:eastAsia="Times New Roman" w:hAnsi="Calibri" w:cs="Calibri"/>
                <w:color w:val="44546A"/>
                <w:lang w:val="en-GB" w:eastAsia="en-GB"/>
              </w:rPr>
              <w:t>.1</w:t>
            </w:r>
            <w:r w:rsidRPr="00B24840">
              <w:rPr>
                <w:rFonts w:ascii="Calibri" w:eastAsia="Times New Roman" w:hAnsi="Calibri" w:cs="Calibri"/>
                <w:color w:val="44546A"/>
                <w:lang w:val="en-GB" w:eastAsia="en-GB"/>
              </w:rPr>
              <w:t>%</w:t>
            </w:r>
          </w:p>
        </w:tc>
        <w:tc>
          <w:tcPr>
            <w:tcW w:w="1127" w:type="dxa"/>
            <w:tcBorders>
              <w:top w:val="nil"/>
              <w:left w:val="nil"/>
              <w:bottom w:val="nil"/>
              <w:right w:val="nil"/>
            </w:tcBorders>
            <w:shd w:val="clear" w:color="auto" w:fill="auto"/>
            <w:noWrap/>
            <w:vAlign w:val="center"/>
            <w:hideMark/>
          </w:tcPr>
          <w:p w14:paraId="3613228A" w14:textId="77777777" w:rsidR="00DB789A" w:rsidRPr="00B24840" w:rsidRDefault="004E175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0e-6</w:t>
            </w:r>
            <w:r w:rsidR="00DB789A" w:rsidRPr="00F65331">
              <w:rPr>
                <w:rFonts w:ascii="Calibri" w:eastAsia="Times New Roman" w:hAnsi="Calibri" w:cs="Calibri"/>
                <w:color w:val="44546A"/>
                <w:sz w:val="18"/>
                <w:szCs w:val="18"/>
                <w:lang w:val="en-GB" w:eastAsia="en-GB"/>
              </w:rPr>
              <w:t>**</w:t>
            </w:r>
            <w:r w:rsidR="00DC296C">
              <w:rPr>
                <w:rFonts w:ascii="Calibri" w:eastAsia="Times New Roman" w:hAnsi="Calibri" w:cs="Calibri"/>
                <w:color w:val="44546A"/>
                <w:sz w:val="18"/>
                <w:szCs w:val="18"/>
                <w:lang w:val="en-GB" w:eastAsia="en-GB"/>
              </w:rPr>
              <w:t>*</w:t>
            </w:r>
          </w:p>
        </w:tc>
      </w:tr>
      <w:tr w:rsidR="00DB789A" w:rsidRPr="00B24840" w14:paraId="5B07079B" w14:textId="77777777" w:rsidTr="004E175C">
        <w:trPr>
          <w:trHeight w:val="315"/>
        </w:trPr>
        <w:tc>
          <w:tcPr>
            <w:tcW w:w="3240" w:type="dxa"/>
            <w:tcBorders>
              <w:top w:val="nil"/>
              <w:left w:val="nil"/>
              <w:right w:val="nil"/>
            </w:tcBorders>
            <w:shd w:val="clear" w:color="auto" w:fill="auto"/>
            <w:noWrap/>
            <w:vAlign w:val="bottom"/>
            <w:hideMark/>
          </w:tcPr>
          <w:p w14:paraId="62CF0789"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Income source (Salary)</w:t>
            </w:r>
          </w:p>
        </w:tc>
        <w:tc>
          <w:tcPr>
            <w:tcW w:w="1155" w:type="dxa"/>
            <w:tcBorders>
              <w:top w:val="nil"/>
              <w:left w:val="nil"/>
              <w:right w:val="nil"/>
            </w:tcBorders>
            <w:shd w:val="clear" w:color="auto" w:fill="auto"/>
            <w:noWrap/>
            <w:vAlign w:val="center"/>
            <w:hideMark/>
          </w:tcPr>
          <w:p w14:paraId="3B60EB7C" w14:textId="77777777" w:rsidR="00DB789A" w:rsidRPr="00B24840" w:rsidRDefault="004D0B6B"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13.8</w:t>
            </w:r>
            <w:r w:rsidR="00DB789A" w:rsidRPr="00B24840">
              <w:rPr>
                <w:rFonts w:ascii="Calibri" w:eastAsia="Times New Roman" w:hAnsi="Calibri" w:cs="Calibri"/>
                <w:color w:val="44546A"/>
                <w:lang w:val="en-GB" w:eastAsia="en-GB"/>
              </w:rPr>
              <w:t>%</w:t>
            </w:r>
          </w:p>
        </w:tc>
        <w:tc>
          <w:tcPr>
            <w:tcW w:w="1141" w:type="dxa"/>
            <w:tcBorders>
              <w:top w:val="nil"/>
              <w:left w:val="nil"/>
              <w:right w:val="nil"/>
            </w:tcBorders>
            <w:shd w:val="clear" w:color="auto" w:fill="auto"/>
            <w:noWrap/>
            <w:vAlign w:val="center"/>
            <w:hideMark/>
          </w:tcPr>
          <w:p w14:paraId="1036D049"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16</w:t>
            </w:r>
            <w:r w:rsidR="0046674A">
              <w:rPr>
                <w:rFonts w:ascii="Calibri" w:eastAsia="Times New Roman" w:hAnsi="Calibri" w:cs="Calibri"/>
                <w:color w:val="44546A"/>
                <w:lang w:val="en-GB" w:eastAsia="en-GB"/>
              </w:rPr>
              <w:t>.2</w:t>
            </w:r>
            <w:r w:rsidRPr="00B24840">
              <w:rPr>
                <w:rFonts w:ascii="Calibri" w:eastAsia="Times New Roman" w:hAnsi="Calibri" w:cs="Calibri"/>
                <w:color w:val="44546A"/>
                <w:lang w:val="en-GB" w:eastAsia="en-GB"/>
              </w:rPr>
              <w:t>%</w:t>
            </w:r>
          </w:p>
        </w:tc>
        <w:tc>
          <w:tcPr>
            <w:tcW w:w="1127" w:type="dxa"/>
            <w:tcBorders>
              <w:top w:val="nil"/>
              <w:left w:val="nil"/>
              <w:right w:val="nil"/>
            </w:tcBorders>
            <w:shd w:val="clear" w:color="auto" w:fill="auto"/>
            <w:noWrap/>
            <w:vAlign w:val="center"/>
            <w:hideMark/>
          </w:tcPr>
          <w:p w14:paraId="21E14B00" w14:textId="77777777" w:rsidR="00DB789A" w:rsidRPr="00B24840" w:rsidRDefault="00DC296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0.24</w:t>
            </w:r>
          </w:p>
        </w:tc>
      </w:tr>
      <w:tr w:rsidR="00DB789A" w:rsidRPr="00B24840" w14:paraId="466DBB91" w14:textId="77777777" w:rsidTr="004E175C">
        <w:trPr>
          <w:trHeight w:val="315"/>
        </w:trPr>
        <w:tc>
          <w:tcPr>
            <w:tcW w:w="3240" w:type="dxa"/>
            <w:tcBorders>
              <w:top w:val="nil"/>
              <w:left w:val="nil"/>
              <w:bottom w:val="single" w:sz="4" w:space="0" w:color="auto"/>
              <w:right w:val="nil"/>
            </w:tcBorders>
            <w:shd w:val="clear" w:color="auto" w:fill="auto"/>
            <w:noWrap/>
            <w:vAlign w:val="bottom"/>
            <w:hideMark/>
          </w:tcPr>
          <w:p w14:paraId="37BB9F86"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Income source (SelfEmploy)</w:t>
            </w:r>
          </w:p>
        </w:tc>
        <w:tc>
          <w:tcPr>
            <w:tcW w:w="1155" w:type="dxa"/>
            <w:tcBorders>
              <w:top w:val="nil"/>
              <w:left w:val="nil"/>
              <w:bottom w:val="single" w:sz="4" w:space="0" w:color="auto"/>
              <w:right w:val="nil"/>
            </w:tcBorders>
            <w:shd w:val="clear" w:color="auto" w:fill="auto"/>
            <w:noWrap/>
            <w:vAlign w:val="center"/>
            <w:hideMark/>
          </w:tcPr>
          <w:p w14:paraId="33E3A5D5"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1</w:t>
            </w:r>
            <w:r w:rsidR="0046674A">
              <w:rPr>
                <w:rFonts w:ascii="Calibri" w:eastAsia="Times New Roman" w:hAnsi="Calibri" w:cs="Calibri"/>
                <w:color w:val="44546A"/>
                <w:lang w:val="en-GB" w:eastAsia="en-GB"/>
              </w:rPr>
              <w:t>2.6</w:t>
            </w:r>
            <w:r w:rsidRPr="00B24840">
              <w:rPr>
                <w:rFonts w:ascii="Calibri" w:eastAsia="Times New Roman" w:hAnsi="Calibri" w:cs="Calibri"/>
                <w:color w:val="44546A"/>
                <w:lang w:val="en-GB" w:eastAsia="en-GB"/>
              </w:rPr>
              <w:t>%</w:t>
            </w:r>
          </w:p>
        </w:tc>
        <w:tc>
          <w:tcPr>
            <w:tcW w:w="1141" w:type="dxa"/>
            <w:tcBorders>
              <w:top w:val="nil"/>
              <w:left w:val="nil"/>
              <w:bottom w:val="single" w:sz="4" w:space="0" w:color="auto"/>
              <w:right w:val="nil"/>
            </w:tcBorders>
            <w:shd w:val="clear" w:color="auto" w:fill="auto"/>
            <w:noWrap/>
            <w:vAlign w:val="center"/>
            <w:hideMark/>
          </w:tcPr>
          <w:p w14:paraId="3F5DA12A"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20</w:t>
            </w:r>
            <w:r w:rsidR="0046674A">
              <w:rPr>
                <w:rFonts w:ascii="Calibri" w:eastAsia="Times New Roman" w:hAnsi="Calibri" w:cs="Calibri"/>
                <w:color w:val="44546A"/>
                <w:lang w:val="en-GB" w:eastAsia="en-GB"/>
              </w:rPr>
              <w:t>.0</w:t>
            </w:r>
            <w:r w:rsidRPr="00B24840">
              <w:rPr>
                <w:rFonts w:ascii="Calibri" w:eastAsia="Times New Roman" w:hAnsi="Calibri" w:cs="Calibri"/>
                <w:color w:val="44546A"/>
                <w:lang w:val="en-GB" w:eastAsia="en-GB"/>
              </w:rPr>
              <w:t>%</w:t>
            </w:r>
          </w:p>
        </w:tc>
        <w:tc>
          <w:tcPr>
            <w:tcW w:w="1127" w:type="dxa"/>
            <w:tcBorders>
              <w:top w:val="nil"/>
              <w:left w:val="nil"/>
              <w:bottom w:val="single" w:sz="4" w:space="0" w:color="auto"/>
              <w:right w:val="nil"/>
            </w:tcBorders>
            <w:shd w:val="clear" w:color="auto" w:fill="auto"/>
            <w:noWrap/>
            <w:vAlign w:val="center"/>
            <w:hideMark/>
          </w:tcPr>
          <w:p w14:paraId="05FC985C" w14:textId="77777777" w:rsidR="00DB789A" w:rsidRPr="00B24840" w:rsidRDefault="004E175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2e-4</w:t>
            </w:r>
            <w:r w:rsidR="00DB789A" w:rsidRPr="00F65331">
              <w:rPr>
                <w:rFonts w:ascii="Calibri" w:eastAsia="Times New Roman" w:hAnsi="Calibri" w:cs="Calibri"/>
                <w:color w:val="44546A"/>
                <w:sz w:val="18"/>
                <w:szCs w:val="18"/>
                <w:lang w:val="en-GB" w:eastAsia="en-GB"/>
              </w:rPr>
              <w:t>***</w:t>
            </w:r>
          </w:p>
        </w:tc>
      </w:tr>
      <w:tr w:rsidR="00DB789A" w:rsidRPr="00B24840" w14:paraId="04364C57" w14:textId="77777777" w:rsidTr="004E175C">
        <w:trPr>
          <w:trHeight w:val="315"/>
        </w:trPr>
        <w:tc>
          <w:tcPr>
            <w:tcW w:w="3240" w:type="dxa"/>
            <w:tcBorders>
              <w:top w:val="single" w:sz="4" w:space="0" w:color="auto"/>
              <w:left w:val="nil"/>
              <w:bottom w:val="nil"/>
              <w:right w:val="nil"/>
            </w:tcBorders>
            <w:shd w:val="clear" w:color="auto" w:fill="auto"/>
            <w:noWrap/>
            <w:vAlign w:val="bottom"/>
            <w:hideMark/>
          </w:tcPr>
          <w:p w14:paraId="7AC181B7"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eastAsia="en-GB"/>
              </w:rPr>
              <w:t>Shocks (death + illness)</w:t>
            </w:r>
          </w:p>
        </w:tc>
        <w:tc>
          <w:tcPr>
            <w:tcW w:w="1155" w:type="dxa"/>
            <w:tcBorders>
              <w:top w:val="single" w:sz="4" w:space="0" w:color="auto"/>
              <w:left w:val="nil"/>
              <w:bottom w:val="nil"/>
              <w:right w:val="nil"/>
            </w:tcBorders>
            <w:shd w:val="clear" w:color="auto" w:fill="auto"/>
            <w:noWrap/>
            <w:vAlign w:val="center"/>
            <w:hideMark/>
          </w:tcPr>
          <w:p w14:paraId="6C9A33BA"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3</w:t>
            </w:r>
            <w:r w:rsidR="001C6438">
              <w:rPr>
                <w:rFonts w:ascii="Calibri" w:eastAsia="Times New Roman" w:hAnsi="Calibri" w:cs="Calibri"/>
                <w:color w:val="44546A"/>
                <w:lang w:val="en-GB" w:eastAsia="en-GB"/>
              </w:rPr>
              <w:t>.</w:t>
            </w:r>
            <w:r w:rsidRPr="00B24840">
              <w:rPr>
                <w:rFonts w:ascii="Calibri" w:eastAsia="Times New Roman" w:hAnsi="Calibri" w:cs="Calibri"/>
                <w:color w:val="44546A"/>
                <w:lang w:val="en-GB" w:eastAsia="en-GB"/>
              </w:rPr>
              <w:t>7%</w:t>
            </w:r>
          </w:p>
        </w:tc>
        <w:tc>
          <w:tcPr>
            <w:tcW w:w="1141" w:type="dxa"/>
            <w:tcBorders>
              <w:top w:val="single" w:sz="4" w:space="0" w:color="auto"/>
              <w:left w:val="nil"/>
              <w:bottom w:val="nil"/>
              <w:right w:val="nil"/>
            </w:tcBorders>
            <w:shd w:val="clear" w:color="auto" w:fill="auto"/>
            <w:noWrap/>
            <w:vAlign w:val="center"/>
            <w:hideMark/>
          </w:tcPr>
          <w:p w14:paraId="72BF5649"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26</w:t>
            </w:r>
            <w:r w:rsidR="001C6438">
              <w:rPr>
                <w:rFonts w:ascii="Calibri" w:eastAsia="Times New Roman" w:hAnsi="Calibri" w:cs="Calibri"/>
                <w:color w:val="44546A"/>
                <w:lang w:val="en-GB" w:eastAsia="en-GB"/>
              </w:rPr>
              <w:t>.3</w:t>
            </w:r>
            <w:r w:rsidRPr="00B24840">
              <w:rPr>
                <w:rFonts w:ascii="Calibri" w:eastAsia="Times New Roman" w:hAnsi="Calibri" w:cs="Calibri"/>
                <w:color w:val="44546A"/>
                <w:lang w:val="en-GB" w:eastAsia="en-GB"/>
              </w:rPr>
              <w:t>%</w:t>
            </w:r>
          </w:p>
        </w:tc>
        <w:tc>
          <w:tcPr>
            <w:tcW w:w="1127" w:type="dxa"/>
            <w:tcBorders>
              <w:top w:val="single" w:sz="4" w:space="0" w:color="auto"/>
              <w:left w:val="nil"/>
              <w:bottom w:val="nil"/>
              <w:right w:val="nil"/>
            </w:tcBorders>
            <w:shd w:val="clear" w:color="auto" w:fill="auto"/>
            <w:noWrap/>
            <w:vAlign w:val="center"/>
            <w:hideMark/>
          </w:tcPr>
          <w:p w14:paraId="315E2821" w14:textId="77777777" w:rsidR="00DB789A" w:rsidRPr="00B24840" w:rsidRDefault="004E175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5e-37</w:t>
            </w:r>
            <w:r w:rsidR="00DB789A" w:rsidRPr="00F65331">
              <w:rPr>
                <w:rFonts w:ascii="Calibri" w:eastAsia="Times New Roman" w:hAnsi="Calibri" w:cs="Calibri"/>
                <w:color w:val="44546A"/>
                <w:sz w:val="18"/>
                <w:szCs w:val="18"/>
                <w:lang w:val="en-GB" w:eastAsia="en-GB"/>
              </w:rPr>
              <w:t>**</w:t>
            </w:r>
            <w:r w:rsidR="00DC296C">
              <w:rPr>
                <w:rFonts w:ascii="Calibri" w:eastAsia="Times New Roman" w:hAnsi="Calibri" w:cs="Calibri"/>
                <w:color w:val="44546A"/>
                <w:sz w:val="18"/>
                <w:szCs w:val="18"/>
                <w:lang w:val="en-GB" w:eastAsia="en-GB"/>
              </w:rPr>
              <w:t>*</w:t>
            </w:r>
          </w:p>
        </w:tc>
      </w:tr>
      <w:tr w:rsidR="00DB789A" w:rsidRPr="00B24840" w14:paraId="2F5D1DA1" w14:textId="77777777" w:rsidTr="004E175C">
        <w:trPr>
          <w:trHeight w:val="315"/>
        </w:trPr>
        <w:tc>
          <w:tcPr>
            <w:tcW w:w="3240" w:type="dxa"/>
            <w:tcBorders>
              <w:top w:val="nil"/>
              <w:left w:val="nil"/>
              <w:bottom w:val="nil"/>
              <w:right w:val="nil"/>
            </w:tcBorders>
            <w:shd w:val="clear" w:color="auto" w:fill="auto"/>
            <w:noWrap/>
            <w:vAlign w:val="bottom"/>
            <w:hideMark/>
          </w:tcPr>
          <w:p w14:paraId="321B4A9F"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Shocks (drought)</w:t>
            </w:r>
          </w:p>
        </w:tc>
        <w:tc>
          <w:tcPr>
            <w:tcW w:w="1155" w:type="dxa"/>
            <w:tcBorders>
              <w:top w:val="nil"/>
              <w:left w:val="nil"/>
              <w:bottom w:val="nil"/>
              <w:right w:val="nil"/>
            </w:tcBorders>
            <w:shd w:val="clear" w:color="auto" w:fill="auto"/>
            <w:noWrap/>
            <w:vAlign w:val="center"/>
            <w:hideMark/>
          </w:tcPr>
          <w:p w14:paraId="5C0A8542"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40</w:t>
            </w:r>
            <w:r w:rsidR="001C6438">
              <w:rPr>
                <w:rFonts w:ascii="Calibri" w:eastAsia="Times New Roman" w:hAnsi="Calibri" w:cs="Calibri"/>
                <w:color w:val="44546A"/>
                <w:lang w:val="en-GB" w:eastAsia="en-GB"/>
              </w:rPr>
              <w:t>.3</w:t>
            </w:r>
            <w:r w:rsidRPr="00B24840">
              <w:rPr>
                <w:rFonts w:ascii="Calibri" w:eastAsia="Times New Roman" w:hAnsi="Calibri" w:cs="Calibri"/>
                <w:color w:val="44546A"/>
                <w:lang w:val="en-GB" w:eastAsia="en-GB"/>
              </w:rPr>
              <w:t>%</w:t>
            </w:r>
          </w:p>
        </w:tc>
        <w:tc>
          <w:tcPr>
            <w:tcW w:w="1141" w:type="dxa"/>
            <w:tcBorders>
              <w:top w:val="nil"/>
              <w:left w:val="nil"/>
              <w:bottom w:val="nil"/>
              <w:right w:val="nil"/>
            </w:tcBorders>
            <w:shd w:val="clear" w:color="auto" w:fill="auto"/>
            <w:noWrap/>
            <w:vAlign w:val="center"/>
            <w:hideMark/>
          </w:tcPr>
          <w:p w14:paraId="1AA72A77" w14:textId="77777777" w:rsidR="00DB789A" w:rsidRPr="00B24840" w:rsidRDefault="001C6438"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9.5</w:t>
            </w:r>
            <w:r w:rsidR="00DB789A" w:rsidRPr="00B24840">
              <w:rPr>
                <w:rFonts w:ascii="Calibri" w:eastAsia="Times New Roman" w:hAnsi="Calibri" w:cs="Calibri"/>
                <w:color w:val="44546A"/>
                <w:lang w:val="en-GB" w:eastAsia="en-GB"/>
              </w:rPr>
              <w:t>%</w:t>
            </w:r>
          </w:p>
        </w:tc>
        <w:tc>
          <w:tcPr>
            <w:tcW w:w="1127" w:type="dxa"/>
            <w:tcBorders>
              <w:top w:val="nil"/>
              <w:left w:val="nil"/>
              <w:bottom w:val="nil"/>
              <w:right w:val="nil"/>
            </w:tcBorders>
            <w:shd w:val="clear" w:color="auto" w:fill="auto"/>
            <w:noWrap/>
            <w:vAlign w:val="center"/>
            <w:hideMark/>
          </w:tcPr>
          <w:p w14:paraId="1A14E9E1" w14:textId="77777777" w:rsidR="00DB789A" w:rsidRPr="00B24840" w:rsidRDefault="004E175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2e-32</w:t>
            </w:r>
            <w:r w:rsidR="00DB789A" w:rsidRPr="00F65331">
              <w:rPr>
                <w:rFonts w:ascii="Calibri" w:eastAsia="Times New Roman" w:hAnsi="Calibri" w:cs="Calibri"/>
                <w:color w:val="44546A"/>
                <w:sz w:val="18"/>
                <w:szCs w:val="18"/>
                <w:lang w:val="en-GB" w:eastAsia="en-GB"/>
              </w:rPr>
              <w:t>**</w:t>
            </w:r>
            <w:r w:rsidR="00DC296C">
              <w:rPr>
                <w:rFonts w:ascii="Calibri" w:eastAsia="Times New Roman" w:hAnsi="Calibri" w:cs="Calibri"/>
                <w:color w:val="44546A"/>
                <w:sz w:val="18"/>
                <w:szCs w:val="18"/>
                <w:lang w:val="en-GB" w:eastAsia="en-GB"/>
              </w:rPr>
              <w:t>*</w:t>
            </w:r>
          </w:p>
        </w:tc>
      </w:tr>
      <w:tr w:rsidR="00DB789A" w:rsidRPr="00B24840" w14:paraId="2A4F3B2E" w14:textId="77777777" w:rsidTr="004E175C">
        <w:trPr>
          <w:trHeight w:val="300"/>
        </w:trPr>
        <w:tc>
          <w:tcPr>
            <w:tcW w:w="3240" w:type="dxa"/>
            <w:tcBorders>
              <w:top w:val="nil"/>
              <w:left w:val="nil"/>
              <w:bottom w:val="nil"/>
              <w:right w:val="nil"/>
            </w:tcBorders>
            <w:shd w:val="clear" w:color="auto" w:fill="auto"/>
            <w:noWrap/>
            <w:vAlign w:val="bottom"/>
            <w:hideMark/>
          </w:tcPr>
          <w:p w14:paraId="22466881"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Shocks (food+cyclone)</w:t>
            </w:r>
          </w:p>
        </w:tc>
        <w:tc>
          <w:tcPr>
            <w:tcW w:w="1155" w:type="dxa"/>
            <w:tcBorders>
              <w:top w:val="nil"/>
              <w:left w:val="nil"/>
              <w:bottom w:val="nil"/>
              <w:right w:val="nil"/>
            </w:tcBorders>
            <w:shd w:val="clear" w:color="auto" w:fill="auto"/>
            <w:noWrap/>
            <w:vAlign w:val="center"/>
            <w:hideMark/>
          </w:tcPr>
          <w:p w14:paraId="0223ED7D" w14:textId="77777777" w:rsidR="00DB789A" w:rsidRPr="00B24840" w:rsidRDefault="001C6438"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15.9</w:t>
            </w:r>
            <w:r w:rsidR="00DB789A">
              <w:rPr>
                <w:rFonts w:ascii="Calibri" w:eastAsia="Times New Roman" w:hAnsi="Calibri" w:cs="Calibri"/>
                <w:color w:val="44546A"/>
                <w:lang w:val="en-GB" w:eastAsia="en-GB"/>
              </w:rPr>
              <w:t>%</w:t>
            </w:r>
          </w:p>
        </w:tc>
        <w:tc>
          <w:tcPr>
            <w:tcW w:w="1141" w:type="dxa"/>
            <w:tcBorders>
              <w:top w:val="nil"/>
              <w:left w:val="nil"/>
              <w:bottom w:val="nil"/>
              <w:right w:val="nil"/>
            </w:tcBorders>
            <w:shd w:val="clear" w:color="auto" w:fill="auto"/>
            <w:noWrap/>
            <w:vAlign w:val="center"/>
            <w:hideMark/>
          </w:tcPr>
          <w:p w14:paraId="375A98F8" w14:textId="77777777" w:rsidR="00DB789A" w:rsidRPr="00B24840" w:rsidRDefault="001C6438"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5.</w:t>
            </w:r>
            <w:r w:rsidR="00DB789A">
              <w:rPr>
                <w:rFonts w:ascii="Calibri" w:eastAsia="Times New Roman" w:hAnsi="Calibri" w:cs="Calibri"/>
                <w:color w:val="44546A"/>
                <w:lang w:val="en-GB" w:eastAsia="en-GB"/>
              </w:rPr>
              <w:t>6%</w:t>
            </w:r>
          </w:p>
        </w:tc>
        <w:tc>
          <w:tcPr>
            <w:tcW w:w="1127" w:type="dxa"/>
            <w:tcBorders>
              <w:top w:val="nil"/>
              <w:left w:val="nil"/>
              <w:bottom w:val="nil"/>
              <w:right w:val="nil"/>
            </w:tcBorders>
            <w:shd w:val="clear" w:color="auto" w:fill="auto"/>
            <w:noWrap/>
            <w:vAlign w:val="center"/>
            <w:hideMark/>
          </w:tcPr>
          <w:p w14:paraId="29AB43A8" w14:textId="77777777" w:rsidR="00DB789A" w:rsidRPr="00B24840" w:rsidRDefault="004E175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4e-8</w:t>
            </w:r>
            <w:r w:rsidR="00DB789A" w:rsidRPr="00F65331">
              <w:rPr>
                <w:rFonts w:ascii="Calibri" w:eastAsia="Times New Roman" w:hAnsi="Calibri" w:cs="Calibri"/>
                <w:color w:val="44546A"/>
                <w:sz w:val="18"/>
                <w:szCs w:val="18"/>
                <w:lang w:val="en-GB" w:eastAsia="en-GB"/>
              </w:rPr>
              <w:t>**</w:t>
            </w:r>
            <w:r w:rsidR="00DC296C">
              <w:rPr>
                <w:rFonts w:ascii="Calibri" w:eastAsia="Times New Roman" w:hAnsi="Calibri" w:cs="Calibri"/>
                <w:color w:val="44546A"/>
                <w:sz w:val="18"/>
                <w:szCs w:val="18"/>
                <w:lang w:val="en-GB" w:eastAsia="en-GB"/>
              </w:rPr>
              <w:t>*</w:t>
            </w:r>
          </w:p>
        </w:tc>
      </w:tr>
      <w:tr w:rsidR="00DB789A" w:rsidRPr="00B24840" w14:paraId="4D649EC5" w14:textId="77777777" w:rsidTr="004E175C">
        <w:trPr>
          <w:trHeight w:val="300"/>
        </w:trPr>
        <w:tc>
          <w:tcPr>
            <w:tcW w:w="3240" w:type="dxa"/>
            <w:tcBorders>
              <w:top w:val="nil"/>
              <w:left w:val="nil"/>
              <w:bottom w:val="nil"/>
              <w:right w:val="nil"/>
            </w:tcBorders>
            <w:shd w:val="clear" w:color="auto" w:fill="auto"/>
            <w:noWrap/>
            <w:vAlign w:val="bottom"/>
            <w:hideMark/>
          </w:tcPr>
          <w:p w14:paraId="3C9E2190"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Shocks (HoH death)</w:t>
            </w:r>
          </w:p>
        </w:tc>
        <w:tc>
          <w:tcPr>
            <w:tcW w:w="1155" w:type="dxa"/>
            <w:tcBorders>
              <w:top w:val="nil"/>
              <w:left w:val="nil"/>
              <w:bottom w:val="nil"/>
              <w:right w:val="nil"/>
            </w:tcBorders>
            <w:shd w:val="clear" w:color="auto" w:fill="auto"/>
            <w:noWrap/>
            <w:vAlign w:val="center"/>
            <w:hideMark/>
          </w:tcPr>
          <w:p w14:paraId="197A6097"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0</w:t>
            </w:r>
            <w:r w:rsidR="001C6438">
              <w:rPr>
                <w:rFonts w:ascii="Calibri" w:eastAsia="Times New Roman" w:hAnsi="Calibri" w:cs="Calibri"/>
                <w:color w:val="44546A"/>
                <w:lang w:val="en-GB" w:eastAsia="en-GB"/>
              </w:rPr>
              <w:t>.0</w:t>
            </w:r>
            <w:r w:rsidR="00D24825">
              <w:rPr>
                <w:rFonts w:ascii="Calibri" w:eastAsia="Times New Roman" w:hAnsi="Calibri" w:cs="Calibri"/>
                <w:color w:val="44546A"/>
                <w:lang w:val="en-GB" w:eastAsia="en-GB"/>
              </w:rPr>
              <w:t>04</w:t>
            </w:r>
            <w:r w:rsidRPr="00B24840">
              <w:rPr>
                <w:rFonts w:ascii="Calibri" w:eastAsia="Times New Roman" w:hAnsi="Calibri" w:cs="Calibri"/>
                <w:color w:val="44546A"/>
                <w:lang w:val="en-GB" w:eastAsia="en-GB"/>
              </w:rPr>
              <w:t>%</w:t>
            </w:r>
          </w:p>
        </w:tc>
        <w:tc>
          <w:tcPr>
            <w:tcW w:w="1141" w:type="dxa"/>
            <w:tcBorders>
              <w:top w:val="nil"/>
              <w:left w:val="nil"/>
              <w:bottom w:val="nil"/>
              <w:right w:val="nil"/>
            </w:tcBorders>
            <w:shd w:val="clear" w:color="auto" w:fill="auto"/>
            <w:noWrap/>
            <w:vAlign w:val="center"/>
            <w:hideMark/>
          </w:tcPr>
          <w:p w14:paraId="06D83B14"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0</w:t>
            </w:r>
            <w:r w:rsidR="001C6438">
              <w:rPr>
                <w:rFonts w:ascii="Calibri" w:eastAsia="Times New Roman" w:hAnsi="Calibri" w:cs="Calibri"/>
                <w:color w:val="44546A"/>
                <w:lang w:val="en-GB" w:eastAsia="en-GB"/>
              </w:rPr>
              <w:t>.0</w:t>
            </w:r>
            <w:r w:rsidR="00D24825">
              <w:rPr>
                <w:rFonts w:ascii="Calibri" w:eastAsia="Times New Roman" w:hAnsi="Calibri" w:cs="Calibri"/>
                <w:color w:val="44546A"/>
                <w:lang w:val="en-GB" w:eastAsia="en-GB"/>
              </w:rPr>
              <w:t>02</w:t>
            </w:r>
            <w:r w:rsidRPr="00B24840">
              <w:rPr>
                <w:rFonts w:ascii="Calibri" w:eastAsia="Times New Roman" w:hAnsi="Calibri" w:cs="Calibri"/>
                <w:color w:val="44546A"/>
                <w:lang w:val="en-GB" w:eastAsia="en-GB"/>
              </w:rPr>
              <w:t>%</w:t>
            </w:r>
          </w:p>
        </w:tc>
        <w:tc>
          <w:tcPr>
            <w:tcW w:w="1127" w:type="dxa"/>
            <w:tcBorders>
              <w:top w:val="nil"/>
              <w:left w:val="nil"/>
              <w:bottom w:val="nil"/>
              <w:right w:val="nil"/>
            </w:tcBorders>
            <w:shd w:val="clear" w:color="auto" w:fill="auto"/>
            <w:noWrap/>
            <w:vAlign w:val="center"/>
            <w:hideMark/>
          </w:tcPr>
          <w:p w14:paraId="305F26EA" w14:textId="77777777" w:rsidR="00DB789A" w:rsidRPr="00B24840" w:rsidRDefault="00DC296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0.55</w:t>
            </w:r>
          </w:p>
        </w:tc>
      </w:tr>
      <w:tr w:rsidR="00DB789A" w:rsidRPr="00B24840" w14:paraId="4CD57E75" w14:textId="77777777" w:rsidTr="004E175C">
        <w:trPr>
          <w:trHeight w:val="300"/>
        </w:trPr>
        <w:tc>
          <w:tcPr>
            <w:tcW w:w="3240" w:type="dxa"/>
            <w:tcBorders>
              <w:top w:val="nil"/>
              <w:left w:val="nil"/>
              <w:bottom w:val="nil"/>
              <w:right w:val="nil"/>
            </w:tcBorders>
            <w:shd w:val="clear" w:color="auto" w:fill="auto"/>
            <w:noWrap/>
            <w:vAlign w:val="bottom"/>
            <w:hideMark/>
          </w:tcPr>
          <w:p w14:paraId="282BDB83"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Shocks (job loss)</w:t>
            </w:r>
          </w:p>
        </w:tc>
        <w:tc>
          <w:tcPr>
            <w:tcW w:w="1155" w:type="dxa"/>
            <w:tcBorders>
              <w:top w:val="nil"/>
              <w:left w:val="nil"/>
              <w:bottom w:val="nil"/>
              <w:right w:val="nil"/>
            </w:tcBorders>
            <w:shd w:val="clear" w:color="auto" w:fill="auto"/>
            <w:noWrap/>
            <w:vAlign w:val="center"/>
            <w:hideMark/>
          </w:tcPr>
          <w:p w14:paraId="3590F24E"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1</w:t>
            </w:r>
            <w:r w:rsidR="001C6438">
              <w:rPr>
                <w:rFonts w:ascii="Calibri" w:eastAsia="Times New Roman" w:hAnsi="Calibri" w:cs="Calibri"/>
                <w:color w:val="44546A"/>
                <w:lang w:val="en-GB" w:eastAsia="en-GB"/>
              </w:rPr>
              <w:t>.</w:t>
            </w:r>
            <w:r w:rsidRPr="00B24840">
              <w:rPr>
                <w:rFonts w:ascii="Calibri" w:eastAsia="Times New Roman" w:hAnsi="Calibri" w:cs="Calibri"/>
                <w:color w:val="44546A"/>
                <w:lang w:val="en-GB" w:eastAsia="en-GB"/>
              </w:rPr>
              <w:t>2%</w:t>
            </w:r>
          </w:p>
        </w:tc>
        <w:tc>
          <w:tcPr>
            <w:tcW w:w="1141" w:type="dxa"/>
            <w:tcBorders>
              <w:top w:val="nil"/>
              <w:left w:val="nil"/>
              <w:bottom w:val="nil"/>
              <w:right w:val="nil"/>
            </w:tcBorders>
            <w:shd w:val="clear" w:color="auto" w:fill="auto"/>
            <w:noWrap/>
            <w:vAlign w:val="center"/>
            <w:hideMark/>
          </w:tcPr>
          <w:p w14:paraId="14AC5947" w14:textId="77777777" w:rsidR="00DB789A" w:rsidRPr="00B24840" w:rsidRDefault="001C6438"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7.5</w:t>
            </w:r>
            <w:r w:rsidR="00DB789A" w:rsidRPr="00B24840">
              <w:rPr>
                <w:rFonts w:ascii="Calibri" w:eastAsia="Times New Roman" w:hAnsi="Calibri" w:cs="Calibri"/>
                <w:color w:val="44546A"/>
                <w:lang w:val="en-GB" w:eastAsia="en-GB"/>
              </w:rPr>
              <w:t>%</w:t>
            </w:r>
          </w:p>
        </w:tc>
        <w:tc>
          <w:tcPr>
            <w:tcW w:w="1127" w:type="dxa"/>
            <w:tcBorders>
              <w:top w:val="nil"/>
              <w:left w:val="nil"/>
              <w:bottom w:val="nil"/>
              <w:right w:val="nil"/>
            </w:tcBorders>
            <w:shd w:val="clear" w:color="auto" w:fill="auto"/>
            <w:noWrap/>
            <w:vAlign w:val="center"/>
            <w:hideMark/>
          </w:tcPr>
          <w:p w14:paraId="32E9C273" w14:textId="77777777" w:rsidR="00DB789A" w:rsidRPr="00B24840" w:rsidRDefault="004E175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4e-10</w:t>
            </w:r>
            <w:r w:rsidR="00DB789A" w:rsidRPr="00F65331">
              <w:rPr>
                <w:rFonts w:ascii="Calibri" w:eastAsia="Times New Roman" w:hAnsi="Calibri" w:cs="Calibri"/>
                <w:color w:val="44546A"/>
                <w:sz w:val="18"/>
                <w:szCs w:val="18"/>
                <w:lang w:val="en-GB" w:eastAsia="en-GB"/>
              </w:rPr>
              <w:t>**</w:t>
            </w:r>
            <w:r w:rsidR="00DC296C">
              <w:rPr>
                <w:rFonts w:ascii="Calibri" w:eastAsia="Times New Roman" w:hAnsi="Calibri" w:cs="Calibri"/>
                <w:color w:val="44546A"/>
                <w:sz w:val="18"/>
                <w:szCs w:val="18"/>
                <w:lang w:val="en-GB" w:eastAsia="en-GB"/>
              </w:rPr>
              <w:t>*</w:t>
            </w:r>
          </w:p>
        </w:tc>
      </w:tr>
      <w:tr w:rsidR="00DB789A" w:rsidRPr="00B24840" w14:paraId="4C76F893" w14:textId="77777777" w:rsidTr="004E175C">
        <w:trPr>
          <w:trHeight w:val="300"/>
        </w:trPr>
        <w:tc>
          <w:tcPr>
            <w:tcW w:w="3240" w:type="dxa"/>
            <w:tcBorders>
              <w:top w:val="nil"/>
              <w:left w:val="nil"/>
              <w:bottom w:val="single" w:sz="4" w:space="0" w:color="auto"/>
              <w:right w:val="nil"/>
            </w:tcBorders>
            <w:shd w:val="clear" w:color="auto" w:fill="auto"/>
            <w:noWrap/>
            <w:vAlign w:val="bottom"/>
            <w:hideMark/>
          </w:tcPr>
          <w:p w14:paraId="35612FB0" w14:textId="77777777" w:rsidR="00DB789A" w:rsidRPr="00636C3E" w:rsidRDefault="00DB789A"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Shocks (none)</w:t>
            </w:r>
          </w:p>
        </w:tc>
        <w:tc>
          <w:tcPr>
            <w:tcW w:w="1155" w:type="dxa"/>
            <w:tcBorders>
              <w:top w:val="nil"/>
              <w:left w:val="nil"/>
              <w:bottom w:val="nil"/>
              <w:right w:val="nil"/>
            </w:tcBorders>
            <w:shd w:val="clear" w:color="auto" w:fill="auto"/>
            <w:noWrap/>
            <w:vAlign w:val="center"/>
            <w:hideMark/>
          </w:tcPr>
          <w:p w14:paraId="6C6F3CF7"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r w:rsidRPr="00B24840">
              <w:rPr>
                <w:rFonts w:ascii="Calibri" w:eastAsia="Times New Roman" w:hAnsi="Calibri" w:cs="Calibri"/>
                <w:color w:val="44546A"/>
                <w:lang w:val="en-GB" w:eastAsia="en-GB"/>
              </w:rPr>
              <w:t>38</w:t>
            </w:r>
            <w:r w:rsidR="001C6438">
              <w:rPr>
                <w:rFonts w:ascii="Calibri" w:eastAsia="Times New Roman" w:hAnsi="Calibri" w:cs="Calibri"/>
                <w:color w:val="44546A"/>
                <w:lang w:val="en-GB" w:eastAsia="en-GB"/>
              </w:rPr>
              <w:t>.4</w:t>
            </w:r>
            <w:r w:rsidRPr="00B24840">
              <w:rPr>
                <w:rFonts w:ascii="Calibri" w:eastAsia="Times New Roman" w:hAnsi="Calibri" w:cs="Calibri"/>
                <w:color w:val="44546A"/>
                <w:lang w:val="en-GB" w:eastAsia="en-GB"/>
              </w:rPr>
              <w:t>%</w:t>
            </w:r>
          </w:p>
        </w:tc>
        <w:tc>
          <w:tcPr>
            <w:tcW w:w="1141" w:type="dxa"/>
            <w:tcBorders>
              <w:top w:val="nil"/>
              <w:left w:val="nil"/>
              <w:bottom w:val="nil"/>
              <w:right w:val="nil"/>
            </w:tcBorders>
            <w:shd w:val="clear" w:color="auto" w:fill="auto"/>
            <w:noWrap/>
            <w:vAlign w:val="center"/>
            <w:hideMark/>
          </w:tcPr>
          <w:p w14:paraId="0282BB42" w14:textId="77777777" w:rsidR="00DB789A" w:rsidRPr="00B24840" w:rsidRDefault="001C6438"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50.9</w:t>
            </w:r>
            <w:r w:rsidR="00DB789A" w:rsidRPr="00B24840">
              <w:rPr>
                <w:rFonts w:ascii="Calibri" w:eastAsia="Times New Roman" w:hAnsi="Calibri" w:cs="Calibri"/>
                <w:color w:val="44546A"/>
                <w:lang w:val="en-GB" w:eastAsia="en-GB"/>
              </w:rPr>
              <w:t>%</w:t>
            </w:r>
          </w:p>
        </w:tc>
        <w:tc>
          <w:tcPr>
            <w:tcW w:w="1127" w:type="dxa"/>
            <w:tcBorders>
              <w:top w:val="nil"/>
              <w:left w:val="nil"/>
              <w:bottom w:val="nil"/>
              <w:right w:val="nil"/>
            </w:tcBorders>
            <w:shd w:val="clear" w:color="auto" w:fill="auto"/>
            <w:noWrap/>
            <w:vAlign w:val="center"/>
            <w:hideMark/>
          </w:tcPr>
          <w:p w14:paraId="6C567943" w14:textId="77777777" w:rsidR="00DB789A" w:rsidRPr="00B24840" w:rsidRDefault="004E175C"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8e-6</w:t>
            </w:r>
            <w:r w:rsidR="00DB789A" w:rsidRPr="00F65331">
              <w:rPr>
                <w:rFonts w:ascii="Calibri" w:eastAsia="Times New Roman" w:hAnsi="Calibri" w:cs="Calibri"/>
                <w:color w:val="44546A"/>
                <w:sz w:val="18"/>
                <w:szCs w:val="18"/>
                <w:lang w:val="en-GB" w:eastAsia="en-GB"/>
              </w:rPr>
              <w:t>***</w:t>
            </w:r>
          </w:p>
        </w:tc>
      </w:tr>
      <w:tr w:rsidR="00DB789A" w:rsidRPr="00B24840" w14:paraId="0DEE53F7" w14:textId="77777777" w:rsidTr="004E175C">
        <w:trPr>
          <w:trHeight w:val="845"/>
        </w:trPr>
        <w:tc>
          <w:tcPr>
            <w:tcW w:w="3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2B0C47" w14:textId="77777777" w:rsidR="00DB789A" w:rsidRPr="0081183D" w:rsidRDefault="00DB789A" w:rsidP="00453C51">
            <w:pPr>
              <w:spacing w:after="0" w:line="240" w:lineRule="auto"/>
              <w:jc w:val="both"/>
              <w:rPr>
                <w:i/>
                <w:iCs/>
                <w:sz w:val="18"/>
                <w:szCs w:val="18"/>
              </w:rPr>
            </w:pPr>
            <w:r w:rsidRPr="0081183D">
              <w:rPr>
                <w:i/>
                <w:iCs/>
                <w:sz w:val="18"/>
                <w:szCs w:val="18"/>
              </w:rPr>
              <w:t xml:space="preserve">p-value reported symbol </w:t>
            </w:r>
          </w:p>
          <w:p w14:paraId="0D82B05A" w14:textId="77777777" w:rsidR="00DB789A" w:rsidRPr="0081183D" w:rsidRDefault="00DB789A" w:rsidP="00453C51">
            <w:pPr>
              <w:spacing w:after="0" w:line="240" w:lineRule="auto"/>
              <w:jc w:val="both"/>
              <w:rPr>
                <w:i/>
                <w:iCs/>
                <w:sz w:val="18"/>
                <w:szCs w:val="18"/>
              </w:rPr>
            </w:pPr>
            <w:r w:rsidRPr="0081183D">
              <w:rPr>
                <w:i/>
                <w:iCs/>
                <w:sz w:val="18"/>
                <w:szCs w:val="18"/>
              </w:rPr>
              <w:t xml:space="preserve">0.10 to 0.05* </w:t>
            </w:r>
          </w:p>
          <w:p w14:paraId="69B414C8" w14:textId="77777777" w:rsidR="00DB789A" w:rsidRPr="0081183D" w:rsidRDefault="00DB789A" w:rsidP="00453C51">
            <w:pPr>
              <w:spacing w:after="0" w:line="240" w:lineRule="auto"/>
              <w:jc w:val="both"/>
              <w:rPr>
                <w:i/>
                <w:iCs/>
                <w:sz w:val="18"/>
                <w:szCs w:val="18"/>
              </w:rPr>
            </w:pPr>
            <w:r w:rsidRPr="0081183D">
              <w:rPr>
                <w:i/>
                <w:iCs/>
                <w:sz w:val="18"/>
                <w:szCs w:val="18"/>
              </w:rPr>
              <w:t xml:space="preserve">&lt; 0.05 to 0.01 ** </w:t>
            </w:r>
          </w:p>
          <w:p w14:paraId="3C8E1D50" w14:textId="77777777" w:rsidR="00DB789A" w:rsidRPr="0081183D" w:rsidRDefault="00DB789A" w:rsidP="00453C51">
            <w:pPr>
              <w:spacing w:after="0" w:line="240" w:lineRule="auto"/>
              <w:jc w:val="both"/>
              <w:rPr>
                <w:i/>
                <w:iCs/>
                <w:sz w:val="18"/>
                <w:szCs w:val="18"/>
              </w:rPr>
            </w:pPr>
            <w:r w:rsidRPr="0081183D">
              <w:rPr>
                <w:i/>
                <w:iCs/>
                <w:sz w:val="18"/>
                <w:szCs w:val="18"/>
              </w:rPr>
              <w:t>&lt; 0.01 ***</w:t>
            </w:r>
          </w:p>
        </w:tc>
        <w:tc>
          <w:tcPr>
            <w:tcW w:w="1155" w:type="dxa"/>
            <w:tcBorders>
              <w:top w:val="nil"/>
              <w:left w:val="single" w:sz="4" w:space="0" w:color="auto"/>
              <w:bottom w:val="nil"/>
              <w:right w:val="nil"/>
            </w:tcBorders>
            <w:shd w:val="clear" w:color="auto" w:fill="auto"/>
            <w:noWrap/>
            <w:vAlign w:val="center"/>
            <w:hideMark/>
          </w:tcPr>
          <w:p w14:paraId="33076C0B"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p>
        </w:tc>
        <w:tc>
          <w:tcPr>
            <w:tcW w:w="1141" w:type="dxa"/>
            <w:tcBorders>
              <w:top w:val="nil"/>
              <w:left w:val="nil"/>
              <w:bottom w:val="nil"/>
              <w:right w:val="nil"/>
            </w:tcBorders>
            <w:shd w:val="clear" w:color="auto" w:fill="auto"/>
            <w:noWrap/>
            <w:vAlign w:val="center"/>
            <w:hideMark/>
          </w:tcPr>
          <w:p w14:paraId="3EC89DA4"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p>
        </w:tc>
        <w:tc>
          <w:tcPr>
            <w:tcW w:w="1127" w:type="dxa"/>
            <w:tcBorders>
              <w:top w:val="nil"/>
              <w:left w:val="nil"/>
              <w:bottom w:val="nil"/>
              <w:right w:val="nil"/>
            </w:tcBorders>
            <w:shd w:val="clear" w:color="auto" w:fill="auto"/>
            <w:noWrap/>
            <w:vAlign w:val="center"/>
            <w:hideMark/>
          </w:tcPr>
          <w:p w14:paraId="31546689" w14:textId="77777777" w:rsidR="00DB789A" w:rsidRPr="00B24840" w:rsidRDefault="00DB789A" w:rsidP="00453C51">
            <w:pPr>
              <w:spacing w:after="0" w:line="240" w:lineRule="auto"/>
              <w:jc w:val="both"/>
              <w:rPr>
                <w:rFonts w:ascii="Calibri" w:eastAsia="Times New Roman" w:hAnsi="Calibri" w:cs="Calibri"/>
                <w:color w:val="44546A"/>
                <w:lang w:val="en-GB" w:eastAsia="en-GB"/>
              </w:rPr>
            </w:pPr>
          </w:p>
        </w:tc>
      </w:tr>
    </w:tbl>
    <w:p w14:paraId="0B17D512" w14:textId="77777777" w:rsidR="0081183D" w:rsidRDefault="0081183D" w:rsidP="00453C51">
      <w:pPr>
        <w:jc w:val="both"/>
      </w:pPr>
    </w:p>
    <w:p w14:paraId="06BA9E80" w14:textId="7B3676DD" w:rsidR="00302821" w:rsidRDefault="002A6845" w:rsidP="00453C51">
      <w:pPr>
        <w:jc w:val="both"/>
      </w:pPr>
      <w:r w:rsidRPr="00E36021">
        <w:rPr>
          <w:i/>
        </w:rPr>
        <w:t>T</w:t>
      </w:r>
      <w:r w:rsidR="00AC2E8A" w:rsidRPr="00E36021">
        <w:rPr>
          <w:i/>
        </w:rPr>
        <w:t xml:space="preserve">able </w:t>
      </w:r>
      <w:r w:rsidRPr="00E36021">
        <w:rPr>
          <w:i/>
        </w:rPr>
        <w:t>1</w:t>
      </w:r>
      <w:r>
        <w:t xml:space="preserve"> </w:t>
      </w:r>
      <w:r w:rsidR="00AC2E8A">
        <w:t xml:space="preserve">above shows that the two </w:t>
      </w:r>
      <w:r w:rsidR="00AC2E8A" w:rsidRPr="00E36021">
        <w:t>samples differ in their composition</w:t>
      </w:r>
      <w:r w:rsidR="00AC2E8A">
        <w:t xml:space="preserve"> </w:t>
      </w:r>
      <w:r w:rsidR="00314B75">
        <w:t>in terms of the</w:t>
      </w:r>
      <w:r w:rsidR="00023764">
        <w:t xml:space="preserve"> </w:t>
      </w:r>
      <w:r w:rsidR="00AC2E8A">
        <w:t>gender of the respondent</w:t>
      </w:r>
      <w:r w:rsidR="005A5FD3">
        <w:t xml:space="preserve"> </w:t>
      </w:r>
      <w:r w:rsidR="008C40C8">
        <w:t xml:space="preserve">and </w:t>
      </w:r>
      <w:r w:rsidR="00AC2E8A">
        <w:t>income source</w:t>
      </w:r>
      <w:r w:rsidR="000328B9">
        <w:t>. Furthermore</w:t>
      </w:r>
      <w:r w:rsidR="00271912">
        <w:t>,</w:t>
      </w:r>
      <w:r w:rsidR="000328B9">
        <w:t xml:space="preserve"> </w:t>
      </w:r>
      <w:r w:rsidR="00302821">
        <w:t xml:space="preserve">it </w:t>
      </w:r>
      <w:r w:rsidR="004543AF">
        <w:t>also show</w:t>
      </w:r>
      <w:r w:rsidR="00302821">
        <w:t>s</w:t>
      </w:r>
      <w:r w:rsidR="00AC2E8A">
        <w:t xml:space="preserve"> that the shocks felt by respondents differ significantly</w:t>
      </w:r>
      <w:r w:rsidR="000251CC">
        <w:t xml:space="preserve"> across the two survey methods</w:t>
      </w:r>
      <w:r w:rsidR="00314B75">
        <w:t>.</w:t>
      </w:r>
      <w:r w:rsidR="000328B9">
        <w:t xml:space="preserve"> </w:t>
      </w:r>
      <w:r w:rsidR="000251CC">
        <w:t xml:space="preserve">This could, however, could be in part due to the fact that the recall period for each of the surveys was different: </w:t>
      </w:r>
      <w:r w:rsidR="00AC2E8A">
        <w:t xml:space="preserve">12 months for the F2F and 1 month for the </w:t>
      </w:r>
      <w:r w:rsidR="00B60DD5">
        <w:t>CATI</w:t>
      </w:r>
      <w:r w:rsidR="00AC2E8A">
        <w:t>.</w:t>
      </w:r>
      <w:r w:rsidR="001622FE">
        <w:t xml:space="preserve"> </w:t>
      </w:r>
    </w:p>
    <w:p w14:paraId="33789B32" w14:textId="77777777" w:rsidR="00EB68CA" w:rsidRDefault="00EB68CA" w:rsidP="00453C51">
      <w:pPr>
        <w:jc w:val="both"/>
      </w:pPr>
    </w:p>
    <w:p w14:paraId="435972FC" w14:textId="77777777" w:rsidR="00E36021" w:rsidRDefault="00E36021" w:rsidP="00453C51">
      <w:pPr>
        <w:jc w:val="both"/>
      </w:pPr>
    </w:p>
    <w:p w14:paraId="599CFDA5" w14:textId="77777777" w:rsidR="00E36021" w:rsidRDefault="00E36021" w:rsidP="00453C51">
      <w:pPr>
        <w:jc w:val="both"/>
      </w:pPr>
    </w:p>
    <w:p w14:paraId="23878B19" w14:textId="77777777" w:rsidR="00871216" w:rsidRDefault="00EB68CA" w:rsidP="00453C51">
      <w:pPr>
        <w:jc w:val="both"/>
        <w:rPr>
          <w:rStyle w:val="IntenseEmphasis"/>
          <w:i w:val="0"/>
          <w:iCs w:val="0"/>
          <w:color w:val="auto"/>
        </w:rPr>
      </w:pPr>
      <w:r>
        <w:rPr>
          <w:b/>
          <w:i/>
        </w:rPr>
        <w:lastRenderedPageBreak/>
        <w:t>S</w:t>
      </w:r>
      <w:r w:rsidR="005A5FD3">
        <w:rPr>
          <w:rStyle w:val="IntenseEmphasis"/>
          <w:b/>
          <w:bCs/>
          <w:color w:val="000000" w:themeColor="text1"/>
        </w:rPr>
        <w:t xml:space="preserve">ex </w:t>
      </w:r>
      <w:r w:rsidR="00490411">
        <w:rPr>
          <w:rStyle w:val="IntenseEmphasis"/>
          <w:b/>
          <w:bCs/>
          <w:color w:val="000000" w:themeColor="text1"/>
        </w:rPr>
        <w:t>o</w:t>
      </w:r>
      <w:r w:rsidR="005A5FD3">
        <w:rPr>
          <w:rStyle w:val="IntenseEmphasis"/>
          <w:b/>
          <w:bCs/>
          <w:color w:val="000000" w:themeColor="text1"/>
        </w:rPr>
        <w:t xml:space="preserve">f the head of the </w:t>
      </w:r>
      <w:r>
        <w:rPr>
          <w:rStyle w:val="IntenseEmphasis"/>
          <w:b/>
          <w:bCs/>
          <w:color w:val="000000" w:themeColor="text1"/>
        </w:rPr>
        <w:t>h</w:t>
      </w:r>
      <w:r w:rsidR="005A5FD3">
        <w:rPr>
          <w:rStyle w:val="IntenseEmphasis"/>
          <w:b/>
          <w:bCs/>
          <w:color w:val="000000" w:themeColor="text1"/>
        </w:rPr>
        <w:t xml:space="preserve">ousehold and </w:t>
      </w:r>
      <w:r>
        <w:rPr>
          <w:rStyle w:val="IntenseEmphasis"/>
          <w:b/>
          <w:bCs/>
          <w:color w:val="000000" w:themeColor="text1"/>
        </w:rPr>
        <w:t>g</w:t>
      </w:r>
      <w:r w:rsidR="00EA3297" w:rsidRPr="008C40C8">
        <w:rPr>
          <w:rStyle w:val="IntenseEmphasis"/>
          <w:b/>
          <w:bCs/>
          <w:color w:val="000000" w:themeColor="text1"/>
        </w:rPr>
        <w:t>ender</w:t>
      </w:r>
      <w:r w:rsidR="008C40C8">
        <w:rPr>
          <w:rStyle w:val="IntenseEmphasis"/>
          <w:b/>
          <w:bCs/>
          <w:color w:val="000000" w:themeColor="text1"/>
        </w:rPr>
        <w:t xml:space="preserve"> of the respondent</w:t>
      </w:r>
      <w:r w:rsidR="002D1444">
        <w:rPr>
          <w:rStyle w:val="IntenseEmphasis"/>
          <w:i w:val="0"/>
          <w:iCs w:val="0"/>
          <w:color w:val="auto"/>
        </w:rPr>
        <w:t xml:space="preserve">  </w:t>
      </w:r>
    </w:p>
    <w:p w14:paraId="79B16819" w14:textId="15B706AD" w:rsidR="00641AC3" w:rsidRDefault="008154F5" w:rsidP="00453C51">
      <w:pPr>
        <w:jc w:val="both"/>
      </w:pPr>
      <w:r>
        <w:t xml:space="preserve">We found a </w:t>
      </w:r>
      <w:r w:rsidR="00B2518A">
        <w:t>difference between the</w:t>
      </w:r>
      <w:r w:rsidR="00ED72AA">
        <w:t xml:space="preserve"> </w:t>
      </w:r>
      <w:r w:rsidR="00B2518A">
        <w:t>gender</w:t>
      </w:r>
      <w:r w:rsidR="00ED72AA">
        <w:t xml:space="preserve"> proportions</w:t>
      </w:r>
      <w:r w:rsidR="00B2518A">
        <w:t xml:space="preserve"> of the respondent</w:t>
      </w:r>
      <w:r w:rsidR="00B55E24">
        <w:t xml:space="preserve"> </w:t>
      </w:r>
      <w:r w:rsidR="00B2518A">
        <w:t xml:space="preserve">and the gender </w:t>
      </w:r>
      <w:r w:rsidR="0033450C">
        <w:t xml:space="preserve">proportions </w:t>
      </w:r>
      <w:r w:rsidR="00B2518A">
        <w:t>of the head of the household</w:t>
      </w:r>
      <w:r>
        <w:t xml:space="preserve"> between</w:t>
      </w:r>
      <w:r w:rsidR="005C2DAB">
        <w:t xml:space="preserve"> </w:t>
      </w:r>
      <w:r>
        <w:t>the two surveys</w:t>
      </w:r>
      <w:r w:rsidR="00113CEE">
        <w:t xml:space="preserve">. </w:t>
      </w:r>
      <w:r w:rsidR="00641AC3">
        <w:t>The causal factors behind such a difference in the gender of the respondent could imply that:</w:t>
      </w:r>
    </w:p>
    <w:p w14:paraId="25F3753B" w14:textId="08759FFE" w:rsidR="00641AC3" w:rsidRDefault="00641AC3" w:rsidP="00453C51">
      <w:pPr>
        <w:pStyle w:val="ListParagraph"/>
        <w:numPr>
          <w:ilvl w:val="0"/>
          <w:numId w:val="8"/>
        </w:numPr>
        <w:jc w:val="both"/>
      </w:pPr>
      <w:r>
        <w:t>It is easier to reach</w:t>
      </w:r>
      <w:r w:rsidR="0035593F">
        <w:t xml:space="preserve"> </w:t>
      </w:r>
      <w:r>
        <w:t>female</w:t>
      </w:r>
      <w:r w:rsidR="0035593F">
        <w:t>s</w:t>
      </w:r>
      <w:r>
        <w:t xml:space="preserve"> in the face-to-face</w:t>
      </w:r>
      <w:r w:rsidR="0035593F">
        <w:t xml:space="preserve"> survey,</w:t>
      </w:r>
      <w:r>
        <w:t xml:space="preserve"> because they are more likely to be at home while the male is at work</w:t>
      </w:r>
      <w:r w:rsidR="00EB68CA">
        <w:t xml:space="preserve"> or more likely to respond to a face-to-face survey.</w:t>
      </w:r>
    </w:p>
    <w:p w14:paraId="07E50C83" w14:textId="77777777" w:rsidR="00641AC3" w:rsidRPr="0010178F" w:rsidRDefault="0010178F" w:rsidP="00453C51">
      <w:pPr>
        <w:pStyle w:val="ListParagraph"/>
        <w:numPr>
          <w:ilvl w:val="0"/>
          <w:numId w:val="8"/>
        </w:numPr>
        <w:jc w:val="both"/>
      </w:pPr>
      <w:commentRangeStart w:id="1"/>
      <w:r w:rsidRPr="0010178F">
        <w:t xml:space="preserve">The owner of the phone in rural </w:t>
      </w:r>
      <w:r w:rsidR="00641AC3" w:rsidRPr="0010178F">
        <w:t>household</w:t>
      </w:r>
      <w:r w:rsidRPr="0010178F">
        <w:t>s</w:t>
      </w:r>
      <w:r w:rsidR="00641AC3" w:rsidRPr="0010178F">
        <w:t xml:space="preserve"> is more likely to be male.</w:t>
      </w:r>
      <w:commentRangeEnd w:id="1"/>
      <w:r w:rsidR="00EB68CA">
        <w:rPr>
          <w:rStyle w:val="CommentReference"/>
          <w:rFonts w:ascii="Calibri" w:eastAsia="Calibri" w:hAnsi="Calibri" w:cs="Calibri"/>
          <w:lang w:val="en-US" w:eastAsia="en-US"/>
        </w:rPr>
        <w:commentReference w:id="1"/>
      </w:r>
    </w:p>
    <w:p w14:paraId="791DBA47" w14:textId="77777777" w:rsidR="00641AC3" w:rsidRPr="00641AC3" w:rsidRDefault="00641AC3" w:rsidP="00453C51">
      <w:pPr>
        <w:jc w:val="both"/>
      </w:pPr>
    </w:p>
    <w:p w14:paraId="04803AF2" w14:textId="2987DE6F" w:rsidR="00C5081D" w:rsidRPr="00871216" w:rsidRDefault="00C5081D" w:rsidP="00453C51">
      <w:pPr>
        <w:pStyle w:val="Caption"/>
        <w:keepNext/>
        <w:jc w:val="both"/>
        <w:rPr>
          <w:rFonts w:ascii="Calibri" w:hAnsi="Calibri"/>
          <w:b/>
          <w:iCs w:val="0"/>
          <w:color w:val="auto"/>
          <w:sz w:val="22"/>
          <w:szCs w:val="22"/>
        </w:rPr>
      </w:pPr>
      <w:r w:rsidRPr="00871216">
        <w:rPr>
          <w:rFonts w:ascii="Calibri" w:hAnsi="Calibri"/>
          <w:b/>
          <w:iCs w:val="0"/>
          <w:color w:val="auto"/>
          <w:sz w:val="22"/>
          <w:szCs w:val="22"/>
        </w:rPr>
        <w:t xml:space="preserve">Figure </w:t>
      </w:r>
      <w:r w:rsidR="003402AE" w:rsidRPr="00871216">
        <w:rPr>
          <w:rFonts w:ascii="Calibri" w:hAnsi="Calibri"/>
          <w:b/>
          <w:iCs w:val="0"/>
          <w:color w:val="auto"/>
          <w:sz w:val="22"/>
          <w:szCs w:val="22"/>
        </w:rPr>
        <w:t xml:space="preserve">5. </w:t>
      </w:r>
      <w:r w:rsidR="00071A01" w:rsidRPr="00871216">
        <w:rPr>
          <w:rFonts w:ascii="Calibri" w:hAnsi="Calibri"/>
          <w:b/>
          <w:iCs w:val="0"/>
          <w:color w:val="auto"/>
          <w:sz w:val="22"/>
          <w:szCs w:val="22"/>
        </w:rPr>
        <w:t>House</w:t>
      </w:r>
      <w:r w:rsidR="003402AE" w:rsidRPr="00871216">
        <w:rPr>
          <w:rFonts w:ascii="Calibri" w:hAnsi="Calibri"/>
          <w:b/>
          <w:iCs w:val="0"/>
          <w:color w:val="auto"/>
          <w:sz w:val="22"/>
          <w:szCs w:val="22"/>
        </w:rPr>
        <w:t>h</w:t>
      </w:r>
      <w:r w:rsidR="00071A01" w:rsidRPr="00871216">
        <w:rPr>
          <w:rFonts w:ascii="Calibri" w:hAnsi="Calibri"/>
          <w:b/>
          <w:iCs w:val="0"/>
          <w:color w:val="auto"/>
          <w:sz w:val="22"/>
          <w:szCs w:val="22"/>
        </w:rPr>
        <w:t xml:space="preserve">old </w:t>
      </w:r>
      <w:r w:rsidRPr="00871216">
        <w:rPr>
          <w:rFonts w:ascii="Calibri" w:hAnsi="Calibri"/>
          <w:b/>
          <w:iCs w:val="0"/>
          <w:color w:val="auto"/>
          <w:sz w:val="22"/>
          <w:szCs w:val="22"/>
        </w:rPr>
        <w:t>Gender proportions in the F2F and CATI surveys</w:t>
      </w:r>
    </w:p>
    <w:p w14:paraId="466200D9" w14:textId="77777777" w:rsidR="00FD08F4" w:rsidRDefault="00C123E8" w:rsidP="00453C51">
      <w:pPr>
        <w:jc w:val="both"/>
      </w:pPr>
      <w:r>
        <w:rPr>
          <w:noProof/>
          <w:lang w:val="en-GB" w:eastAsia="en-GB"/>
        </w:rPr>
        <w:drawing>
          <wp:inline distT="0" distB="0" distL="0" distR="0" wp14:anchorId="4B08E33B" wp14:editId="2F023144">
            <wp:extent cx="5934710" cy="2967355"/>
            <wp:effectExtent l="0" t="0" r="8890" b="4445"/>
            <wp:docPr id="19" name="Picture 19" descr="C:\Users\lorenzo.riches\AppData\Local\Microsoft\Windows\INetCache\Content.Word\HoHSex_propor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riches\AppData\Local\Microsoft\Windows\INetCache\Content.Word\HoHSex_proportion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2967355"/>
                    </a:xfrm>
                    <a:prstGeom prst="rect">
                      <a:avLst/>
                    </a:prstGeom>
                    <a:noFill/>
                    <a:ln>
                      <a:noFill/>
                    </a:ln>
                  </pic:spPr>
                </pic:pic>
              </a:graphicData>
            </a:graphic>
          </wp:inline>
        </w:drawing>
      </w:r>
    </w:p>
    <w:p w14:paraId="38C761BE" w14:textId="5C6D1C05" w:rsidR="000460FB" w:rsidRPr="005A5FD3" w:rsidRDefault="00E272CD" w:rsidP="00453C51">
      <w:pPr>
        <w:pStyle w:val="Heading3"/>
        <w:jc w:val="both"/>
        <w:rPr>
          <w:rStyle w:val="IntenseEmphasis"/>
          <w:b/>
          <w:bCs/>
          <w:color w:val="000000" w:themeColor="text1"/>
        </w:rPr>
      </w:pPr>
      <w:r>
        <w:rPr>
          <w:rStyle w:val="IntenseEmphasis"/>
          <w:b/>
          <w:bCs/>
          <w:color w:val="000000" w:themeColor="text1"/>
        </w:rPr>
        <w:t>Income source distribution</w:t>
      </w:r>
    </w:p>
    <w:p w14:paraId="040DD671" w14:textId="60D8C188" w:rsidR="00F418EB" w:rsidRDefault="007579DD" w:rsidP="00453C51">
      <w:pPr>
        <w:jc w:val="both"/>
      </w:pPr>
      <w:r>
        <w:t xml:space="preserve">As </w:t>
      </w:r>
      <w:r w:rsidR="0035593F">
        <w:t>illustrated in</w:t>
      </w:r>
      <w:r w:rsidR="00FB15C2">
        <w:t xml:space="preserve"> </w:t>
      </w:r>
      <w:r w:rsidR="00FB15C2" w:rsidRPr="002D1444">
        <w:rPr>
          <w:i/>
        </w:rPr>
        <w:t>Table 1</w:t>
      </w:r>
      <w:r w:rsidR="00F418EB">
        <w:t xml:space="preserve"> and </w:t>
      </w:r>
      <w:r w:rsidR="00F418EB" w:rsidRPr="002D1444">
        <w:rPr>
          <w:i/>
        </w:rPr>
        <w:t>Figure 6</w:t>
      </w:r>
      <w:r>
        <w:t xml:space="preserve">, </w:t>
      </w:r>
      <w:r w:rsidR="00BB46E1">
        <w:t xml:space="preserve">one major </w:t>
      </w:r>
      <w:r w:rsidR="00433636">
        <w:t xml:space="preserve">difference between the F2F and </w:t>
      </w:r>
      <w:r w:rsidR="005A5FD3">
        <w:t>CATI</w:t>
      </w:r>
      <w:r w:rsidR="00433636">
        <w:t xml:space="preserve"> samples arises from the source</w:t>
      </w:r>
      <w:r w:rsidR="00986277">
        <w:t>s</w:t>
      </w:r>
      <w:r w:rsidR="00433636">
        <w:t xml:space="preserve"> of income</w:t>
      </w:r>
      <w:r w:rsidR="00986277">
        <w:t xml:space="preserve"> of the household</w:t>
      </w:r>
      <w:r w:rsidR="006E236A">
        <w:t>. While</w:t>
      </w:r>
      <w:r w:rsidR="00433636">
        <w:t xml:space="preserve"> in both cases the </w:t>
      </w:r>
      <w:r w:rsidR="00986277">
        <w:t>primary</w:t>
      </w:r>
      <w:r w:rsidR="00433636">
        <w:t xml:space="preserve"> </w:t>
      </w:r>
      <w:r w:rsidR="00CF2378">
        <w:t>source of income of the household</w:t>
      </w:r>
      <w:r w:rsidR="006E236A">
        <w:t xml:space="preserve"> was either</w:t>
      </w:r>
      <w:r w:rsidR="00592080">
        <w:t xml:space="preserve"> agriculture or</w:t>
      </w:r>
      <w:r w:rsidR="00433636">
        <w:t xml:space="preserve"> fish</w:t>
      </w:r>
      <w:r w:rsidR="006E236A">
        <w:t>ing</w:t>
      </w:r>
      <w:r w:rsidR="00433636">
        <w:t xml:space="preserve">, the proportions </w:t>
      </w:r>
      <w:r w:rsidR="006E236A">
        <w:t xml:space="preserve">of households relying on each source varied greatly </w:t>
      </w:r>
      <w:r w:rsidR="00433636">
        <w:t xml:space="preserve"> (~18%)</w:t>
      </w:r>
      <w:r w:rsidR="0031665E">
        <w:t xml:space="preserve"> </w:t>
      </w:r>
      <w:r w:rsidR="006E236A">
        <w:t>between the two modalities, with more households relying on fishing an</w:t>
      </w:r>
      <w:r w:rsidR="007553A5">
        <w:t>d</w:t>
      </w:r>
      <w:r w:rsidR="006E236A">
        <w:t xml:space="preserve"> agriculture in the </w:t>
      </w:r>
      <w:r w:rsidR="003A6C78">
        <w:t xml:space="preserve"> </w:t>
      </w:r>
      <w:r w:rsidR="0031665E">
        <w:t>F2F</w:t>
      </w:r>
      <w:r w:rsidR="006E236A">
        <w:t xml:space="preserve"> group</w:t>
      </w:r>
      <w:r w:rsidR="0031665E">
        <w:t xml:space="preserve"> </w:t>
      </w:r>
      <w:r w:rsidR="006E236A">
        <w:t xml:space="preserve">(18%) than in the </w:t>
      </w:r>
      <w:r w:rsidR="00C70693">
        <w:t>CATI sample.</w:t>
      </w:r>
    </w:p>
    <w:p w14:paraId="7C078A50" w14:textId="77777777" w:rsidR="00F418EB" w:rsidRDefault="00F418EB" w:rsidP="00453C51">
      <w:pPr>
        <w:jc w:val="both"/>
        <w:rPr>
          <w:rFonts w:ascii="Calibri" w:hAnsi="Calibri"/>
        </w:rPr>
      </w:pPr>
      <w:r>
        <w:rPr>
          <w:rFonts w:ascii="Calibri" w:hAnsi="Calibri"/>
        </w:rPr>
        <w:br w:type="page"/>
      </w:r>
    </w:p>
    <w:p w14:paraId="324AB0FF" w14:textId="437F5F94" w:rsidR="00F418EB" w:rsidRPr="00871216" w:rsidRDefault="00F418EB" w:rsidP="00453C51">
      <w:pPr>
        <w:jc w:val="both"/>
        <w:rPr>
          <w:b/>
          <w:i/>
        </w:rPr>
      </w:pPr>
      <w:r w:rsidRPr="00871216">
        <w:rPr>
          <w:rFonts w:ascii="Calibri" w:hAnsi="Calibri"/>
          <w:b/>
          <w:i/>
        </w:rPr>
        <w:lastRenderedPageBreak/>
        <w:t>Figure 6. Income source proportions in the F2F and CATI surveys</w:t>
      </w:r>
    </w:p>
    <w:p w14:paraId="42DDD370" w14:textId="450A938D" w:rsidR="00255BC6" w:rsidRPr="00D70E83" w:rsidRDefault="00255BC6" w:rsidP="00453C51">
      <w:pPr>
        <w:jc w:val="both"/>
      </w:pPr>
    </w:p>
    <w:p w14:paraId="53054D46" w14:textId="77777777" w:rsidR="000460FB" w:rsidRDefault="009C16B6" w:rsidP="00453C51">
      <w:pPr>
        <w:keepNext/>
        <w:jc w:val="both"/>
      </w:pPr>
      <w:r>
        <w:rPr>
          <w:noProof/>
          <w:lang w:val="en-GB" w:eastAsia="en-GB"/>
        </w:rPr>
        <w:drawing>
          <wp:inline distT="0" distB="0" distL="0" distR="0" wp14:anchorId="0228C796" wp14:editId="717D7CB6">
            <wp:extent cx="5939790" cy="2966085"/>
            <wp:effectExtent l="0" t="0" r="3810" b="5715"/>
            <wp:docPr id="24" name="Picture 24" descr="C:\Users\lorenzo.riches\AppData\Local\Microsoft\Windows\INetCache\Content.Word\income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riches\AppData\Local\Microsoft\Windows\INetCache\Content.Word\income_distribu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inline>
        </w:drawing>
      </w:r>
    </w:p>
    <w:p w14:paraId="0D724B40" w14:textId="77777777" w:rsidR="00D70E83" w:rsidRDefault="00D70E83" w:rsidP="00453C51">
      <w:pPr>
        <w:pStyle w:val="Caption"/>
        <w:keepNext/>
        <w:jc w:val="both"/>
        <w:rPr>
          <w:rFonts w:ascii="Calibri" w:hAnsi="Calibri"/>
          <w:i w:val="0"/>
          <w:iCs w:val="0"/>
          <w:color w:val="auto"/>
          <w:sz w:val="22"/>
          <w:szCs w:val="22"/>
        </w:rPr>
      </w:pPr>
    </w:p>
    <w:p w14:paraId="74BDA166" w14:textId="768576D0" w:rsidR="000460FB" w:rsidRDefault="000460FB" w:rsidP="00453C51">
      <w:pPr>
        <w:pStyle w:val="Heading3"/>
        <w:jc w:val="both"/>
        <w:rPr>
          <w:rStyle w:val="IntenseEmphasis"/>
        </w:rPr>
      </w:pPr>
      <w:r w:rsidRPr="00725C6F">
        <w:rPr>
          <w:rStyle w:val="IntenseEmphasis"/>
          <w:b/>
          <w:bCs/>
          <w:color w:val="000000" w:themeColor="text1"/>
        </w:rPr>
        <w:t>Shock distribution</w:t>
      </w:r>
    </w:p>
    <w:p w14:paraId="29E5CD60" w14:textId="792C05CA" w:rsidR="00255BC6" w:rsidRDefault="008154F5" w:rsidP="00453C51">
      <w:pPr>
        <w:jc w:val="both"/>
      </w:pPr>
      <w:r>
        <w:t xml:space="preserve">We also </w:t>
      </w:r>
      <w:r w:rsidR="00E272CD">
        <w:t>examine</w:t>
      </w:r>
      <w:r>
        <w:t>d</w:t>
      </w:r>
      <w:r w:rsidR="00E272CD">
        <w:t xml:space="preserve"> the shocks felt by the respondent in the period preceding the interview. </w:t>
      </w:r>
      <w:r w:rsidR="00262418" w:rsidRPr="00AC2F19">
        <w:t xml:space="preserve">The questionnaire </w:t>
      </w:r>
      <w:r w:rsidR="00E272CD">
        <w:t xml:space="preserve">in the F2F case has </w:t>
      </w:r>
      <w:r w:rsidR="00262418" w:rsidRPr="00AC2F19">
        <w:t>a higher number of</w:t>
      </w:r>
      <w:r w:rsidR="00F418EB">
        <w:t xml:space="preserve"> options when answering this </w:t>
      </w:r>
      <w:r w:rsidR="00262418" w:rsidRPr="00AC2F19">
        <w:t>question</w:t>
      </w:r>
      <w:r w:rsidR="00F418EB">
        <w:t>.</w:t>
      </w:r>
      <w:r w:rsidR="00262418" w:rsidRPr="00AC2F19">
        <w:t xml:space="preserve"> </w:t>
      </w:r>
      <w:r w:rsidR="00F418EB">
        <w:t>However</w:t>
      </w:r>
      <w:r w:rsidR="007553A5">
        <w:t>,</w:t>
      </w:r>
      <w:r w:rsidR="00F418EB">
        <w:t xml:space="preserve"> these </w:t>
      </w:r>
      <w:r w:rsidR="00262738">
        <w:t>were</w:t>
      </w:r>
      <w:r w:rsidR="00262418" w:rsidRPr="00AC2F19">
        <w:t xml:space="preserve"> easily </w:t>
      </w:r>
      <w:r w:rsidR="009F396A" w:rsidRPr="00AC2F19">
        <w:t>aggregated into similar answers</w:t>
      </w:r>
      <w:r w:rsidR="00F418EB">
        <w:t xml:space="preserve"> as</w:t>
      </w:r>
      <w:r w:rsidR="00262418" w:rsidRPr="00AC2F19">
        <w:t xml:space="preserve"> in the </w:t>
      </w:r>
      <w:r w:rsidR="00D70E83" w:rsidRPr="00AC2F19">
        <w:t>CATI</w:t>
      </w:r>
      <w:r w:rsidR="00E272CD">
        <w:t xml:space="preserve"> survey. </w:t>
      </w:r>
      <w:r w:rsidR="000D782C" w:rsidRPr="00AC2F19">
        <w:t>Once standardized,</w:t>
      </w:r>
      <w:r w:rsidR="006C3D06" w:rsidRPr="00AC2F19">
        <w:t xml:space="preserve"> we </w:t>
      </w:r>
      <w:r w:rsidR="00F418EB">
        <w:t>compare</w:t>
      </w:r>
      <w:r w:rsidR="00FE0130">
        <w:t>d</w:t>
      </w:r>
      <w:r w:rsidR="006C3D06" w:rsidRPr="00AC2F19">
        <w:t xml:space="preserve"> the proportions</w:t>
      </w:r>
      <w:r w:rsidR="00302821">
        <w:t xml:space="preserve"> of households that faced different types </w:t>
      </w:r>
      <w:r w:rsidR="006C3D06" w:rsidRPr="00AC2F19">
        <w:t xml:space="preserve">of </w:t>
      </w:r>
      <w:r w:rsidR="00262738">
        <w:t>s</w:t>
      </w:r>
      <w:r w:rsidR="006C3D06" w:rsidRPr="00AC2F19">
        <w:t>hock</w:t>
      </w:r>
      <w:r w:rsidR="00302821">
        <w:t>s</w:t>
      </w:r>
      <w:r w:rsidR="006C3D06" w:rsidRPr="00AC2F19">
        <w:t xml:space="preserve">. </w:t>
      </w:r>
    </w:p>
    <w:p w14:paraId="303555E1" w14:textId="5CE7145B" w:rsidR="00A33326" w:rsidRPr="00871216" w:rsidRDefault="00255BC6" w:rsidP="00453C51">
      <w:pPr>
        <w:pStyle w:val="Caption"/>
        <w:keepNext/>
        <w:jc w:val="both"/>
        <w:rPr>
          <w:b/>
        </w:rPr>
      </w:pPr>
      <w:r w:rsidRPr="00871216">
        <w:rPr>
          <w:rFonts w:ascii="Calibri" w:hAnsi="Calibri"/>
          <w:b/>
          <w:color w:val="auto"/>
          <w:sz w:val="22"/>
          <w:szCs w:val="22"/>
        </w:rPr>
        <w:lastRenderedPageBreak/>
        <w:t xml:space="preserve">Figure </w:t>
      </w:r>
      <w:r w:rsidR="00F418EB" w:rsidRPr="00871216">
        <w:rPr>
          <w:rFonts w:ascii="Calibri" w:hAnsi="Calibri"/>
          <w:b/>
          <w:color w:val="auto"/>
          <w:sz w:val="22"/>
          <w:szCs w:val="22"/>
        </w:rPr>
        <w:t>7</w:t>
      </w:r>
      <w:r w:rsidR="00D70E83" w:rsidRPr="00871216">
        <w:rPr>
          <w:rFonts w:ascii="Calibri" w:hAnsi="Calibri"/>
          <w:b/>
          <w:color w:val="auto"/>
          <w:sz w:val="22"/>
          <w:szCs w:val="22"/>
        </w:rPr>
        <w:t>. P</w:t>
      </w:r>
      <w:r w:rsidRPr="00871216">
        <w:rPr>
          <w:rFonts w:ascii="Calibri" w:hAnsi="Calibri"/>
          <w:b/>
          <w:color w:val="auto"/>
          <w:sz w:val="22"/>
          <w:szCs w:val="22"/>
        </w:rPr>
        <w:t xml:space="preserve">roportions of shock types in F2F and </w:t>
      </w:r>
      <w:r w:rsidR="00725C6F" w:rsidRPr="00871216">
        <w:rPr>
          <w:rFonts w:ascii="Calibri" w:hAnsi="Calibri"/>
          <w:b/>
          <w:color w:val="auto"/>
          <w:sz w:val="22"/>
          <w:szCs w:val="22"/>
        </w:rPr>
        <w:t>CATI</w:t>
      </w:r>
      <w:r w:rsidRPr="00871216">
        <w:rPr>
          <w:rFonts w:ascii="Calibri" w:hAnsi="Calibri"/>
          <w:b/>
          <w:color w:val="auto"/>
          <w:sz w:val="22"/>
          <w:szCs w:val="22"/>
        </w:rPr>
        <w:t xml:space="preserve"> surveys</w:t>
      </w:r>
    </w:p>
    <w:p w14:paraId="05A53270" w14:textId="232D6BF2" w:rsidR="00A33326" w:rsidRDefault="00A33326" w:rsidP="00453C51">
      <w:pPr>
        <w:jc w:val="both"/>
      </w:pPr>
      <w:r>
        <w:rPr>
          <w:noProof/>
          <w:lang w:val="en-GB" w:eastAsia="en-GB"/>
        </w:rPr>
        <w:drawing>
          <wp:inline distT="0" distB="0" distL="0" distR="0" wp14:anchorId="5D881EEC" wp14:editId="1E22413C">
            <wp:extent cx="5939790" cy="2973705"/>
            <wp:effectExtent l="0" t="0" r="3810" b="0"/>
            <wp:docPr id="7" name="Picture 7" descr="C:\Users\lorenzo.riches\AppData\Local\Microsoft\Windows\INetCache\Content.Word\shocks_distrib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riches\AppData\Local\Microsoft\Windows\INetCache\Content.Word\shocks_distribution.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9790" cy="2973705"/>
                    </a:xfrm>
                    <a:prstGeom prst="rect">
                      <a:avLst/>
                    </a:prstGeom>
                    <a:noFill/>
                    <a:ln>
                      <a:noFill/>
                    </a:ln>
                  </pic:spPr>
                </pic:pic>
              </a:graphicData>
            </a:graphic>
          </wp:inline>
        </w:drawing>
      </w:r>
    </w:p>
    <w:p w14:paraId="080BC838" w14:textId="77777777" w:rsidR="00A33326" w:rsidRDefault="00A33326" w:rsidP="00453C51">
      <w:pPr>
        <w:jc w:val="both"/>
      </w:pPr>
    </w:p>
    <w:p w14:paraId="40D24215" w14:textId="39B62192" w:rsidR="00024B7B" w:rsidRDefault="008154F5" w:rsidP="00453C51">
      <w:pPr>
        <w:jc w:val="both"/>
      </w:pPr>
      <w:r>
        <w:t xml:space="preserve">Based on our findings, </w:t>
      </w:r>
      <w:r w:rsidR="009F396A" w:rsidRPr="00725C6F">
        <w:t>climate issues were the main shock</w:t>
      </w:r>
      <w:r w:rsidR="005B1227">
        <w:t xml:space="preserve"> reported </w:t>
      </w:r>
      <w:r>
        <w:t xml:space="preserve">by respondents </w:t>
      </w:r>
      <w:r w:rsidR="009F396A" w:rsidRPr="00725C6F">
        <w:t>during the F2F round</w:t>
      </w:r>
      <w:r>
        <w:t xml:space="preserve">. </w:t>
      </w:r>
      <w:r w:rsidR="00AC40D3">
        <w:t>D</w:t>
      </w:r>
      <w:r w:rsidR="009F396A" w:rsidRPr="00725C6F">
        <w:t xml:space="preserve">eath or illness </w:t>
      </w:r>
      <w:r w:rsidR="00AC40D3">
        <w:t xml:space="preserve">was also reported as a </w:t>
      </w:r>
      <w:r w:rsidR="009F396A" w:rsidRPr="00725C6F">
        <w:t xml:space="preserve">major concern for </w:t>
      </w:r>
      <w:r w:rsidR="005B1227">
        <w:t xml:space="preserve">respondents interviewed via </w:t>
      </w:r>
      <w:r w:rsidR="009F396A" w:rsidRPr="00725C6F">
        <w:t xml:space="preserve">the </w:t>
      </w:r>
      <w:r w:rsidR="00725C6F" w:rsidRPr="00725C6F">
        <w:t>CATI</w:t>
      </w:r>
      <w:r w:rsidR="009F396A" w:rsidRPr="00725C6F">
        <w:t xml:space="preserve"> survey</w:t>
      </w:r>
      <w:r w:rsidR="00E56B43">
        <w:t xml:space="preserve">, even </w:t>
      </w:r>
      <w:r w:rsidR="00DA606A">
        <w:t xml:space="preserve">though </w:t>
      </w:r>
      <w:r w:rsidR="00E56B43">
        <w:t xml:space="preserve">the F2F survey </w:t>
      </w:r>
      <w:r w:rsidR="00DA606A">
        <w:t xml:space="preserve">provided </w:t>
      </w:r>
      <w:r w:rsidR="00E56B43">
        <w:t xml:space="preserve">more granular </w:t>
      </w:r>
      <w:r w:rsidR="00DA606A">
        <w:t xml:space="preserve">data </w:t>
      </w:r>
      <w:r w:rsidR="00E56B43">
        <w:t>on this topic</w:t>
      </w:r>
      <w:r w:rsidR="009F396A" w:rsidRPr="00725C6F">
        <w:t xml:space="preserve">. One </w:t>
      </w:r>
      <w:r w:rsidR="00875065" w:rsidRPr="00725C6F">
        <w:t>reason</w:t>
      </w:r>
      <w:r w:rsidR="00CE7632" w:rsidRPr="00725C6F">
        <w:t xml:space="preserve"> explaining</w:t>
      </w:r>
      <w:r w:rsidR="009F396A" w:rsidRPr="00725C6F">
        <w:t xml:space="preserve"> the much higher proportion of households affected by climate issues in </w:t>
      </w:r>
      <w:r w:rsidR="00D900DD">
        <w:t xml:space="preserve">the </w:t>
      </w:r>
      <w:r w:rsidR="009F396A" w:rsidRPr="00725C6F">
        <w:t>F2F</w:t>
      </w:r>
      <w:r w:rsidR="00D900DD">
        <w:t xml:space="preserve"> survey</w:t>
      </w:r>
      <w:r w:rsidR="009F396A" w:rsidRPr="00725C6F">
        <w:t xml:space="preserve"> </w:t>
      </w:r>
      <w:r w:rsidR="00D900DD">
        <w:t>may be</w:t>
      </w:r>
      <w:r w:rsidR="009F396A" w:rsidRPr="00725C6F">
        <w:t xml:space="preserve"> related to the higher proportion of </w:t>
      </w:r>
      <w:r w:rsidR="00E01949">
        <w:t xml:space="preserve">the population </w:t>
      </w:r>
      <w:r w:rsidR="009F396A" w:rsidRPr="00725C6F">
        <w:t xml:space="preserve">dependents on </w:t>
      </w:r>
      <w:r w:rsidR="005B1227">
        <w:t>a</w:t>
      </w:r>
      <w:r w:rsidR="009F396A" w:rsidRPr="00725C6F">
        <w:t>g</w:t>
      </w:r>
      <w:r w:rsidR="00951D4F">
        <w:t xml:space="preserve">riculture or </w:t>
      </w:r>
      <w:r w:rsidR="005B1227">
        <w:t>f</w:t>
      </w:r>
      <w:r w:rsidR="009F396A" w:rsidRPr="00725C6F">
        <w:t>ish</w:t>
      </w:r>
      <w:r w:rsidR="00D900DD">
        <w:t>ing</w:t>
      </w:r>
      <w:r w:rsidR="00CE7632" w:rsidRPr="00725C6F">
        <w:t xml:space="preserve"> in this sample</w:t>
      </w:r>
      <w:r w:rsidR="009F396A" w:rsidRPr="00725C6F">
        <w:t xml:space="preserve">. </w:t>
      </w:r>
      <w:r w:rsidR="00951D4F">
        <w:t xml:space="preserve">Although the differences </w:t>
      </w:r>
      <w:r w:rsidR="001E5E86">
        <w:t>are statistically significant, c</w:t>
      </w:r>
      <w:r w:rsidR="009F396A" w:rsidRPr="00725C6F">
        <w:t>onclus</w:t>
      </w:r>
      <w:r w:rsidR="00242DC0" w:rsidRPr="00725C6F">
        <w:t xml:space="preserve">ions on this variable </w:t>
      </w:r>
      <w:r w:rsidR="00AA655F">
        <w:t xml:space="preserve">are, </w:t>
      </w:r>
      <w:r w:rsidR="00242DC0" w:rsidRPr="00725C6F">
        <w:t>however</w:t>
      </w:r>
      <w:r w:rsidR="00AA655F">
        <w:t xml:space="preserve">, </w:t>
      </w:r>
      <w:r w:rsidR="009F396A" w:rsidRPr="00725C6F">
        <w:t>to</w:t>
      </w:r>
      <w:r w:rsidR="00242DC0" w:rsidRPr="00725C6F">
        <w:t xml:space="preserve"> be</w:t>
      </w:r>
      <w:r w:rsidR="00AA655F">
        <w:t xml:space="preserve"> </w:t>
      </w:r>
      <w:r w:rsidR="00CC3FB7">
        <w:t>interpreted</w:t>
      </w:r>
      <w:r w:rsidR="009F396A" w:rsidRPr="00725C6F">
        <w:t xml:space="preserve"> with caution</w:t>
      </w:r>
      <w:r w:rsidR="00AA655F">
        <w:t>,</w:t>
      </w:r>
      <w:r w:rsidR="009F396A" w:rsidRPr="00725C6F">
        <w:t xml:space="preserve"> as the recall period f</w:t>
      </w:r>
      <w:r w:rsidR="001D1374" w:rsidRPr="00725C6F">
        <w:t xml:space="preserve">or shocks in </w:t>
      </w:r>
      <w:r w:rsidR="00D900DD">
        <w:t xml:space="preserve">the </w:t>
      </w:r>
      <w:r w:rsidR="001D1374" w:rsidRPr="00725C6F">
        <w:t xml:space="preserve">F2F </w:t>
      </w:r>
      <w:r w:rsidR="00D900DD">
        <w:t xml:space="preserve">survey </w:t>
      </w:r>
      <w:r w:rsidR="001D1374" w:rsidRPr="00725C6F">
        <w:t xml:space="preserve">is 12 months against a </w:t>
      </w:r>
      <w:r w:rsidR="00AA655F">
        <w:t>one-</w:t>
      </w:r>
      <w:r w:rsidR="001D1374" w:rsidRPr="00725C6F">
        <w:t>month</w:t>
      </w:r>
      <w:r w:rsidR="009F396A" w:rsidRPr="00725C6F">
        <w:t xml:space="preserve"> recall period </w:t>
      </w:r>
      <w:r w:rsidR="00D900DD">
        <w:t xml:space="preserve">for the </w:t>
      </w:r>
      <w:r w:rsidR="00725C6F" w:rsidRPr="00725C6F">
        <w:t>CATI</w:t>
      </w:r>
      <w:r w:rsidR="00D900DD">
        <w:t xml:space="preserve"> survey</w:t>
      </w:r>
      <w:r w:rsidR="009F396A" w:rsidRPr="00725C6F">
        <w:t>.</w:t>
      </w:r>
    </w:p>
    <w:p w14:paraId="5D3E04C8" w14:textId="1B32A992" w:rsidR="009235FB" w:rsidRPr="00725C6F" w:rsidRDefault="009235FB" w:rsidP="00453C51">
      <w:pPr>
        <w:pStyle w:val="Heading3"/>
        <w:jc w:val="both"/>
        <w:rPr>
          <w:rStyle w:val="IntenseEmphasis"/>
          <w:b/>
          <w:bCs/>
          <w:color w:val="000000" w:themeColor="text1"/>
        </w:rPr>
      </w:pPr>
      <w:r w:rsidRPr="00725C6F">
        <w:rPr>
          <w:rStyle w:val="IntenseEmphasis"/>
          <w:b/>
          <w:bCs/>
          <w:color w:val="000000" w:themeColor="text1"/>
        </w:rPr>
        <w:t>Roof type and toilet type distribution</w:t>
      </w:r>
    </w:p>
    <w:p w14:paraId="2F4A5C9A" w14:textId="63B90D21" w:rsidR="001076B9" w:rsidRDefault="001076B9" w:rsidP="00453C51">
      <w:pPr>
        <w:jc w:val="both"/>
      </w:pPr>
      <w:r w:rsidRPr="001076B9">
        <w:t xml:space="preserve">Variables </w:t>
      </w:r>
      <w:r w:rsidRPr="006B7F0C">
        <w:rPr>
          <w:rStyle w:val="Emphasis"/>
        </w:rPr>
        <w:t>ToiletType</w:t>
      </w:r>
      <w:r w:rsidRPr="001076B9">
        <w:t xml:space="preserve"> and </w:t>
      </w:r>
      <w:r w:rsidRPr="006B7F0C">
        <w:rPr>
          <w:rStyle w:val="Emphasis"/>
        </w:rPr>
        <w:t>RoofType</w:t>
      </w:r>
      <w:r w:rsidRPr="001076B9">
        <w:t xml:space="preserve"> are commonly used as proxies for assessing the living conditions of </w:t>
      </w:r>
      <w:r w:rsidR="00AA655F">
        <w:t xml:space="preserve">survey </w:t>
      </w:r>
      <w:r>
        <w:t xml:space="preserve">respondents. </w:t>
      </w:r>
      <w:r w:rsidR="005030F2">
        <w:t xml:space="preserve">That said, the same living conditions indicator question was not asked for both surveys. Instead, </w:t>
      </w:r>
      <w:r w:rsidRPr="006B7F0C">
        <w:rPr>
          <w:rStyle w:val="Emphasis"/>
        </w:rPr>
        <w:t>ToiletType</w:t>
      </w:r>
      <w:r w:rsidR="00CC3FB7">
        <w:rPr>
          <w:rStyle w:val="Emphasis"/>
        </w:rPr>
        <w:t xml:space="preserve"> </w:t>
      </w:r>
      <w:r w:rsidR="00CC3FB7" w:rsidRPr="00302821">
        <w:rPr>
          <w:rStyle w:val="Emphasis"/>
          <w:i w:val="0"/>
        </w:rPr>
        <w:t>is used in the CATI questionnaire while</w:t>
      </w:r>
      <w:r w:rsidRPr="001076B9">
        <w:t xml:space="preserve"> </w:t>
      </w:r>
      <w:r w:rsidRPr="006B7F0C">
        <w:rPr>
          <w:rStyle w:val="Emphasis"/>
        </w:rPr>
        <w:t>RoofType</w:t>
      </w:r>
      <w:r w:rsidRPr="001076B9">
        <w:t xml:space="preserve"> </w:t>
      </w:r>
      <w:r w:rsidR="00CC3FB7">
        <w:t>is used in the F2F</w:t>
      </w:r>
      <w:r>
        <w:t>.</w:t>
      </w:r>
      <w:r w:rsidR="006C3D06">
        <w:t xml:space="preserve"> </w:t>
      </w:r>
      <w:r w:rsidR="007D3A88">
        <w:t xml:space="preserve">In order to </w:t>
      </w:r>
      <w:r w:rsidR="00935F51">
        <w:t xml:space="preserve">make </w:t>
      </w:r>
      <w:r w:rsidR="007D3A88">
        <w:t xml:space="preserve">use </w:t>
      </w:r>
      <w:r w:rsidR="00935F51">
        <w:t xml:space="preserve">of </w:t>
      </w:r>
      <w:r w:rsidR="007D3A88">
        <w:t xml:space="preserve">these variables to compare the living conditions between the two samples, they are categorized into two classes, </w:t>
      </w:r>
      <w:r w:rsidR="007D3A88" w:rsidRPr="00C91C1A">
        <w:rPr>
          <w:i/>
        </w:rPr>
        <w:t>Better Off</w:t>
      </w:r>
      <w:r w:rsidR="007D3A88">
        <w:t xml:space="preserve"> and </w:t>
      </w:r>
      <w:r w:rsidR="007D3A88" w:rsidRPr="00C91C1A">
        <w:rPr>
          <w:i/>
        </w:rPr>
        <w:t>Worse Off</w:t>
      </w:r>
      <w:r w:rsidR="007D3A88">
        <w:t>, as follows:</w:t>
      </w:r>
    </w:p>
    <w:p w14:paraId="40061A3B" w14:textId="2E405A5E" w:rsidR="00791585" w:rsidRPr="003402AE" w:rsidRDefault="00447778" w:rsidP="00453C51">
      <w:pPr>
        <w:jc w:val="both"/>
        <w:rPr>
          <w:rFonts w:ascii="Calibri" w:hAnsi="Calibri"/>
        </w:rPr>
      </w:pPr>
      <w:r w:rsidRPr="00871216">
        <w:rPr>
          <w:b/>
          <w:i/>
          <w:noProof/>
          <w:lang w:val="en-GB" w:eastAsia="en-GB"/>
        </w:rPr>
        <mc:AlternateContent>
          <mc:Choice Requires="wps">
            <w:drawing>
              <wp:anchor distT="0" distB="0" distL="114300" distR="114300" simplePos="0" relativeHeight="251668480" behindDoc="0" locked="0" layoutInCell="1" allowOverlap="1" wp14:anchorId="10E75AD4" wp14:editId="16942FD0">
                <wp:simplePos x="0" y="0"/>
                <wp:positionH relativeFrom="column">
                  <wp:posOffset>665480</wp:posOffset>
                </wp:positionH>
                <wp:positionV relativeFrom="paragraph">
                  <wp:posOffset>536270</wp:posOffset>
                </wp:positionV>
                <wp:extent cx="94640" cy="342950"/>
                <wp:effectExtent l="0" t="0" r="635" b="0"/>
                <wp:wrapNone/>
                <wp:docPr id="5" name="Rectangle 5"/>
                <wp:cNvGraphicFramePr/>
                <a:graphic xmlns:a="http://schemas.openxmlformats.org/drawingml/2006/main">
                  <a:graphicData uri="http://schemas.microsoft.com/office/word/2010/wordprocessingShape">
                    <wps:wsp>
                      <wps:cNvSpPr/>
                      <wps:spPr>
                        <a:xfrm>
                          <a:off x="0" y="0"/>
                          <a:ext cx="94640" cy="342950"/>
                        </a:xfrm>
                        <a:prstGeom prst="rect">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B5A34D2" id="Rectangle 5" o:spid="_x0000_s1026" style="position:absolute;margin-left:52.4pt;margin-top:42.25pt;width:7.4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" fillcolor="#a03500" stroked="f" strokeweight="1pt">
                <v:fill color2="#ff6200" rotate="t" colors="0 #a03500;.5 #e65100;1 #ff6200" focus="100%" type="gradient"/>
              </v:rect>
            </w:pict>
          </mc:Fallback>
        </mc:AlternateContent>
      </w:r>
      <w:r w:rsidRPr="00871216">
        <w:rPr>
          <w:b/>
          <w:i/>
          <w:noProof/>
          <w:lang w:val="en-GB" w:eastAsia="en-GB"/>
        </w:rPr>
        <mc:AlternateContent>
          <mc:Choice Requires="wps">
            <w:drawing>
              <wp:anchor distT="0" distB="0" distL="114300" distR="114300" simplePos="0" relativeHeight="251666432" behindDoc="0" locked="0" layoutInCell="1" allowOverlap="1" wp14:anchorId="4DFB0C43" wp14:editId="33124E0B">
                <wp:simplePos x="0" y="0"/>
                <wp:positionH relativeFrom="column">
                  <wp:posOffset>665683</wp:posOffset>
                </wp:positionH>
                <wp:positionV relativeFrom="paragraph">
                  <wp:posOffset>880490</wp:posOffset>
                </wp:positionV>
                <wp:extent cx="94920" cy="358089"/>
                <wp:effectExtent l="0" t="0" r="635" b="4445"/>
                <wp:wrapNone/>
                <wp:docPr id="4" name="Rectangle 4"/>
                <wp:cNvGraphicFramePr/>
                <a:graphic xmlns:a="http://schemas.openxmlformats.org/drawingml/2006/main">
                  <a:graphicData uri="http://schemas.microsoft.com/office/word/2010/wordprocessingShape">
                    <wps:wsp>
                      <wps:cNvSpPr/>
                      <wps:spPr>
                        <a:xfrm>
                          <a:off x="0" y="0"/>
                          <a:ext cx="94920" cy="358089"/>
                        </a:xfrm>
                        <a:prstGeom prst="rect">
                          <a:avLst/>
                        </a:prstGeom>
                        <a:gradFill flip="none" rotWithShape="1">
                          <a:gsLst>
                            <a:gs pos="0">
                              <a:srgbClr val="D2E947">
                                <a:shade val="30000"/>
                                <a:satMod val="115000"/>
                              </a:srgbClr>
                            </a:gs>
                            <a:gs pos="50000">
                              <a:srgbClr val="D2E947">
                                <a:shade val="67500"/>
                                <a:satMod val="115000"/>
                              </a:srgbClr>
                            </a:gs>
                            <a:gs pos="100000">
                              <a:srgbClr val="D2E947">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46F0ED75" id="Rectangle 4" o:spid="_x0000_s1026" style="position:absolute;margin-left:52.4pt;margin-top:69.35pt;width:7.45pt;height:28.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" fillcolor="#7f8f1e" stroked="f" strokeweight="1pt">
                <v:fill color2="#dbf53b" rotate="t" angle="45" colors="0 #7f8f1e;.5 #b8ce30;1 #dbf53b" focus="100%" type="gradient"/>
              </v:rect>
            </w:pict>
          </mc:Fallback>
        </mc:AlternateContent>
      </w:r>
      <w:r w:rsidRPr="00871216">
        <w:rPr>
          <w:b/>
          <w:i/>
          <w:noProof/>
          <w:lang w:val="en-GB" w:eastAsia="en-GB"/>
        </w:rPr>
        <mc:AlternateContent>
          <mc:Choice Requires="wps">
            <w:drawing>
              <wp:anchor distT="0" distB="0" distL="114300" distR="114300" simplePos="0" relativeHeight="251662336" behindDoc="0" locked="0" layoutInCell="1" allowOverlap="1" wp14:anchorId="6048BE75" wp14:editId="61BF6CC3">
                <wp:simplePos x="0" y="0"/>
                <wp:positionH relativeFrom="column">
                  <wp:posOffset>5281574</wp:posOffset>
                </wp:positionH>
                <wp:positionV relativeFrom="paragraph">
                  <wp:posOffset>726872</wp:posOffset>
                </wp:positionV>
                <wp:extent cx="102235" cy="753465"/>
                <wp:effectExtent l="0" t="0" r="0" b="8890"/>
                <wp:wrapNone/>
                <wp:docPr id="2" name="Rectangle 2"/>
                <wp:cNvGraphicFramePr/>
                <a:graphic xmlns:a="http://schemas.openxmlformats.org/drawingml/2006/main">
                  <a:graphicData uri="http://schemas.microsoft.com/office/word/2010/wordprocessingShape">
                    <wps:wsp>
                      <wps:cNvSpPr/>
                      <wps:spPr>
                        <a:xfrm>
                          <a:off x="0" y="0"/>
                          <a:ext cx="102235" cy="753465"/>
                        </a:xfrm>
                        <a:prstGeom prst="rect">
                          <a:avLst/>
                        </a:prstGeom>
                        <a:gradFill flip="none" rotWithShape="1">
                          <a:gsLst>
                            <a:gs pos="0">
                              <a:srgbClr val="D2E947">
                                <a:shade val="30000"/>
                                <a:satMod val="115000"/>
                              </a:srgbClr>
                            </a:gs>
                            <a:gs pos="50000">
                              <a:srgbClr val="D2E947">
                                <a:shade val="67500"/>
                                <a:satMod val="115000"/>
                              </a:srgbClr>
                            </a:gs>
                            <a:gs pos="100000">
                              <a:srgbClr val="D2E947">
                                <a:shade val="100000"/>
                                <a:satMod val="115000"/>
                              </a:srgbClr>
                            </a:gs>
                          </a:gsLst>
                          <a:lin ang="27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5170DC5D" id="Rectangle 2" o:spid="_x0000_s1026" style="position:absolute;margin-left:415.85pt;margin-top:57.25pt;width:8.05pt;height:5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" fillcolor="#7f8f1e" stroked="f" strokeweight="1pt">
                <v:fill color2="#dbf53b" rotate="t" angle="45" colors="0 #7f8f1e;.5 #b8ce30;1 #dbf53b" focus="100%" type="gradient"/>
              </v:rect>
            </w:pict>
          </mc:Fallback>
        </mc:AlternateContent>
      </w:r>
      <w:r w:rsidRPr="00871216">
        <w:rPr>
          <w:b/>
          <w:i/>
          <w:noProof/>
          <w:lang w:val="en-GB" w:eastAsia="en-GB"/>
        </w:rPr>
        <mc:AlternateContent>
          <mc:Choice Requires="wps">
            <w:drawing>
              <wp:anchor distT="0" distB="0" distL="114300" distR="114300" simplePos="0" relativeHeight="251664384" behindDoc="0" locked="0" layoutInCell="1" allowOverlap="1" wp14:anchorId="07BC6204" wp14:editId="6108D984">
                <wp:simplePos x="0" y="0"/>
                <wp:positionH relativeFrom="column">
                  <wp:posOffset>5280965</wp:posOffset>
                </wp:positionH>
                <wp:positionV relativeFrom="paragraph">
                  <wp:posOffset>535940</wp:posOffset>
                </wp:positionV>
                <wp:extent cx="102235" cy="190196"/>
                <wp:effectExtent l="0" t="0" r="0" b="635"/>
                <wp:wrapNone/>
                <wp:docPr id="3" name="Rectangle 3"/>
                <wp:cNvGraphicFramePr/>
                <a:graphic xmlns:a="http://schemas.openxmlformats.org/drawingml/2006/main">
                  <a:graphicData uri="http://schemas.microsoft.com/office/word/2010/wordprocessingShape">
                    <wps:wsp>
                      <wps:cNvSpPr/>
                      <wps:spPr>
                        <a:xfrm>
                          <a:off x="0" y="0"/>
                          <a:ext cx="102235" cy="190196"/>
                        </a:xfrm>
                        <a:prstGeom prst="rect">
                          <a:avLst/>
                        </a:prstGeom>
                        <a:gradFill flip="none" rotWithShape="1">
                          <a:gsLst>
                            <a:gs pos="0">
                              <a:srgbClr val="FF6600">
                                <a:shade val="30000"/>
                                <a:satMod val="115000"/>
                              </a:srgbClr>
                            </a:gs>
                            <a:gs pos="50000">
                              <a:srgbClr val="FF6600">
                                <a:shade val="67500"/>
                                <a:satMod val="115000"/>
                              </a:srgbClr>
                            </a:gs>
                            <a:gs pos="100000">
                              <a:srgbClr val="FF6600">
                                <a:shade val="100000"/>
                                <a:satMod val="115000"/>
                              </a:srgbClr>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2D5AB8C4" id="Rectangle 3" o:spid="_x0000_s1026" style="position:absolute;margin-left:415.8pt;margin-top:42.2pt;width:8.0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" fillcolor="#a03500" stroked="f" strokeweight="1pt">
                <v:fill color2="#ff6200" rotate="t" colors="0 #a03500;.5 #e65100;1 #ff6200" focus="100%" type="gradient"/>
              </v:rect>
            </w:pict>
          </mc:Fallback>
        </mc:AlternateContent>
      </w:r>
      <w:r w:rsidRPr="00871216">
        <w:rPr>
          <w:b/>
          <w:i/>
          <w:noProof/>
          <w:lang w:val="en-GB" w:eastAsia="en-GB"/>
        </w:rPr>
        <mc:AlternateContent>
          <mc:Choice Requires="wps">
            <w:drawing>
              <wp:anchor distT="0" distB="0" distL="114300" distR="114300" simplePos="0" relativeHeight="251660288" behindDoc="0" locked="0" layoutInCell="1" allowOverlap="1" wp14:anchorId="2B8D8149" wp14:editId="6EA5894F">
                <wp:simplePos x="0" y="0"/>
                <wp:positionH relativeFrom="column">
                  <wp:posOffset>5281574</wp:posOffset>
                </wp:positionH>
                <wp:positionV relativeFrom="paragraph">
                  <wp:posOffset>1041425</wp:posOffset>
                </wp:positionV>
                <wp:extent cx="102413" cy="431546"/>
                <wp:effectExtent l="0" t="0" r="0" b="6985"/>
                <wp:wrapNone/>
                <wp:docPr id="1" name="Rectangle 1"/>
                <wp:cNvGraphicFramePr/>
                <a:graphic xmlns:a="http://schemas.openxmlformats.org/drawingml/2006/main">
                  <a:graphicData uri="http://schemas.microsoft.com/office/word/2010/wordprocessingShape">
                    <wps:wsp>
                      <wps:cNvSpPr/>
                      <wps:spPr>
                        <a:xfrm>
                          <a:off x="0" y="0"/>
                          <a:ext cx="102413" cy="431546"/>
                        </a:xfrm>
                        <a:prstGeom prst="rect">
                          <a:avLst/>
                        </a:prstGeom>
                        <a:gradFill flip="none" rotWithShape="1">
                          <a:gsLst>
                            <a:gs pos="0">
                              <a:srgbClr val="4AE651">
                                <a:shade val="30000"/>
                                <a:satMod val="115000"/>
                              </a:srgbClr>
                            </a:gs>
                            <a:gs pos="50000">
                              <a:srgbClr val="4AE651">
                                <a:shade val="67500"/>
                                <a:satMod val="115000"/>
                              </a:srgbClr>
                            </a:gs>
                            <a:gs pos="100000">
                              <a:srgbClr val="4AE651">
                                <a:shade val="100000"/>
                                <a:satMod val="115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rect w14:anchorId="26201901" id="Rectangle 1" o:spid="_x0000_s1026" style="position:absolute;margin-left:415.85pt;margin-top:82pt;width:8.05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" fillcolor="#208d25" stroked="f" strokeweight="1pt">
                <v:fill color2="#3ef246" rotate="t" angle="180" colors="0 #208d25;.5 #33cb3a;1 #3ef246" focus="100%" type="gradient"/>
              </v:rect>
            </w:pict>
          </mc:Fallback>
        </mc:AlternateContent>
      </w:r>
      <w:r w:rsidR="00791585" w:rsidRPr="00871216">
        <w:rPr>
          <w:rFonts w:ascii="Calibri" w:hAnsi="Calibri"/>
          <w:b/>
          <w:i/>
        </w:rPr>
        <w:t xml:space="preserve"> Table2. Toilet Type and Roof Type categorization</w:t>
      </w:r>
    </w:p>
    <w:tbl>
      <w:tblPr>
        <w:tblW w:w="6952" w:type="dxa"/>
        <w:jc w:val="center"/>
        <w:tblLook w:val="04A0" w:firstRow="1" w:lastRow="0" w:firstColumn="1" w:lastColumn="0" w:noHBand="0" w:noVBand="1"/>
      </w:tblPr>
      <w:tblGrid>
        <w:gridCol w:w="1518"/>
        <w:gridCol w:w="1281"/>
        <w:gridCol w:w="3130"/>
        <w:gridCol w:w="1260"/>
      </w:tblGrid>
      <w:tr w:rsidR="007D3A88" w:rsidRPr="007D3A88" w14:paraId="3A85F21B" w14:textId="77777777" w:rsidTr="00DB77B1">
        <w:trPr>
          <w:trHeight w:val="282"/>
          <w:jc w:val="center"/>
        </w:trPr>
        <w:tc>
          <w:tcPr>
            <w:tcW w:w="1280" w:type="dxa"/>
            <w:tcBorders>
              <w:top w:val="nil"/>
              <w:left w:val="nil"/>
              <w:bottom w:val="single" w:sz="4" w:space="0" w:color="auto"/>
              <w:right w:val="nil"/>
            </w:tcBorders>
            <w:shd w:val="clear" w:color="auto" w:fill="auto"/>
            <w:noWrap/>
            <w:vAlign w:val="bottom"/>
            <w:hideMark/>
          </w:tcPr>
          <w:p w14:paraId="7416AF55" w14:textId="77777777" w:rsidR="007D3A88" w:rsidRPr="00636C3E" w:rsidRDefault="007D3A88"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Roof Type</w:t>
            </w:r>
          </w:p>
        </w:tc>
        <w:tc>
          <w:tcPr>
            <w:tcW w:w="1281" w:type="dxa"/>
            <w:tcBorders>
              <w:top w:val="nil"/>
              <w:left w:val="nil"/>
              <w:bottom w:val="single" w:sz="4" w:space="0" w:color="auto"/>
              <w:right w:val="single" w:sz="4" w:space="0" w:color="auto"/>
            </w:tcBorders>
            <w:shd w:val="clear" w:color="auto" w:fill="auto"/>
            <w:noWrap/>
            <w:vAlign w:val="bottom"/>
            <w:hideMark/>
          </w:tcPr>
          <w:p w14:paraId="25513FE6" w14:textId="77777777" w:rsidR="007D3A88" w:rsidRPr="00636C3E" w:rsidRDefault="007D3A88"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Category</w:t>
            </w:r>
          </w:p>
        </w:tc>
        <w:tc>
          <w:tcPr>
            <w:tcW w:w="3130" w:type="dxa"/>
            <w:tcBorders>
              <w:top w:val="nil"/>
              <w:left w:val="single" w:sz="4" w:space="0" w:color="auto"/>
              <w:bottom w:val="single" w:sz="4" w:space="0" w:color="auto"/>
              <w:right w:val="nil"/>
            </w:tcBorders>
            <w:shd w:val="clear" w:color="auto" w:fill="auto"/>
            <w:noWrap/>
            <w:vAlign w:val="bottom"/>
            <w:hideMark/>
          </w:tcPr>
          <w:p w14:paraId="390D2350" w14:textId="77777777" w:rsidR="007D3A88" w:rsidRPr="00636C3E" w:rsidRDefault="007D3A88"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Toilet Type</w:t>
            </w:r>
          </w:p>
        </w:tc>
        <w:tc>
          <w:tcPr>
            <w:tcW w:w="1260" w:type="dxa"/>
            <w:tcBorders>
              <w:top w:val="nil"/>
              <w:left w:val="nil"/>
              <w:bottom w:val="single" w:sz="4" w:space="0" w:color="auto"/>
              <w:right w:val="nil"/>
            </w:tcBorders>
            <w:shd w:val="clear" w:color="auto" w:fill="auto"/>
            <w:noWrap/>
            <w:vAlign w:val="bottom"/>
            <w:hideMark/>
          </w:tcPr>
          <w:p w14:paraId="481075D9" w14:textId="77777777" w:rsidR="007D3A88" w:rsidRPr="00636C3E" w:rsidRDefault="007D3A88" w:rsidP="00453C51">
            <w:pPr>
              <w:spacing w:after="0" w:line="240" w:lineRule="auto"/>
              <w:jc w:val="both"/>
              <w:rPr>
                <w:rFonts w:ascii="Calibri" w:eastAsia="Times New Roman" w:hAnsi="Calibri" w:cs="Calibri"/>
                <w:b/>
                <w:bCs/>
                <w:i/>
                <w:iCs/>
                <w:color w:val="000000"/>
                <w:lang w:val="en-GB" w:eastAsia="en-GB"/>
              </w:rPr>
            </w:pPr>
            <w:r w:rsidRPr="00636C3E">
              <w:rPr>
                <w:rFonts w:ascii="Calibri" w:eastAsia="Times New Roman" w:hAnsi="Calibri" w:cs="Calibri"/>
                <w:b/>
                <w:bCs/>
                <w:i/>
                <w:iCs/>
                <w:color w:val="000000"/>
                <w:lang w:val="en-GB" w:eastAsia="en-GB"/>
              </w:rPr>
              <w:t>Category</w:t>
            </w:r>
          </w:p>
        </w:tc>
      </w:tr>
      <w:tr w:rsidR="0012382D" w:rsidRPr="007D3A88" w14:paraId="20BAA23A" w14:textId="77777777" w:rsidTr="00DB77B1">
        <w:trPr>
          <w:trHeight w:val="321"/>
          <w:jc w:val="center"/>
        </w:trPr>
        <w:tc>
          <w:tcPr>
            <w:tcW w:w="1280" w:type="dxa"/>
            <w:tcBorders>
              <w:top w:val="nil"/>
              <w:left w:val="nil"/>
              <w:bottom w:val="nil"/>
              <w:right w:val="nil"/>
            </w:tcBorders>
            <w:shd w:val="clear" w:color="auto" w:fill="auto"/>
            <w:noWrap/>
            <w:vAlign w:val="center"/>
          </w:tcPr>
          <w:p w14:paraId="3FA5BB58" w14:textId="77777777" w:rsidR="0012382D" w:rsidRPr="007D3A88" w:rsidRDefault="0048210F"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Grass</w:t>
            </w:r>
            <w:r w:rsidR="002C1822">
              <w:rPr>
                <w:rFonts w:ascii="Calibri" w:eastAsia="Times New Roman" w:hAnsi="Calibri" w:cs="Calibri"/>
                <w:i/>
                <w:iCs/>
                <w:color w:val="000000"/>
                <w:lang w:val="en-GB" w:eastAsia="en-GB"/>
              </w:rPr>
              <w:t>/Sticks</w:t>
            </w:r>
          </w:p>
        </w:tc>
        <w:tc>
          <w:tcPr>
            <w:tcW w:w="1281" w:type="dxa"/>
            <w:tcBorders>
              <w:top w:val="nil"/>
              <w:left w:val="nil"/>
              <w:bottom w:val="nil"/>
              <w:right w:val="single" w:sz="4" w:space="0" w:color="auto"/>
            </w:tcBorders>
            <w:shd w:val="clear" w:color="auto" w:fill="auto"/>
            <w:noWrap/>
            <w:vAlign w:val="center"/>
          </w:tcPr>
          <w:p w14:paraId="5410E806" w14:textId="77777777" w:rsidR="0012382D" w:rsidRPr="0012382D" w:rsidRDefault="0012382D" w:rsidP="00453C51">
            <w:pPr>
              <w:spacing w:after="0" w:line="240" w:lineRule="auto"/>
              <w:jc w:val="both"/>
              <w:rPr>
                <w:rFonts w:ascii="Calibri" w:eastAsia="Times New Roman" w:hAnsi="Calibri" w:cs="Calibri"/>
                <w:b/>
                <w:bCs/>
                <w:color w:val="FF0000"/>
                <w:lang w:val="en-GB" w:eastAsia="en-GB"/>
              </w:rPr>
            </w:pPr>
            <w:r w:rsidRPr="0012382D">
              <w:rPr>
                <w:rFonts w:ascii="Calibri" w:eastAsia="Times New Roman" w:hAnsi="Calibri" w:cs="Calibri"/>
                <w:b/>
                <w:bCs/>
                <w:color w:val="FF0000"/>
                <w:lang w:val="en-GB" w:eastAsia="en-GB"/>
              </w:rPr>
              <w:t>Worse Off</w:t>
            </w:r>
          </w:p>
        </w:tc>
        <w:tc>
          <w:tcPr>
            <w:tcW w:w="3130" w:type="dxa"/>
            <w:tcBorders>
              <w:top w:val="nil"/>
              <w:left w:val="single" w:sz="4" w:space="0" w:color="auto"/>
              <w:bottom w:val="nil"/>
              <w:right w:val="nil"/>
            </w:tcBorders>
            <w:shd w:val="clear" w:color="auto" w:fill="auto"/>
            <w:noWrap/>
            <w:vAlign w:val="center"/>
          </w:tcPr>
          <w:p w14:paraId="27A20BD8"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T</w:t>
            </w:r>
            <w:r w:rsidRPr="007D3A88">
              <w:rPr>
                <w:rFonts w:ascii="Calibri" w:eastAsia="Times New Roman" w:hAnsi="Calibri" w:cs="Calibri"/>
                <w:i/>
                <w:iCs/>
                <w:color w:val="000000"/>
                <w:lang w:val="en-GB" w:eastAsia="en-GB"/>
              </w:rPr>
              <w:t>raditional unimproved latrine</w:t>
            </w:r>
          </w:p>
        </w:tc>
        <w:tc>
          <w:tcPr>
            <w:tcW w:w="1260" w:type="dxa"/>
            <w:tcBorders>
              <w:top w:val="nil"/>
              <w:left w:val="nil"/>
              <w:bottom w:val="nil"/>
              <w:right w:val="nil"/>
            </w:tcBorders>
            <w:shd w:val="clear" w:color="auto" w:fill="auto"/>
            <w:noWrap/>
            <w:vAlign w:val="center"/>
          </w:tcPr>
          <w:p w14:paraId="0EAD12E5" w14:textId="77777777" w:rsidR="0012382D" w:rsidRPr="0012382D" w:rsidRDefault="0012382D" w:rsidP="00453C51">
            <w:pPr>
              <w:spacing w:after="0" w:line="240" w:lineRule="auto"/>
              <w:jc w:val="both"/>
              <w:rPr>
                <w:rFonts w:ascii="Calibri" w:eastAsia="Times New Roman" w:hAnsi="Calibri" w:cs="Calibri"/>
                <w:b/>
                <w:bCs/>
                <w:color w:val="44546A"/>
                <w:lang w:val="en-GB" w:eastAsia="en-GB"/>
              </w:rPr>
            </w:pPr>
            <w:r w:rsidRPr="0012382D">
              <w:rPr>
                <w:rFonts w:ascii="Calibri" w:eastAsia="Times New Roman" w:hAnsi="Calibri" w:cs="Calibri"/>
                <w:b/>
                <w:bCs/>
                <w:color w:val="FF0000"/>
                <w:lang w:val="en-GB" w:eastAsia="en-GB"/>
              </w:rPr>
              <w:t>Worse Off</w:t>
            </w:r>
          </w:p>
        </w:tc>
      </w:tr>
      <w:tr w:rsidR="0012382D" w:rsidRPr="007D3A88" w14:paraId="5E56B3C3" w14:textId="77777777" w:rsidTr="00DB77B1">
        <w:trPr>
          <w:trHeight w:val="321"/>
          <w:jc w:val="center"/>
        </w:trPr>
        <w:tc>
          <w:tcPr>
            <w:tcW w:w="1280" w:type="dxa"/>
            <w:tcBorders>
              <w:top w:val="nil"/>
              <w:left w:val="nil"/>
              <w:bottom w:val="nil"/>
              <w:right w:val="nil"/>
            </w:tcBorders>
            <w:shd w:val="clear" w:color="auto" w:fill="auto"/>
            <w:noWrap/>
            <w:vAlign w:val="center"/>
          </w:tcPr>
          <w:p w14:paraId="32EE460A"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r w:rsidRPr="007D3A88">
              <w:rPr>
                <w:rFonts w:ascii="Calibri" w:eastAsia="Times New Roman" w:hAnsi="Calibri" w:cs="Calibri"/>
                <w:i/>
                <w:iCs/>
                <w:color w:val="000000"/>
                <w:lang w:val="en-GB" w:eastAsia="en-GB"/>
              </w:rPr>
              <w:t>Plastic</w:t>
            </w:r>
            <w:r w:rsidR="00E72F21">
              <w:rPr>
                <w:rFonts w:ascii="Calibri" w:eastAsia="Times New Roman" w:hAnsi="Calibri" w:cs="Calibri"/>
                <w:i/>
                <w:iCs/>
                <w:color w:val="000000"/>
                <w:lang w:val="en-GB" w:eastAsia="en-GB"/>
              </w:rPr>
              <w:t>/Canvas</w:t>
            </w:r>
          </w:p>
        </w:tc>
        <w:tc>
          <w:tcPr>
            <w:tcW w:w="1281" w:type="dxa"/>
            <w:tcBorders>
              <w:top w:val="nil"/>
              <w:left w:val="nil"/>
              <w:bottom w:val="nil"/>
              <w:right w:val="single" w:sz="4" w:space="0" w:color="auto"/>
            </w:tcBorders>
            <w:shd w:val="clear" w:color="auto" w:fill="auto"/>
            <w:noWrap/>
            <w:vAlign w:val="center"/>
          </w:tcPr>
          <w:p w14:paraId="7A01C598" w14:textId="77777777" w:rsidR="0012382D" w:rsidRPr="0012382D" w:rsidRDefault="0012382D" w:rsidP="00453C51">
            <w:pPr>
              <w:spacing w:after="0" w:line="240" w:lineRule="auto"/>
              <w:jc w:val="both"/>
              <w:rPr>
                <w:rFonts w:ascii="Calibri" w:eastAsia="Times New Roman" w:hAnsi="Calibri" w:cs="Calibri"/>
                <w:b/>
                <w:bCs/>
                <w:color w:val="FF0000"/>
                <w:lang w:val="en-GB" w:eastAsia="en-GB"/>
              </w:rPr>
            </w:pPr>
            <w:r w:rsidRPr="0012382D">
              <w:rPr>
                <w:rFonts w:ascii="Calibri" w:eastAsia="Times New Roman" w:hAnsi="Calibri" w:cs="Calibri"/>
                <w:b/>
                <w:bCs/>
                <w:color w:val="FF0000"/>
                <w:lang w:val="en-GB" w:eastAsia="en-GB"/>
              </w:rPr>
              <w:t>Worse Off</w:t>
            </w:r>
          </w:p>
        </w:tc>
        <w:tc>
          <w:tcPr>
            <w:tcW w:w="3130" w:type="dxa"/>
            <w:tcBorders>
              <w:top w:val="nil"/>
              <w:left w:val="single" w:sz="4" w:space="0" w:color="auto"/>
              <w:bottom w:val="nil"/>
              <w:right w:val="nil"/>
            </w:tcBorders>
            <w:shd w:val="clear" w:color="auto" w:fill="auto"/>
            <w:noWrap/>
            <w:vAlign w:val="center"/>
          </w:tcPr>
          <w:p w14:paraId="310661DD"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I</w:t>
            </w:r>
            <w:r w:rsidRPr="007D3A88">
              <w:rPr>
                <w:rFonts w:ascii="Calibri" w:eastAsia="Times New Roman" w:hAnsi="Calibri" w:cs="Calibri"/>
                <w:i/>
                <w:iCs/>
                <w:color w:val="000000"/>
                <w:lang w:val="en-GB" w:eastAsia="en-GB"/>
              </w:rPr>
              <w:t>mproved traditional latrine</w:t>
            </w:r>
          </w:p>
        </w:tc>
        <w:tc>
          <w:tcPr>
            <w:tcW w:w="1260" w:type="dxa"/>
            <w:tcBorders>
              <w:top w:val="nil"/>
              <w:left w:val="nil"/>
              <w:bottom w:val="nil"/>
              <w:right w:val="nil"/>
            </w:tcBorders>
            <w:shd w:val="clear" w:color="auto" w:fill="auto"/>
            <w:noWrap/>
            <w:vAlign w:val="center"/>
          </w:tcPr>
          <w:p w14:paraId="5CE528AF" w14:textId="77777777" w:rsidR="0012382D" w:rsidRPr="0012382D" w:rsidRDefault="0012382D" w:rsidP="00453C51">
            <w:pPr>
              <w:spacing w:after="0" w:line="240" w:lineRule="auto"/>
              <w:jc w:val="both"/>
              <w:rPr>
                <w:rFonts w:ascii="Calibri" w:eastAsia="Times New Roman" w:hAnsi="Calibri" w:cs="Calibri"/>
                <w:b/>
                <w:bCs/>
                <w:color w:val="70AD47" w:themeColor="accent6"/>
                <w:lang w:val="en-GB" w:eastAsia="en-GB"/>
              </w:rPr>
            </w:pPr>
            <w:r w:rsidRPr="0012382D">
              <w:rPr>
                <w:rFonts w:ascii="Calibri" w:eastAsia="Times New Roman" w:hAnsi="Calibri" w:cs="Calibri"/>
                <w:b/>
                <w:bCs/>
                <w:color w:val="70AD47" w:themeColor="accent6"/>
                <w:lang w:val="en-GB" w:eastAsia="en-GB"/>
              </w:rPr>
              <w:t>Better Off</w:t>
            </w:r>
          </w:p>
        </w:tc>
      </w:tr>
      <w:tr w:rsidR="0012382D" w:rsidRPr="007D3A88" w14:paraId="438A9EBB" w14:textId="77777777" w:rsidTr="00DB77B1">
        <w:trPr>
          <w:trHeight w:val="321"/>
          <w:jc w:val="center"/>
        </w:trPr>
        <w:tc>
          <w:tcPr>
            <w:tcW w:w="1280" w:type="dxa"/>
            <w:tcBorders>
              <w:top w:val="nil"/>
              <w:left w:val="nil"/>
              <w:bottom w:val="nil"/>
              <w:right w:val="nil"/>
            </w:tcBorders>
            <w:shd w:val="clear" w:color="auto" w:fill="auto"/>
            <w:noWrap/>
            <w:vAlign w:val="center"/>
          </w:tcPr>
          <w:p w14:paraId="3F3B3926"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r w:rsidRPr="007D3A88">
              <w:rPr>
                <w:rFonts w:ascii="Calibri" w:eastAsia="Times New Roman" w:hAnsi="Calibri" w:cs="Calibri"/>
                <w:i/>
                <w:iCs/>
                <w:color w:val="000000"/>
                <w:lang w:val="en-GB" w:eastAsia="en-GB"/>
              </w:rPr>
              <w:t>Zinc</w:t>
            </w:r>
          </w:p>
        </w:tc>
        <w:tc>
          <w:tcPr>
            <w:tcW w:w="1281" w:type="dxa"/>
            <w:tcBorders>
              <w:top w:val="nil"/>
              <w:left w:val="nil"/>
              <w:bottom w:val="nil"/>
              <w:right w:val="single" w:sz="4" w:space="0" w:color="auto"/>
            </w:tcBorders>
            <w:shd w:val="clear" w:color="auto" w:fill="auto"/>
            <w:noWrap/>
            <w:vAlign w:val="center"/>
          </w:tcPr>
          <w:p w14:paraId="5E0C4390" w14:textId="77777777" w:rsidR="0012382D" w:rsidRPr="0012382D" w:rsidRDefault="0012382D" w:rsidP="00453C51">
            <w:pPr>
              <w:spacing w:after="0" w:line="240" w:lineRule="auto"/>
              <w:jc w:val="both"/>
              <w:rPr>
                <w:rFonts w:ascii="Calibri" w:eastAsia="Times New Roman" w:hAnsi="Calibri" w:cs="Calibri"/>
                <w:b/>
                <w:bCs/>
                <w:color w:val="70AD47" w:themeColor="accent6"/>
                <w:lang w:val="en-GB" w:eastAsia="en-GB"/>
              </w:rPr>
            </w:pPr>
            <w:r w:rsidRPr="0012382D">
              <w:rPr>
                <w:rFonts w:ascii="Calibri" w:eastAsia="Times New Roman" w:hAnsi="Calibri" w:cs="Calibri"/>
                <w:b/>
                <w:bCs/>
                <w:color w:val="70AD47" w:themeColor="accent6"/>
                <w:lang w:val="en-GB" w:eastAsia="en-GB"/>
              </w:rPr>
              <w:t>Better Off</w:t>
            </w:r>
          </w:p>
        </w:tc>
        <w:tc>
          <w:tcPr>
            <w:tcW w:w="3130" w:type="dxa"/>
            <w:tcBorders>
              <w:top w:val="nil"/>
              <w:left w:val="single" w:sz="4" w:space="0" w:color="auto"/>
              <w:bottom w:val="nil"/>
              <w:right w:val="nil"/>
            </w:tcBorders>
            <w:shd w:val="clear" w:color="auto" w:fill="auto"/>
            <w:noWrap/>
            <w:vAlign w:val="center"/>
          </w:tcPr>
          <w:p w14:paraId="1788E693"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r w:rsidRPr="007D3A88">
              <w:rPr>
                <w:rFonts w:ascii="Calibri" w:eastAsia="Times New Roman" w:hAnsi="Calibri" w:cs="Calibri"/>
                <w:i/>
                <w:iCs/>
                <w:color w:val="000000"/>
                <w:lang w:val="en-GB" w:eastAsia="en-GB"/>
              </w:rPr>
              <w:t>Improved latrine</w:t>
            </w:r>
          </w:p>
        </w:tc>
        <w:tc>
          <w:tcPr>
            <w:tcW w:w="1260" w:type="dxa"/>
            <w:tcBorders>
              <w:top w:val="nil"/>
              <w:left w:val="nil"/>
              <w:bottom w:val="nil"/>
              <w:right w:val="nil"/>
            </w:tcBorders>
            <w:shd w:val="clear" w:color="auto" w:fill="auto"/>
            <w:noWrap/>
            <w:vAlign w:val="center"/>
          </w:tcPr>
          <w:p w14:paraId="7A024128" w14:textId="77777777" w:rsidR="0012382D" w:rsidRPr="0012382D" w:rsidRDefault="0012382D" w:rsidP="00453C51">
            <w:pPr>
              <w:spacing w:after="0" w:line="240" w:lineRule="auto"/>
              <w:jc w:val="both"/>
              <w:rPr>
                <w:rFonts w:ascii="Calibri" w:eastAsia="Times New Roman" w:hAnsi="Calibri" w:cs="Calibri"/>
                <w:b/>
                <w:bCs/>
                <w:color w:val="70AD47" w:themeColor="accent6"/>
                <w:lang w:val="en-GB" w:eastAsia="en-GB"/>
              </w:rPr>
            </w:pPr>
            <w:r w:rsidRPr="0012382D">
              <w:rPr>
                <w:rFonts w:ascii="Calibri" w:eastAsia="Times New Roman" w:hAnsi="Calibri" w:cs="Calibri"/>
                <w:b/>
                <w:bCs/>
                <w:color w:val="70AD47" w:themeColor="accent6"/>
                <w:lang w:val="en-GB" w:eastAsia="en-GB"/>
              </w:rPr>
              <w:t>Better Off</w:t>
            </w:r>
          </w:p>
        </w:tc>
      </w:tr>
      <w:tr w:rsidR="0012382D" w:rsidRPr="007D3A88" w14:paraId="1B6F7DAE" w14:textId="77777777" w:rsidTr="00DB77B1">
        <w:trPr>
          <w:trHeight w:val="321"/>
          <w:jc w:val="center"/>
        </w:trPr>
        <w:tc>
          <w:tcPr>
            <w:tcW w:w="1280" w:type="dxa"/>
            <w:tcBorders>
              <w:top w:val="nil"/>
              <w:left w:val="nil"/>
              <w:bottom w:val="nil"/>
              <w:right w:val="nil"/>
            </w:tcBorders>
            <w:shd w:val="clear" w:color="auto" w:fill="auto"/>
            <w:noWrap/>
            <w:vAlign w:val="center"/>
          </w:tcPr>
          <w:p w14:paraId="37F847DF"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r w:rsidRPr="007D3A88">
              <w:rPr>
                <w:rFonts w:ascii="Calibri" w:eastAsia="Times New Roman" w:hAnsi="Calibri" w:cs="Calibri"/>
                <w:i/>
                <w:iCs/>
                <w:color w:val="000000"/>
                <w:lang w:val="en-GB" w:eastAsia="en-GB"/>
              </w:rPr>
              <w:t>Cement</w:t>
            </w:r>
          </w:p>
        </w:tc>
        <w:tc>
          <w:tcPr>
            <w:tcW w:w="1281" w:type="dxa"/>
            <w:tcBorders>
              <w:top w:val="nil"/>
              <w:left w:val="nil"/>
              <w:bottom w:val="nil"/>
              <w:right w:val="single" w:sz="4" w:space="0" w:color="auto"/>
            </w:tcBorders>
            <w:shd w:val="clear" w:color="auto" w:fill="auto"/>
            <w:noWrap/>
            <w:vAlign w:val="center"/>
          </w:tcPr>
          <w:p w14:paraId="4AEA0AFB" w14:textId="77777777" w:rsidR="0012382D" w:rsidRPr="0012382D" w:rsidRDefault="0012382D" w:rsidP="00453C51">
            <w:pPr>
              <w:spacing w:after="0" w:line="240" w:lineRule="auto"/>
              <w:jc w:val="both"/>
              <w:rPr>
                <w:rFonts w:ascii="Calibri" w:eastAsia="Times New Roman" w:hAnsi="Calibri" w:cs="Calibri"/>
                <w:b/>
                <w:bCs/>
                <w:color w:val="70AD47" w:themeColor="accent6"/>
                <w:lang w:val="en-GB" w:eastAsia="en-GB"/>
              </w:rPr>
            </w:pPr>
            <w:r w:rsidRPr="0012382D">
              <w:rPr>
                <w:rFonts w:ascii="Calibri" w:eastAsia="Times New Roman" w:hAnsi="Calibri" w:cs="Calibri"/>
                <w:b/>
                <w:bCs/>
                <w:color w:val="70AD47" w:themeColor="accent6"/>
                <w:lang w:val="en-GB" w:eastAsia="en-GB"/>
              </w:rPr>
              <w:t>Better Off</w:t>
            </w:r>
          </w:p>
        </w:tc>
        <w:tc>
          <w:tcPr>
            <w:tcW w:w="3130" w:type="dxa"/>
            <w:tcBorders>
              <w:top w:val="nil"/>
              <w:left w:val="single" w:sz="4" w:space="0" w:color="auto"/>
              <w:bottom w:val="nil"/>
              <w:right w:val="nil"/>
            </w:tcBorders>
            <w:shd w:val="clear" w:color="auto" w:fill="auto"/>
            <w:noWrap/>
            <w:vAlign w:val="center"/>
          </w:tcPr>
          <w:p w14:paraId="0FB41847"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W</w:t>
            </w:r>
            <w:r w:rsidRPr="007D3A88">
              <w:rPr>
                <w:rFonts w:ascii="Calibri" w:eastAsia="Times New Roman" w:hAnsi="Calibri" w:cs="Calibri"/>
                <w:i/>
                <w:iCs/>
                <w:color w:val="000000"/>
                <w:lang w:val="en-GB" w:eastAsia="en-GB"/>
              </w:rPr>
              <w:t>est type no flush</w:t>
            </w:r>
          </w:p>
        </w:tc>
        <w:tc>
          <w:tcPr>
            <w:tcW w:w="1260" w:type="dxa"/>
            <w:tcBorders>
              <w:top w:val="nil"/>
              <w:left w:val="nil"/>
              <w:bottom w:val="nil"/>
              <w:right w:val="nil"/>
            </w:tcBorders>
            <w:shd w:val="clear" w:color="auto" w:fill="auto"/>
            <w:noWrap/>
            <w:vAlign w:val="center"/>
          </w:tcPr>
          <w:p w14:paraId="0B140E26" w14:textId="77777777" w:rsidR="0012382D" w:rsidRPr="0012382D" w:rsidRDefault="0012382D" w:rsidP="00453C51">
            <w:pPr>
              <w:spacing w:after="0" w:line="240" w:lineRule="auto"/>
              <w:jc w:val="both"/>
              <w:rPr>
                <w:rFonts w:ascii="Calibri" w:eastAsia="Times New Roman" w:hAnsi="Calibri" w:cs="Calibri"/>
                <w:b/>
                <w:bCs/>
                <w:color w:val="70AD47" w:themeColor="accent6"/>
                <w:lang w:val="en-GB" w:eastAsia="en-GB"/>
              </w:rPr>
            </w:pPr>
            <w:r w:rsidRPr="0012382D">
              <w:rPr>
                <w:rFonts w:ascii="Calibri" w:eastAsia="Times New Roman" w:hAnsi="Calibri" w:cs="Calibri"/>
                <w:b/>
                <w:bCs/>
                <w:color w:val="70AD47" w:themeColor="accent6"/>
                <w:lang w:val="en-GB" w:eastAsia="en-GB"/>
              </w:rPr>
              <w:t>Better Off</w:t>
            </w:r>
          </w:p>
        </w:tc>
      </w:tr>
      <w:tr w:rsidR="0012382D" w:rsidRPr="007D3A88" w14:paraId="41D253AB" w14:textId="77777777" w:rsidTr="00DB77B1">
        <w:trPr>
          <w:trHeight w:val="321"/>
          <w:jc w:val="center"/>
        </w:trPr>
        <w:tc>
          <w:tcPr>
            <w:tcW w:w="1280" w:type="dxa"/>
            <w:tcBorders>
              <w:top w:val="nil"/>
              <w:left w:val="nil"/>
              <w:bottom w:val="nil"/>
              <w:right w:val="nil"/>
            </w:tcBorders>
            <w:shd w:val="clear" w:color="auto" w:fill="auto"/>
            <w:noWrap/>
            <w:vAlign w:val="center"/>
          </w:tcPr>
          <w:p w14:paraId="1F3546B1"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p>
        </w:tc>
        <w:tc>
          <w:tcPr>
            <w:tcW w:w="1281" w:type="dxa"/>
            <w:tcBorders>
              <w:top w:val="nil"/>
              <w:left w:val="nil"/>
              <w:bottom w:val="nil"/>
              <w:right w:val="single" w:sz="4" w:space="0" w:color="auto"/>
            </w:tcBorders>
            <w:shd w:val="clear" w:color="auto" w:fill="auto"/>
            <w:noWrap/>
            <w:vAlign w:val="center"/>
          </w:tcPr>
          <w:p w14:paraId="59E5BCE8" w14:textId="77777777" w:rsidR="0012382D" w:rsidRPr="007D3A88" w:rsidRDefault="0012382D" w:rsidP="00453C51">
            <w:pPr>
              <w:spacing w:after="0" w:line="240" w:lineRule="auto"/>
              <w:jc w:val="both"/>
              <w:rPr>
                <w:rFonts w:ascii="Calibri" w:eastAsia="Times New Roman" w:hAnsi="Calibri" w:cs="Calibri"/>
                <w:color w:val="44546A"/>
                <w:lang w:val="en-GB" w:eastAsia="en-GB"/>
              </w:rPr>
            </w:pPr>
          </w:p>
        </w:tc>
        <w:tc>
          <w:tcPr>
            <w:tcW w:w="3130" w:type="dxa"/>
            <w:tcBorders>
              <w:top w:val="nil"/>
              <w:left w:val="single" w:sz="4" w:space="0" w:color="auto"/>
              <w:bottom w:val="nil"/>
              <w:right w:val="nil"/>
            </w:tcBorders>
            <w:shd w:val="clear" w:color="auto" w:fill="auto"/>
            <w:noWrap/>
            <w:vAlign w:val="center"/>
            <w:hideMark/>
          </w:tcPr>
          <w:p w14:paraId="5D8CEA7E"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W</w:t>
            </w:r>
            <w:r w:rsidRPr="007D3A88">
              <w:rPr>
                <w:rFonts w:ascii="Calibri" w:eastAsia="Times New Roman" w:hAnsi="Calibri" w:cs="Calibri"/>
                <w:i/>
                <w:iCs/>
                <w:color w:val="000000"/>
                <w:lang w:val="en-GB" w:eastAsia="en-GB"/>
              </w:rPr>
              <w:t>est type with flush</w:t>
            </w:r>
          </w:p>
        </w:tc>
        <w:tc>
          <w:tcPr>
            <w:tcW w:w="1260" w:type="dxa"/>
            <w:tcBorders>
              <w:top w:val="nil"/>
              <w:left w:val="nil"/>
              <w:bottom w:val="nil"/>
              <w:right w:val="nil"/>
            </w:tcBorders>
            <w:shd w:val="clear" w:color="auto" w:fill="auto"/>
            <w:noWrap/>
            <w:vAlign w:val="center"/>
            <w:hideMark/>
          </w:tcPr>
          <w:p w14:paraId="020CD84B" w14:textId="77777777" w:rsidR="0012382D" w:rsidRPr="0012382D" w:rsidRDefault="0012382D" w:rsidP="00453C51">
            <w:pPr>
              <w:spacing w:after="0" w:line="240" w:lineRule="auto"/>
              <w:jc w:val="both"/>
              <w:rPr>
                <w:rFonts w:ascii="Calibri" w:eastAsia="Times New Roman" w:hAnsi="Calibri" w:cs="Calibri"/>
                <w:b/>
                <w:bCs/>
                <w:color w:val="70AD47" w:themeColor="accent6"/>
                <w:lang w:val="en-GB" w:eastAsia="en-GB"/>
              </w:rPr>
            </w:pPr>
            <w:r w:rsidRPr="0012382D">
              <w:rPr>
                <w:rFonts w:ascii="Calibri" w:eastAsia="Times New Roman" w:hAnsi="Calibri" w:cs="Calibri"/>
                <w:b/>
                <w:bCs/>
                <w:color w:val="70AD47" w:themeColor="accent6"/>
                <w:lang w:val="en-GB" w:eastAsia="en-GB"/>
              </w:rPr>
              <w:t>Better Off</w:t>
            </w:r>
          </w:p>
        </w:tc>
      </w:tr>
      <w:tr w:rsidR="0012382D" w:rsidRPr="007D3A88" w14:paraId="48C2D27B" w14:textId="77777777" w:rsidTr="00DB77B1">
        <w:trPr>
          <w:trHeight w:val="321"/>
          <w:jc w:val="center"/>
        </w:trPr>
        <w:tc>
          <w:tcPr>
            <w:tcW w:w="2562" w:type="dxa"/>
            <w:gridSpan w:val="2"/>
            <w:tcBorders>
              <w:top w:val="nil"/>
              <w:left w:val="nil"/>
              <w:bottom w:val="nil"/>
              <w:right w:val="single" w:sz="4" w:space="0" w:color="auto"/>
            </w:tcBorders>
            <w:shd w:val="clear" w:color="auto" w:fill="auto"/>
            <w:noWrap/>
            <w:vAlign w:val="center"/>
            <w:hideMark/>
          </w:tcPr>
          <w:p w14:paraId="3CE09739" w14:textId="77777777" w:rsidR="0012382D" w:rsidRPr="007D3A88" w:rsidRDefault="0012382D" w:rsidP="00453C51">
            <w:pPr>
              <w:spacing w:after="0" w:line="240" w:lineRule="auto"/>
              <w:jc w:val="both"/>
              <w:rPr>
                <w:rFonts w:ascii="Calibri" w:eastAsia="Times New Roman" w:hAnsi="Calibri" w:cs="Calibri"/>
                <w:color w:val="44546A"/>
                <w:lang w:val="en-GB" w:eastAsia="en-GB"/>
              </w:rPr>
            </w:pPr>
          </w:p>
        </w:tc>
        <w:tc>
          <w:tcPr>
            <w:tcW w:w="3130" w:type="dxa"/>
            <w:tcBorders>
              <w:top w:val="nil"/>
              <w:left w:val="single" w:sz="4" w:space="0" w:color="auto"/>
              <w:bottom w:val="nil"/>
              <w:right w:val="nil"/>
            </w:tcBorders>
            <w:shd w:val="clear" w:color="auto" w:fill="auto"/>
            <w:noWrap/>
            <w:vAlign w:val="center"/>
          </w:tcPr>
          <w:p w14:paraId="0F1636DC" w14:textId="77777777" w:rsidR="0012382D" w:rsidRPr="007D3A88" w:rsidRDefault="0012382D" w:rsidP="00453C51">
            <w:pPr>
              <w:spacing w:after="0" w:line="240" w:lineRule="auto"/>
              <w:jc w:val="both"/>
              <w:rPr>
                <w:rFonts w:ascii="Calibri" w:eastAsia="Times New Roman" w:hAnsi="Calibri" w:cs="Calibri"/>
                <w:i/>
                <w:iCs/>
                <w:color w:val="000000"/>
                <w:lang w:val="en-GB" w:eastAsia="en-GB"/>
              </w:rPr>
            </w:pPr>
          </w:p>
        </w:tc>
        <w:tc>
          <w:tcPr>
            <w:tcW w:w="1260" w:type="dxa"/>
            <w:tcBorders>
              <w:top w:val="nil"/>
              <w:left w:val="nil"/>
              <w:bottom w:val="nil"/>
              <w:right w:val="nil"/>
            </w:tcBorders>
            <w:shd w:val="clear" w:color="auto" w:fill="auto"/>
            <w:noWrap/>
            <w:vAlign w:val="center"/>
          </w:tcPr>
          <w:p w14:paraId="62433E88" w14:textId="77777777" w:rsidR="0012382D" w:rsidRPr="007D3A88" w:rsidRDefault="0012382D" w:rsidP="00453C51">
            <w:pPr>
              <w:spacing w:after="0" w:line="240" w:lineRule="auto"/>
              <w:jc w:val="both"/>
              <w:rPr>
                <w:rFonts w:ascii="Calibri" w:eastAsia="Times New Roman" w:hAnsi="Calibri" w:cs="Calibri"/>
                <w:color w:val="44546A"/>
                <w:lang w:val="en-GB" w:eastAsia="en-GB"/>
              </w:rPr>
            </w:pPr>
          </w:p>
        </w:tc>
      </w:tr>
    </w:tbl>
    <w:p w14:paraId="751181D0" w14:textId="0F8C7348" w:rsidR="00C91C1A" w:rsidRPr="0012382D" w:rsidRDefault="00C91C1A" w:rsidP="00453C51">
      <w:pPr>
        <w:jc w:val="both"/>
      </w:pPr>
      <w:r w:rsidRPr="0012382D">
        <w:lastRenderedPageBreak/>
        <w:t xml:space="preserve">We </w:t>
      </w:r>
      <w:r w:rsidR="008154F5">
        <w:t xml:space="preserve">found </w:t>
      </w:r>
      <w:r w:rsidRPr="0012382D">
        <w:t xml:space="preserve">a strong disparity in the living conditions between F2F and </w:t>
      </w:r>
      <w:r w:rsidR="0012382D">
        <w:t>CATI</w:t>
      </w:r>
      <w:r w:rsidRPr="0012382D">
        <w:t xml:space="preserve"> respondents</w:t>
      </w:r>
      <w:r w:rsidR="00A23A49">
        <w:t xml:space="preserve"> </w:t>
      </w:r>
      <w:r w:rsidR="008154F5">
        <w:t>in terms of toilet type and roof type</w:t>
      </w:r>
      <w:r w:rsidR="006F32ED">
        <w:t xml:space="preserve"> </w:t>
      </w:r>
      <w:r w:rsidR="00A23A49">
        <w:t xml:space="preserve">(see </w:t>
      </w:r>
      <w:r w:rsidR="006F32ED" w:rsidRPr="00871216">
        <w:rPr>
          <w:i/>
        </w:rPr>
        <w:t>Figure 8</w:t>
      </w:r>
      <w:r w:rsidR="00A23A49">
        <w:t>)</w:t>
      </w:r>
      <w:r w:rsidRPr="0012382D">
        <w:t>.</w:t>
      </w:r>
      <w:r w:rsidR="00935F51">
        <w:t xml:space="preserve"> </w:t>
      </w:r>
      <w:r w:rsidR="007E54CE">
        <w:t xml:space="preserve"> </w:t>
      </w:r>
      <w:r w:rsidR="007C016A">
        <w:t xml:space="preserve">Although we cannot reply on these numbers to prove a statistically significant difference in the two samples given the different wealth proxy indicators used, the results </w:t>
      </w:r>
      <w:r w:rsidR="00433A3D">
        <w:t xml:space="preserve">tend towards the pattern we </w:t>
      </w:r>
      <w:r w:rsidR="007C016A">
        <w:t xml:space="preserve">have </w:t>
      </w:r>
      <w:r w:rsidR="00433A3D">
        <w:t>observed until now:</w:t>
      </w:r>
      <w:r w:rsidR="00935F51">
        <w:t xml:space="preserve"> </w:t>
      </w:r>
      <w:r w:rsidR="00433A3D">
        <w:t>the CATI sample generally reaches</w:t>
      </w:r>
      <w:r w:rsidR="00935F51">
        <w:t xml:space="preserve"> a po</w:t>
      </w:r>
      <w:r w:rsidR="00433A3D">
        <w:t xml:space="preserve">pulation that is overall </w:t>
      </w:r>
      <w:r w:rsidR="007C016A">
        <w:t>better off</w:t>
      </w:r>
      <w:r w:rsidR="00935F51">
        <w:t xml:space="preserve"> than the F2F </w:t>
      </w:r>
      <w:r w:rsidR="00433A3D">
        <w:t>population</w:t>
      </w:r>
      <w:r w:rsidR="00935F51">
        <w:t>.</w:t>
      </w:r>
    </w:p>
    <w:p w14:paraId="1A71488B" w14:textId="1A2F5C9D" w:rsidR="00C91C1A" w:rsidRDefault="006F32ED" w:rsidP="00871216">
      <w:pPr>
        <w:rPr>
          <w:rFonts w:ascii="Helvetica" w:hAnsi="Helvetica" w:cs="Helvetica"/>
          <w:color w:val="333333"/>
          <w:sz w:val="21"/>
          <w:szCs w:val="21"/>
          <w:shd w:val="clear" w:color="auto" w:fill="FFFFFF"/>
        </w:rPr>
      </w:pPr>
      <w:r w:rsidRPr="00871216">
        <w:rPr>
          <w:rFonts w:ascii="Calibri" w:hAnsi="Calibri"/>
          <w:b/>
          <w:i/>
        </w:rPr>
        <w:t>Figure 8. Living standards proportions between F2F and CATI surveys</w:t>
      </w:r>
      <w:r w:rsidR="00042B27">
        <w:rPr>
          <w:rFonts w:ascii="Helvetica" w:hAnsi="Helvetica" w:cs="Helvetica"/>
          <w:noProof/>
          <w:color w:val="333333"/>
          <w:sz w:val="21"/>
          <w:szCs w:val="21"/>
          <w:shd w:val="clear" w:color="auto" w:fill="FFFFFF"/>
          <w:lang w:val="en-GB" w:eastAsia="en-GB"/>
        </w:rPr>
        <w:drawing>
          <wp:inline distT="0" distB="0" distL="0" distR="0" wp14:anchorId="5F9199F4" wp14:editId="6FCC0206">
            <wp:extent cx="5943600" cy="3666490"/>
            <wp:effectExtent l="0" t="0" r="0" b="0"/>
            <wp:docPr id="22" name="Picture 22" descr="C:\Users\lorenzo.riches\AppData\Local\Microsoft\Windows\INetCache\Content.Word\living_cond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riches\AppData\Local\Microsoft\Windows\INetCache\Content.Word\living_condi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66490"/>
                    </a:xfrm>
                    <a:prstGeom prst="rect">
                      <a:avLst/>
                    </a:prstGeom>
                    <a:noFill/>
                    <a:ln>
                      <a:noFill/>
                    </a:ln>
                  </pic:spPr>
                </pic:pic>
              </a:graphicData>
            </a:graphic>
          </wp:inline>
        </w:drawing>
      </w:r>
    </w:p>
    <w:p w14:paraId="35870B20" w14:textId="77777777" w:rsidR="00CA3310" w:rsidRPr="00EB0F6F" w:rsidRDefault="00CA3310" w:rsidP="00453C51">
      <w:pPr>
        <w:jc w:val="both"/>
        <w:rPr>
          <w:b/>
          <w:sz w:val="28"/>
          <w:szCs w:val="28"/>
        </w:rPr>
      </w:pPr>
    </w:p>
    <w:p w14:paraId="7F572D73" w14:textId="0B5396E8" w:rsidR="000607DF" w:rsidRPr="000607DF" w:rsidRDefault="00E35D14" w:rsidP="00871216">
      <w:r w:rsidRPr="00871216">
        <w:rPr>
          <w:rFonts w:ascii="Calibri" w:hAnsi="Calibri"/>
          <w:b/>
          <w:i/>
        </w:rPr>
        <w:t>Figure 9. Age distribution in the CATI sample</w:t>
      </w:r>
    </w:p>
    <w:p w14:paraId="4E778DF0" w14:textId="77777777" w:rsidR="00713051" w:rsidRDefault="00713051" w:rsidP="00453C51">
      <w:pPr>
        <w:pStyle w:val="Heading2"/>
        <w:jc w:val="both"/>
      </w:pPr>
      <w:r w:rsidRPr="001D43EC">
        <w:t>Indicators</w:t>
      </w:r>
    </w:p>
    <w:p w14:paraId="5B8CFF16" w14:textId="32013764" w:rsidR="007C7C8A" w:rsidRDefault="00737294" w:rsidP="00453C51">
      <w:pPr>
        <w:jc w:val="both"/>
      </w:pPr>
      <w:r>
        <w:t>Due to</w:t>
      </w:r>
      <w:r w:rsidR="00151EFD">
        <w:t xml:space="preserve"> the significant differences in the two samples’ demographics, we </w:t>
      </w:r>
      <w:r>
        <w:t>can expect to observe</w:t>
      </w:r>
      <w:r w:rsidR="00151EFD">
        <w:t xml:space="preserve"> different results for the Household Dietary Diversity Score (HDDS) between the F2F and </w:t>
      </w:r>
      <w:r w:rsidR="00C849B1">
        <w:t>CATI</w:t>
      </w:r>
      <w:r w:rsidR="00151EFD">
        <w:t xml:space="preserve"> surveys.</w:t>
      </w:r>
      <w:r w:rsidR="00CC0D93">
        <w:t xml:space="preserve"> </w:t>
      </w:r>
      <w:r w:rsidR="00A26EE3">
        <w:t xml:space="preserve">In </w:t>
      </w:r>
      <w:r w:rsidR="00FB3FBA" w:rsidRPr="00F035A2">
        <w:rPr>
          <w:i/>
        </w:rPr>
        <w:t>T</w:t>
      </w:r>
      <w:r w:rsidR="00A26EE3" w:rsidRPr="00F035A2">
        <w:rPr>
          <w:i/>
        </w:rPr>
        <w:t xml:space="preserve">able </w:t>
      </w:r>
      <w:r w:rsidR="00F035A2">
        <w:rPr>
          <w:i/>
        </w:rPr>
        <w:t>3</w:t>
      </w:r>
      <w:r w:rsidR="00A26EE3">
        <w:t xml:space="preserve"> </w:t>
      </w:r>
      <w:r w:rsidR="00FB3FBA">
        <w:t xml:space="preserve">and </w:t>
      </w:r>
      <w:r w:rsidR="00FB3FBA" w:rsidRPr="00F035A2">
        <w:rPr>
          <w:i/>
        </w:rPr>
        <w:t>Figure 12</w:t>
      </w:r>
      <w:r w:rsidR="00FB3FBA">
        <w:t xml:space="preserve"> </w:t>
      </w:r>
      <w:r w:rsidR="00A26EE3">
        <w:t>below</w:t>
      </w:r>
      <w:r>
        <w:t>,</w:t>
      </w:r>
      <w:r w:rsidR="00A26EE3">
        <w:t xml:space="preserve"> we observe</w:t>
      </w:r>
      <w:r w:rsidR="00CC0D93">
        <w:t xml:space="preserve"> both the distributions and means of the HDDS scores for the two survey</w:t>
      </w:r>
      <w:r w:rsidR="001A20E6">
        <w:t xml:space="preserve"> modalities.</w:t>
      </w:r>
    </w:p>
    <w:p w14:paraId="12093356" w14:textId="21666254" w:rsidR="00713051" w:rsidRPr="00713051" w:rsidRDefault="00F4651E" w:rsidP="00F035A2">
      <w:r w:rsidRPr="00F035A2">
        <w:rPr>
          <w:rFonts w:ascii="Calibri" w:hAnsi="Calibri"/>
          <w:b/>
          <w:i/>
        </w:rPr>
        <w:lastRenderedPageBreak/>
        <w:t>Figure 10. HDDS scores of the CATI and F2F surveys</w:t>
      </w:r>
      <w:commentRangeStart w:id="2"/>
      <w:r w:rsidR="001612D7">
        <w:rPr>
          <w:noProof/>
          <w:lang w:val="en-GB" w:eastAsia="en-GB"/>
        </w:rPr>
        <w:drawing>
          <wp:inline distT="0" distB="0" distL="0" distR="0" wp14:anchorId="2CBC7CE9" wp14:editId="5610B9C7">
            <wp:extent cx="5939790" cy="3665855"/>
            <wp:effectExtent l="0" t="0" r="3810" b="0"/>
            <wp:docPr id="6" name="Picture 6" descr="C:\Users\lorenzo.riches\AppData\Local\Microsoft\Windows\INetCache\Content.Word\HDDS_b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zo.riches\AppData\Local\Microsoft\Windows\INetCache\Content.Word\HDDS_bi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3665855"/>
                    </a:xfrm>
                    <a:prstGeom prst="rect">
                      <a:avLst/>
                    </a:prstGeom>
                    <a:noFill/>
                    <a:ln>
                      <a:noFill/>
                    </a:ln>
                  </pic:spPr>
                </pic:pic>
              </a:graphicData>
            </a:graphic>
          </wp:inline>
        </w:drawing>
      </w:r>
      <w:commentRangeEnd w:id="2"/>
      <w:r w:rsidR="00693FFA">
        <w:rPr>
          <w:rStyle w:val="CommentReference"/>
          <w:rFonts w:ascii="Calibri" w:eastAsia="Calibri" w:hAnsi="Calibri" w:cs="Calibri"/>
          <w:color w:val="000000"/>
        </w:rPr>
        <w:commentReference w:id="2"/>
      </w:r>
    </w:p>
    <w:p w14:paraId="22CB7483" w14:textId="72418880" w:rsidR="00805712" w:rsidRDefault="00805712" w:rsidP="00453C51">
      <w:pPr>
        <w:jc w:val="both"/>
      </w:pPr>
    </w:p>
    <w:p w14:paraId="42277B8A" w14:textId="0515FFDA" w:rsidR="00A62F8E" w:rsidRPr="00871216" w:rsidRDefault="00805712" w:rsidP="00453C51">
      <w:pPr>
        <w:jc w:val="both"/>
        <w:rPr>
          <w:b/>
          <w:i/>
        </w:rPr>
      </w:pPr>
      <w:r w:rsidRPr="00871216">
        <w:rPr>
          <w:rFonts w:ascii="Calibri" w:hAnsi="Calibri"/>
          <w:b/>
          <w:i/>
        </w:rPr>
        <w:t>Table</w:t>
      </w:r>
      <w:r w:rsidR="00527EED">
        <w:rPr>
          <w:rFonts w:ascii="Calibri" w:hAnsi="Calibri"/>
          <w:b/>
          <w:i/>
        </w:rPr>
        <w:t xml:space="preserve"> </w:t>
      </w:r>
      <w:r w:rsidRPr="00871216">
        <w:rPr>
          <w:rFonts w:ascii="Calibri" w:hAnsi="Calibri"/>
          <w:b/>
          <w:i/>
        </w:rPr>
        <w:t>3. HDDS means of F2F and CATI surveys</w:t>
      </w:r>
    </w:p>
    <w:tbl>
      <w:tblPr>
        <w:tblW w:w="4962" w:type="dxa"/>
        <w:jc w:val="center"/>
        <w:tblLook w:val="04A0" w:firstRow="1" w:lastRow="0" w:firstColumn="1" w:lastColumn="0" w:noHBand="0" w:noVBand="1"/>
      </w:tblPr>
      <w:tblGrid>
        <w:gridCol w:w="894"/>
        <w:gridCol w:w="960"/>
        <w:gridCol w:w="960"/>
        <w:gridCol w:w="960"/>
        <w:gridCol w:w="1188"/>
      </w:tblGrid>
      <w:tr w:rsidR="00C84521" w:rsidRPr="00C84521" w14:paraId="672C9A16" w14:textId="77777777" w:rsidTr="00D94AB7">
        <w:trPr>
          <w:trHeight w:val="300"/>
          <w:jc w:val="center"/>
        </w:trPr>
        <w:tc>
          <w:tcPr>
            <w:tcW w:w="894" w:type="dxa"/>
            <w:tcBorders>
              <w:top w:val="nil"/>
              <w:left w:val="nil"/>
              <w:bottom w:val="single" w:sz="4" w:space="0" w:color="auto"/>
              <w:right w:val="nil"/>
            </w:tcBorders>
            <w:shd w:val="clear" w:color="auto" w:fill="auto"/>
            <w:noWrap/>
            <w:vAlign w:val="center"/>
            <w:hideMark/>
          </w:tcPr>
          <w:p w14:paraId="7FBB3924" w14:textId="77777777" w:rsidR="00C84521" w:rsidRPr="00C84521" w:rsidRDefault="00C84521" w:rsidP="00453C51">
            <w:pPr>
              <w:spacing w:after="0" w:line="240" w:lineRule="auto"/>
              <w:jc w:val="both"/>
              <w:rPr>
                <w:rFonts w:ascii="Calibri" w:eastAsia="Times New Roman" w:hAnsi="Calibri" w:cs="Calibri"/>
                <w:i/>
                <w:iCs/>
                <w:color w:val="000000"/>
                <w:lang w:val="en-GB" w:eastAsia="en-GB"/>
              </w:rPr>
            </w:pPr>
            <w:r w:rsidRPr="00C84521">
              <w:rPr>
                <w:rFonts w:ascii="Calibri" w:eastAsia="Times New Roman" w:hAnsi="Calibri" w:cs="Calibri"/>
                <w:i/>
                <w:iCs/>
                <w:color w:val="000000"/>
                <w:lang w:val="en-GB" w:eastAsia="en-GB"/>
              </w:rPr>
              <w:t>dataset</w:t>
            </w:r>
          </w:p>
        </w:tc>
        <w:tc>
          <w:tcPr>
            <w:tcW w:w="960" w:type="dxa"/>
            <w:tcBorders>
              <w:top w:val="nil"/>
              <w:left w:val="nil"/>
              <w:bottom w:val="single" w:sz="4" w:space="0" w:color="auto"/>
              <w:right w:val="nil"/>
            </w:tcBorders>
            <w:shd w:val="clear" w:color="auto" w:fill="auto"/>
            <w:noWrap/>
            <w:vAlign w:val="center"/>
            <w:hideMark/>
          </w:tcPr>
          <w:p w14:paraId="4C8C1C61" w14:textId="77777777" w:rsidR="00C84521" w:rsidRPr="00C84521" w:rsidRDefault="00C84521" w:rsidP="00453C51">
            <w:pPr>
              <w:spacing w:after="0" w:line="240" w:lineRule="auto"/>
              <w:jc w:val="both"/>
              <w:rPr>
                <w:rFonts w:ascii="Calibri" w:eastAsia="Times New Roman" w:hAnsi="Calibri" w:cs="Calibri"/>
                <w:i/>
                <w:iCs/>
                <w:color w:val="000000"/>
                <w:lang w:val="en-GB" w:eastAsia="en-GB"/>
              </w:rPr>
            </w:pPr>
            <w:r w:rsidRPr="00C84521">
              <w:rPr>
                <w:rFonts w:ascii="Calibri" w:eastAsia="Times New Roman" w:hAnsi="Calibri" w:cs="Calibri"/>
                <w:i/>
                <w:iCs/>
                <w:color w:val="000000"/>
                <w:lang w:val="en-GB" w:eastAsia="en-GB"/>
              </w:rPr>
              <w:t>variable</w:t>
            </w:r>
          </w:p>
        </w:tc>
        <w:tc>
          <w:tcPr>
            <w:tcW w:w="960" w:type="dxa"/>
            <w:tcBorders>
              <w:top w:val="nil"/>
              <w:left w:val="nil"/>
              <w:bottom w:val="single" w:sz="4" w:space="0" w:color="auto"/>
              <w:right w:val="nil"/>
            </w:tcBorders>
            <w:shd w:val="clear" w:color="auto" w:fill="auto"/>
            <w:noWrap/>
            <w:vAlign w:val="center"/>
            <w:hideMark/>
          </w:tcPr>
          <w:p w14:paraId="36298A48" w14:textId="77777777" w:rsidR="00C84521" w:rsidRPr="00C84521" w:rsidRDefault="00C849B1"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Mean</w:t>
            </w:r>
          </w:p>
        </w:tc>
        <w:tc>
          <w:tcPr>
            <w:tcW w:w="960" w:type="dxa"/>
            <w:tcBorders>
              <w:top w:val="nil"/>
              <w:left w:val="nil"/>
              <w:bottom w:val="single" w:sz="4" w:space="0" w:color="auto"/>
              <w:right w:val="nil"/>
            </w:tcBorders>
            <w:shd w:val="clear" w:color="auto" w:fill="auto"/>
            <w:noWrap/>
            <w:vAlign w:val="center"/>
            <w:hideMark/>
          </w:tcPr>
          <w:p w14:paraId="72AACC36" w14:textId="77777777" w:rsidR="00C84521" w:rsidRPr="00C84521" w:rsidRDefault="00C84521" w:rsidP="00453C51">
            <w:pPr>
              <w:spacing w:after="0" w:line="240" w:lineRule="auto"/>
              <w:jc w:val="both"/>
              <w:rPr>
                <w:rFonts w:ascii="Calibri" w:eastAsia="Times New Roman" w:hAnsi="Calibri" w:cs="Calibri"/>
                <w:i/>
                <w:iCs/>
                <w:color w:val="000000"/>
                <w:lang w:val="en-GB" w:eastAsia="en-GB"/>
              </w:rPr>
            </w:pPr>
            <w:r w:rsidRPr="00C84521">
              <w:rPr>
                <w:rFonts w:ascii="Calibri" w:eastAsia="Times New Roman" w:hAnsi="Calibri" w:cs="Calibri"/>
                <w:i/>
                <w:iCs/>
                <w:color w:val="000000"/>
                <w:lang w:val="en-GB" w:eastAsia="en-GB"/>
              </w:rPr>
              <w:t>CI</w:t>
            </w:r>
          </w:p>
        </w:tc>
        <w:tc>
          <w:tcPr>
            <w:tcW w:w="1188" w:type="dxa"/>
            <w:tcBorders>
              <w:top w:val="nil"/>
              <w:left w:val="nil"/>
              <w:bottom w:val="single" w:sz="4" w:space="0" w:color="auto"/>
              <w:right w:val="nil"/>
            </w:tcBorders>
            <w:shd w:val="clear" w:color="auto" w:fill="auto"/>
            <w:noWrap/>
            <w:vAlign w:val="center"/>
            <w:hideMark/>
          </w:tcPr>
          <w:p w14:paraId="1D692E94" w14:textId="77777777" w:rsidR="00C84521" w:rsidRPr="00C84521" w:rsidRDefault="00C84521" w:rsidP="00453C51">
            <w:pPr>
              <w:spacing w:after="0" w:line="240" w:lineRule="auto"/>
              <w:jc w:val="both"/>
              <w:rPr>
                <w:rFonts w:ascii="Calibri" w:eastAsia="Times New Roman" w:hAnsi="Calibri" w:cs="Calibri"/>
                <w:i/>
                <w:iCs/>
                <w:color w:val="000000"/>
                <w:lang w:val="en-GB" w:eastAsia="en-GB"/>
              </w:rPr>
            </w:pPr>
            <w:r w:rsidRPr="00C84521">
              <w:rPr>
                <w:rFonts w:ascii="Calibri" w:eastAsia="Times New Roman" w:hAnsi="Calibri" w:cs="Calibri"/>
                <w:i/>
                <w:iCs/>
                <w:color w:val="000000"/>
                <w:lang w:val="en-GB" w:eastAsia="en-GB"/>
              </w:rPr>
              <w:t>p</w:t>
            </w:r>
            <w:r w:rsidR="00C849B1">
              <w:rPr>
                <w:rFonts w:ascii="Calibri" w:eastAsia="Times New Roman" w:hAnsi="Calibri" w:cs="Calibri"/>
                <w:i/>
                <w:iCs/>
                <w:color w:val="000000"/>
                <w:lang w:val="en-GB" w:eastAsia="en-GB"/>
              </w:rPr>
              <w:t>-</w:t>
            </w:r>
            <w:r w:rsidRPr="00C84521">
              <w:rPr>
                <w:rFonts w:ascii="Calibri" w:eastAsia="Times New Roman" w:hAnsi="Calibri" w:cs="Calibri"/>
                <w:i/>
                <w:iCs/>
                <w:color w:val="000000"/>
                <w:lang w:val="en-GB" w:eastAsia="en-GB"/>
              </w:rPr>
              <w:t>val</w:t>
            </w:r>
            <w:r w:rsidR="00C849B1">
              <w:rPr>
                <w:rFonts w:ascii="Calibri" w:eastAsia="Times New Roman" w:hAnsi="Calibri" w:cs="Calibri"/>
                <w:i/>
                <w:iCs/>
                <w:color w:val="000000"/>
                <w:lang w:val="en-GB" w:eastAsia="en-GB"/>
              </w:rPr>
              <w:t>ue</w:t>
            </w:r>
          </w:p>
        </w:tc>
      </w:tr>
      <w:tr w:rsidR="00C84521" w:rsidRPr="00C84521" w14:paraId="3A5AB32C" w14:textId="77777777" w:rsidTr="00D94AB7">
        <w:trPr>
          <w:trHeight w:val="300"/>
          <w:jc w:val="center"/>
        </w:trPr>
        <w:tc>
          <w:tcPr>
            <w:tcW w:w="894" w:type="dxa"/>
            <w:tcBorders>
              <w:top w:val="nil"/>
              <w:left w:val="nil"/>
              <w:bottom w:val="nil"/>
              <w:right w:val="nil"/>
            </w:tcBorders>
            <w:shd w:val="clear" w:color="auto" w:fill="auto"/>
            <w:noWrap/>
            <w:vAlign w:val="center"/>
            <w:hideMark/>
          </w:tcPr>
          <w:p w14:paraId="35203248" w14:textId="77777777" w:rsidR="00C84521" w:rsidRPr="00C84521" w:rsidRDefault="00C84521" w:rsidP="00453C51">
            <w:pPr>
              <w:spacing w:after="0" w:line="240" w:lineRule="auto"/>
              <w:jc w:val="both"/>
              <w:rPr>
                <w:rFonts w:ascii="Calibri" w:eastAsia="Times New Roman" w:hAnsi="Calibri" w:cs="Calibri"/>
                <w:i/>
                <w:iCs/>
                <w:color w:val="000000"/>
                <w:lang w:val="en-GB" w:eastAsia="en-GB"/>
              </w:rPr>
            </w:pPr>
            <w:r w:rsidRPr="00C84521">
              <w:rPr>
                <w:rFonts w:ascii="Calibri" w:eastAsia="Times New Roman" w:hAnsi="Calibri" w:cs="Calibri"/>
                <w:i/>
                <w:iCs/>
                <w:color w:val="000000"/>
                <w:lang w:val="en-GB" w:eastAsia="en-GB"/>
              </w:rPr>
              <w:t>F2F</w:t>
            </w:r>
          </w:p>
        </w:tc>
        <w:tc>
          <w:tcPr>
            <w:tcW w:w="960" w:type="dxa"/>
            <w:tcBorders>
              <w:top w:val="nil"/>
              <w:left w:val="nil"/>
              <w:bottom w:val="nil"/>
              <w:right w:val="nil"/>
            </w:tcBorders>
            <w:shd w:val="clear" w:color="auto" w:fill="auto"/>
            <w:noWrap/>
            <w:vAlign w:val="center"/>
            <w:hideMark/>
          </w:tcPr>
          <w:p w14:paraId="2F35CA66" w14:textId="77777777" w:rsidR="00C84521" w:rsidRPr="00C84521" w:rsidRDefault="00C84521" w:rsidP="00453C51">
            <w:pPr>
              <w:spacing w:after="0" w:line="240" w:lineRule="auto"/>
              <w:jc w:val="both"/>
              <w:rPr>
                <w:rFonts w:ascii="Calibri" w:eastAsia="Times New Roman" w:hAnsi="Calibri" w:cs="Calibri"/>
                <w:color w:val="44546A"/>
                <w:lang w:val="en-GB" w:eastAsia="en-GB"/>
              </w:rPr>
            </w:pPr>
            <w:r w:rsidRPr="00C84521">
              <w:rPr>
                <w:rFonts w:ascii="Calibri" w:eastAsia="Times New Roman" w:hAnsi="Calibri" w:cs="Calibri"/>
                <w:color w:val="44546A"/>
                <w:lang w:val="en-GB" w:eastAsia="en-GB"/>
              </w:rPr>
              <w:t>HDDS</w:t>
            </w:r>
          </w:p>
        </w:tc>
        <w:tc>
          <w:tcPr>
            <w:tcW w:w="960" w:type="dxa"/>
            <w:tcBorders>
              <w:top w:val="nil"/>
              <w:left w:val="nil"/>
              <w:bottom w:val="nil"/>
              <w:right w:val="nil"/>
            </w:tcBorders>
            <w:shd w:val="clear" w:color="auto" w:fill="auto"/>
            <w:noWrap/>
            <w:vAlign w:val="center"/>
            <w:hideMark/>
          </w:tcPr>
          <w:p w14:paraId="3DA28784" w14:textId="77777777" w:rsidR="00C84521" w:rsidRPr="00C84521" w:rsidRDefault="00D37781"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5</w:t>
            </w:r>
          </w:p>
        </w:tc>
        <w:tc>
          <w:tcPr>
            <w:tcW w:w="960" w:type="dxa"/>
            <w:tcBorders>
              <w:top w:val="nil"/>
              <w:left w:val="nil"/>
              <w:bottom w:val="nil"/>
              <w:right w:val="nil"/>
            </w:tcBorders>
            <w:shd w:val="clear" w:color="auto" w:fill="auto"/>
            <w:noWrap/>
            <w:vAlign w:val="center"/>
            <w:hideMark/>
          </w:tcPr>
          <w:p w14:paraId="1F35B257" w14:textId="77777777" w:rsidR="00C84521" w:rsidRPr="00C84521" w:rsidRDefault="00690C80"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 xml:space="preserve">          3</w:t>
            </w:r>
            <w:r w:rsidR="00C84521" w:rsidRPr="00C84521">
              <w:rPr>
                <w:rFonts w:ascii="Calibri" w:eastAsia="Times New Roman" w:hAnsi="Calibri" w:cs="Calibri"/>
                <w:color w:val="44546A"/>
                <w:lang w:val="en-GB" w:eastAsia="en-GB"/>
              </w:rPr>
              <w:t xml:space="preserve"> </w:t>
            </w:r>
          </w:p>
        </w:tc>
        <w:tc>
          <w:tcPr>
            <w:tcW w:w="1188" w:type="dxa"/>
            <w:vMerge w:val="restart"/>
            <w:tcBorders>
              <w:top w:val="nil"/>
              <w:left w:val="nil"/>
              <w:bottom w:val="nil"/>
              <w:right w:val="nil"/>
            </w:tcBorders>
            <w:shd w:val="clear" w:color="auto" w:fill="auto"/>
            <w:noWrap/>
            <w:vAlign w:val="center"/>
            <w:hideMark/>
          </w:tcPr>
          <w:p w14:paraId="6A076FD8" w14:textId="77777777" w:rsidR="00C84521" w:rsidRPr="00C84521" w:rsidRDefault="00C84521" w:rsidP="00453C51">
            <w:pPr>
              <w:spacing w:after="0" w:line="240" w:lineRule="auto"/>
              <w:jc w:val="both"/>
              <w:rPr>
                <w:rFonts w:ascii="Calibri" w:eastAsia="Times New Roman" w:hAnsi="Calibri" w:cs="Calibri"/>
                <w:color w:val="44546A"/>
                <w:lang w:val="en-GB" w:eastAsia="en-GB"/>
              </w:rPr>
            </w:pPr>
            <w:r w:rsidRPr="00C84521">
              <w:rPr>
                <w:rFonts w:ascii="Calibri" w:eastAsia="Times New Roman" w:hAnsi="Calibri" w:cs="Calibri"/>
                <w:color w:val="44546A"/>
                <w:lang w:val="en-GB" w:eastAsia="en-GB"/>
              </w:rPr>
              <w:t>2.86E-36</w:t>
            </w:r>
          </w:p>
        </w:tc>
      </w:tr>
      <w:tr w:rsidR="00C84521" w:rsidRPr="00C84521" w14:paraId="0B052549" w14:textId="77777777" w:rsidTr="00D94AB7">
        <w:trPr>
          <w:trHeight w:val="300"/>
          <w:jc w:val="center"/>
        </w:trPr>
        <w:tc>
          <w:tcPr>
            <w:tcW w:w="894" w:type="dxa"/>
            <w:tcBorders>
              <w:top w:val="nil"/>
              <w:left w:val="nil"/>
              <w:bottom w:val="nil"/>
              <w:right w:val="nil"/>
            </w:tcBorders>
            <w:shd w:val="clear" w:color="auto" w:fill="auto"/>
            <w:noWrap/>
            <w:vAlign w:val="center"/>
            <w:hideMark/>
          </w:tcPr>
          <w:p w14:paraId="44986292" w14:textId="77777777" w:rsidR="00C84521" w:rsidRPr="00C84521" w:rsidRDefault="00C849B1"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CATI</w:t>
            </w:r>
          </w:p>
        </w:tc>
        <w:tc>
          <w:tcPr>
            <w:tcW w:w="960" w:type="dxa"/>
            <w:tcBorders>
              <w:top w:val="nil"/>
              <w:left w:val="nil"/>
              <w:bottom w:val="nil"/>
              <w:right w:val="nil"/>
            </w:tcBorders>
            <w:shd w:val="clear" w:color="auto" w:fill="auto"/>
            <w:noWrap/>
            <w:vAlign w:val="center"/>
            <w:hideMark/>
          </w:tcPr>
          <w:p w14:paraId="250A4EBC" w14:textId="77777777" w:rsidR="00C84521" w:rsidRPr="00C84521" w:rsidRDefault="00C84521" w:rsidP="00453C51">
            <w:pPr>
              <w:spacing w:after="0" w:line="240" w:lineRule="auto"/>
              <w:jc w:val="both"/>
              <w:rPr>
                <w:rFonts w:ascii="Calibri" w:eastAsia="Times New Roman" w:hAnsi="Calibri" w:cs="Calibri"/>
                <w:color w:val="44546A"/>
                <w:lang w:val="en-GB" w:eastAsia="en-GB"/>
              </w:rPr>
            </w:pPr>
            <w:r w:rsidRPr="00C84521">
              <w:rPr>
                <w:rFonts w:ascii="Calibri" w:eastAsia="Times New Roman" w:hAnsi="Calibri" w:cs="Calibri"/>
                <w:color w:val="44546A"/>
                <w:lang w:val="en-GB" w:eastAsia="en-GB"/>
              </w:rPr>
              <w:t>HDDS</w:t>
            </w:r>
          </w:p>
        </w:tc>
        <w:tc>
          <w:tcPr>
            <w:tcW w:w="960" w:type="dxa"/>
            <w:tcBorders>
              <w:top w:val="nil"/>
              <w:left w:val="nil"/>
              <w:bottom w:val="nil"/>
              <w:right w:val="nil"/>
            </w:tcBorders>
            <w:shd w:val="clear" w:color="auto" w:fill="auto"/>
            <w:noWrap/>
            <w:vAlign w:val="center"/>
            <w:hideMark/>
          </w:tcPr>
          <w:p w14:paraId="177B5805" w14:textId="77777777" w:rsidR="00C84521" w:rsidRPr="00C84521" w:rsidRDefault="00D37781"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6</w:t>
            </w:r>
          </w:p>
        </w:tc>
        <w:tc>
          <w:tcPr>
            <w:tcW w:w="960" w:type="dxa"/>
            <w:tcBorders>
              <w:top w:val="nil"/>
              <w:left w:val="nil"/>
              <w:bottom w:val="nil"/>
              <w:right w:val="nil"/>
            </w:tcBorders>
            <w:shd w:val="clear" w:color="auto" w:fill="auto"/>
            <w:noWrap/>
            <w:vAlign w:val="center"/>
            <w:hideMark/>
          </w:tcPr>
          <w:p w14:paraId="71EC637F" w14:textId="77777777" w:rsidR="00C84521" w:rsidRPr="00C84521" w:rsidRDefault="00690C80"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 xml:space="preserve">          4</w:t>
            </w:r>
            <w:r w:rsidR="00C84521" w:rsidRPr="00C84521">
              <w:rPr>
                <w:rFonts w:ascii="Calibri" w:eastAsia="Times New Roman" w:hAnsi="Calibri" w:cs="Calibri"/>
                <w:color w:val="44546A"/>
                <w:lang w:val="en-GB" w:eastAsia="en-GB"/>
              </w:rPr>
              <w:t xml:space="preserve"> </w:t>
            </w:r>
          </w:p>
        </w:tc>
        <w:tc>
          <w:tcPr>
            <w:tcW w:w="1188" w:type="dxa"/>
            <w:vMerge/>
            <w:tcBorders>
              <w:top w:val="nil"/>
              <w:left w:val="nil"/>
              <w:bottom w:val="nil"/>
              <w:right w:val="nil"/>
            </w:tcBorders>
            <w:vAlign w:val="center"/>
            <w:hideMark/>
          </w:tcPr>
          <w:p w14:paraId="14B1FB5F" w14:textId="77777777" w:rsidR="00C84521" w:rsidRPr="00C84521" w:rsidRDefault="00C84521" w:rsidP="00453C51">
            <w:pPr>
              <w:spacing w:after="0" w:line="240" w:lineRule="auto"/>
              <w:jc w:val="both"/>
              <w:rPr>
                <w:rFonts w:ascii="Calibri" w:eastAsia="Times New Roman" w:hAnsi="Calibri" w:cs="Calibri"/>
                <w:color w:val="44546A"/>
                <w:lang w:val="en-GB" w:eastAsia="en-GB"/>
              </w:rPr>
            </w:pPr>
          </w:p>
        </w:tc>
      </w:tr>
    </w:tbl>
    <w:p w14:paraId="67940CB7" w14:textId="77777777" w:rsidR="00527EED" w:rsidRDefault="00527EED" w:rsidP="00453C51">
      <w:pPr>
        <w:jc w:val="both"/>
      </w:pPr>
    </w:p>
    <w:p w14:paraId="03986957" w14:textId="14FBE5E1" w:rsidR="00585566" w:rsidRDefault="009F5A87" w:rsidP="00453C51">
      <w:pPr>
        <w:jc w:val="both"/>
      </w:pPr>
      <w:r>
        <w:t>I</w:t>
      </w:r>
      <w:r w:rsidR="00151EFD">
        <w:t>n the F2F survey, we have a sample that is generally worse off or more prone to food insecurity</w:t>
      </w:r>
      <w:r w:rsidR="00737294">
        <w:t>. The measured HDDS index reflects this sample with worse access to diverse foods among F2F households</w:t>
      </w:r>
      <w:r w:rsidR="00C4793E">
        <w:t>.</w:t>
      </w:r>
      <w:r w:rsidR="00871216">
        <w:t xml:space="preserve"> </w:t>
      </w:r>
      <w:r w:rsidR="00737294">
        <w:t>HDDS is</w:t>
      </w:r>
      <w:r w:rsidR="00C4793E">
        <w:t>, on average,</w:t>
      </w:r>
      <w:r w:rsidR="00737294">
        <w:t xml:space="preserve"> </w:t>
      </w:r>
      <w:r w:rsidR="00737294" w:rsidRPr="00871216">
        <w:t>1.4 points lower</w:t>
      </w:r>
      <w:r w:rsidR="00737294">
        <w:t xml:space="preserve"> in the F2F results as compared to the CATI</w:t>
      </w:r>
      <w:r w:rsidR="00C4793E">
        <w:t xml:space="preserve"> results</w:t>
      </w:r>
      <w:r w:rsidR="00737294">
        <w:t>. This is likely because</w:t>
      </w:r>
      <w:r w:rsidR="00151EFD">
        <w:t xml:space="preserve"> more female</w:t>
      </w:r>
      <w:r w:rsidR="00596561">
        <w:t>s</w:t>
      </w:r>
      <w:r w:rsidR="00151EFD">
        <w:t xml:space="preserve"> were contacted</w:t>
      </w:r>
      <w:r w:rsidR="00C4793E">
        <w:t xml:space="preserve">, and they likely have </w:t>
      </w:r>
      <w:r w:rsidR="00151EFD">
        <w:t>more insecure sources o</w:t>
      </w:r>
      <w:r w:rsidR="00737294">
        <w:t>f</w:t>
      </w:r>
      <w:r w:rsidR="00151EFD">
        <w:t xml:space="preserve"> income that were affected by climate issues</w:t>
      </w:r>
      <w:r w:rsidR="00737294">
        <w:t>.  Further</w:t>
      </w:r>
      <w:r w:rsidR="008154F5">
        <w:t>more</w:t>
      </w:r>
      <w:r w:rsidR="00737294">
        <w:t>, i</w:t>
      </w:r>
      <w:r w:rsidR="00151EFD">
        <w:t xml:space="preserve">f we consider the </w:t>
      </w:r>
      <w:r w:rsidR="00151EFD" w:rsidRPr="00436AF5">
        <w:rPr>
          <w:i/>
        </w:rPr>
        <w:t>ad</w:t>
      </w:r>
      <w:r w:rsidR="00596561" w:rsidRPr="00436AF5">
        <w:rPr>
          <w:i/>
        </w:rPr>
        <w:t>-</w:t>
      </w:r>
      <w:r w:rsidR="00151EFD" w:rsidRPr="00436AF5">
        <w:rPr>
          <w:i/>
        </w:rPr>
        <w:t>hoc</w:t>
      </w:r>
      <w:r w:rsidR="00151EFD">
        <w:t xml:space="preserve"> worse-</w:t>
      </w:r>
      <w:r w:rsidR="00436AF5">
        <w:t>off/</w:t>
      </w:r>
      <w:r w:rsidR="00151EFD">
        <w:t xml:space="preserve">better-off </w:t>
      </w:r>
      <w:r w:rsidR="00C4793E">
        <w:t xml:space="preserve">categorization determined </w:t>
      </w:r>
      <w:r w:rsidR="00151EFD">
        <w:t xml:space="preserve">from the toilet types and roof types reliable, </w:t>
      </w:r>
      <w:r w:rsidR="00737294">
        <w:t xml:space="preserve">then people within the F2F survey tended to have a </w:t>
      </w:r>
      <w:r w:rsidR="00151EFD">
        <w:t xml:space="preserve">lower standard of living. </w:t>
      </w:r>
      <w:r w:rsidR="00585566" w:rsidRPr="00585566">
        <w:t>According to HDDS guidelines</w:t>
      </w:r>
      <w:r w:rsidR="00585566">
        <w:t xml:space="preserve"> </w:t>
      </w:r>
      <w:commentRangeStart w:id="3"/>
      <w:r w:rsidR="00585566">
        <w:t>(1</w:t>
      </w:r>
      <w:commentRangeEnd w:id="3"/>
      <w:r w:rsidR="00C4793E">
        <w:rPr>
          <w:rStyle w:val="CommentReference"/>
          <w:rFonts w:ascii="Calibri" w:eastAsia="Calibri" w:hAnsi="Calibri" w:cs="Calibri"/>
          <w:color w:val="000000"/>
        </w:rPr>
        <w:commentReference w:id="3"/>
      </w:r>
      <w:r w:rsidR="00585566">
        <w:t>)</w:t>
      </w:r>
      <w:r w:rsidR="00585566" w:rsidRPr="00585566">
        <w:t>,</w:t>
      </w:r>
    </w:p>
    <w:p w14:paraId="090DCF94" w14:textId="77777777" w:rsidR="00585566" w:rsidRPr="00585566" w:rsidRDefault="00585566" w:rsidP="00453C51">
      <w:pPr>
        <w:pStyle w:val="Quote"/>
        <w:jc w:val="both"/>
        <w:rPr>
          <w:rStyle w:val="SubtleReference"/>
        </w:rPr>
      </w:pPr>
      <w:commentRangeStart w:id="4"/>
      <w:commentRangeStart w:id="5"/>
      <w:commentRangeStart w:id="6"/>
      <w:r w:rsidRPr="00585566">
        <w:rPr>
          <w:rStyle w:val="SubtleReference"/>
        </w:rPr>
        <w:t>“In the absence of income or economic data from the baseline survey, a HDDS target can be established by taking the average diversity of the 33 percent of households with the highest diversity (upper tercile of diversity).”</w:t>
      </w:r>
      <w:commentRangeEnd w:id="4"/>
      <w:r w:rsidR="008154F5">
        <w:rPr>
          <w:rStyle w:val="CommentReference"/>
          <w:rFonts w:ascii="Calibri" w:eastAsia="Calibri" w:hAnsi="Calibri" w:cs="Calibri"/>
          <w:i w:val="0"/>
          <w:iCs w:val="0"/>
          <w:color w:val="000000"/>
        </w:rPr>
        <w:commentReference w:id="4"/>
      </w:r>
      <w:commentRangeEnd w:id="5"/>
      <w:r w:rsidR="004B2AD7">
        <w:rPr>
          <w:rStyle w:val="CommentReference"/>
          <w:rFonts w:ascii="Calibri" w:eastAsia="Calibri" w:hAnsi="Calibri" w:cs="Calibri"/>
          <w:i w:val="0"/>
          <w:iCs w:val="0"/>
          <w:color w:val="000000"/>
        </w:rPr>
        <w:commentReference w:id="5"/>
      </w:r>
      <w:commentRangeEnd w:id="6"/>
      <w:r w:rsidR="00617831">
        <w:rPr>
          <w:rStyle w:val="CommentReference"/>
          <w:rFonts w:ascii="Calibri" w:eastAsia="Calibri" w:hAnsi="Calibri" w:cs="Calibri"/>
          <w:i w:val="0"/>
          <w:iCs w:val="0"/>
          <w:color w:val="000000"/>
        </w:rPr>
        <w:commentReference w:id="6"/>
      </w:r>
    </w:p>
    <w:p w14:paraId="71E1113E" w14:textId="2C8ED170" w:rsidR="009235FB" w:rsidRDefault="00585566" w:rsidP="00453C51">
      <w:pPr>
        <w:jc w:val="both"/>
      </w:pPr>
      <w:r>
        <w:t>We compute</w:t>
      </w:r>
      <w:r w:rsidR="000B7B66">
        <w:t>d</w:t>
      </w:r>
      <w:r>
        <w:t xml:space="preserve"> </w:t>
      </w:r>
      <w:r w:rsidRPr="00585566">
        <w:t>the</w:t>
      </w:r>
      <w:r>
        <w:t xml:space="preserve"> target from the</w:t>
      </w:r>
      <w:r w:rsidRPr="00585566">
        <w:t xml:space="preserve"> top 33% of the HDDS scores </w:t>
      </w:r>
      <w:r w:rsidR="000B7B66" w:rsidRPr="00585566">
        <w:t>f</w:t>
      </w:r>
      <w:r w:rsidR="000B7B66">
        <w:t>or</w:t>
      </w:r>
      <w:r w:rsidR="000B7B66" w:rsidRPr="00585566">
        <w:t xml:space="preserve"> </w:t>
      </w:r>
      <w:r w:rsidR="000B7B66">
        <w:t xml:space="preserve">the </w:t>
      </w:r>
      <w:r>
        <w:t>CATI and F2F samples and set them as</w:t>
      </w:r>
      <w:r w:rsidR="009F5A87">
        <w:t xml:space="preserve"> food-diversity</w:t>
      </w:r>
      <w:r>
        <w:t xml:space="preserve"> targets</w:t>
      </w:r>
      <w:r w:rsidR="003C4FAD">
        <w:t xml:space="preserve">. The results </w:t>
      </w:r>
      <w:r w:rsidR="00045AB8">
        <w:t>confirm our previous findings and</w:t>
      </w:r>
      <w:r>
        <w:t xml:space="preserve"> </w:t>
      </w:r>
      <w:r w:rsidR="003C4FAD">
        <w:t xml:space="preserve">highlight a </w:t>
      </w:r>
      <w:r w:rsidR="00F86A17">
        <w:t xml:space="preserve">larger proportion of households with  low food diversity in the F2F sample compared to </w:t>
      </w:r>
      <w:r w:rsidR="00737294">
        <w:t xml:space="preserve">the </w:t>
      </w:r>
      <w:r w:rsidR="00F86A17">
        <w:t>CATI</w:t>
      </w:r>
      <w:r w:rsidR="00737294">
        <w:t xml:space="preserve"> </w:t>
      </w:r>
      <w:r w:rsidR="00F86A17">
        <w:t>sample.</w:t>
      </w:r>
    </w:p>
    <w:p w14:paraId="209BE7C7" w14:textId="05057819" w:rsidR="00DF2EEE" w:rsidRDefault="00DF2EEE" w:rsidP="00453C51">
      <w:pPr>
        <w:jc w:val="both"/>
      </w:pPr>
    </w:p>
    <w:p w14:paraId="6360E7D4" w14:textId="7E057C6B" w:rsidR="00DF2EEE" w:rsidRPr="00871216" w:rsidRDefault="00DF2EEE" w:rsidP="00453C51">
      <w:pPr>
        <w:jc w:val="both"/>
        <w:rPr>
          <w:rFonts w:ascii="Calibri" w:hAnsi="Calibri"/>
          <w:b/>
          <w:i/>
        </w:rPr>
      </w:pPr>
      <w:r w:rsidRPr="00871216">
        <w:rPr>
          <w:rFonts w:ascii="Calibri" w:hAnsi="Calibri"/>
          <w:b/>
          <w:i/>
        </w:rPr>
        <w:t>Table</w:t>
      </w:r>
      <w:r w:rsidR="000B7B66" w:rsidRPr="00871216">
        <w:rPr>
          <w:rFonts w:ascii="Calibri" w:hAnsi="Calibri"/>
          <w:b/>
          <w:i/>
        </w:rPr>
        <w:t xml:space="preserve"> </w:t>
      </w:r>
      <w:r w:rsidRPr="00871216">
        <w:rPr>
          <w:rFonts w:ascii="Calibri" w:hAnsi="Calibri"/>
          <w:b/>
          <w:i/>
        </w:rPr>
        <w:t>4. HDDS targets for F2F and CATI surveys</w:t>
      </w:r>
    </w:p>
    <w:tbl>
      <w:tblPr>
        <w:tblW w:w="5148" w:type="dxa"/>
        <w:jc w:val="center"/>
        <w:tblLook w:val="04A0" w:firstRow="1" w:lastRow="0" w:firstColumn="1" w:lastColumn="0" w:noHBand="0" w:noVBand="1"/>
      </w:tblPr>
      <w:tblGrid>
        <w:gridCol w:w="3228"/>
        <w:gridCol w:w="960"/>
        <w:gridCol w:w="960"/>
      </w:tblGrid>
      <w:tr w:rsidR="00DF2EEE" w:rsidRPr="00C84521" w14:paraId="19247A68" w14:textId="77777777" w:rsidTr="00302821">
        <w:trPr>
          <w:trHeight w:val="300"/>
          <w:jc w:val="center"/>
        </w:trPr>
        <w:tc>
          <w:tcPr>
            <w:tcW w:w="3228" w:type="dxa"/>
            <w:tcBorders>
              <w:top w:val="nil"/>
              <w:left w:val="nil"/>
              <w:bottom w:val="single" w:sz="4" w:space="0" w:color="auto"/>
              <w:right w:val="nil"/>
            </w:tcBorders>
            <w:shd w:val="clear" w:color="auto" w:fill="auto"/>
            <w:noWrap/>
            <w:vAlign w:val="center"/>
            <w:hideMark/>
          </w:tcPr>
          <w:p w14:paraId="5DDC6F08" w14:textId="338300B2" w:rsidR="00DF2EEE" w:rsidRPr="00C84521" w:rsidRDefault="007A21D1"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V</w:t>
            </w:r>
            <w:r w:rsidR="00DF2EEE" w:rsidRPr="00C84521">
              <w:rPr>
                <w:rFonts w:ascii="Calibri" w:eastAsia="Times New Roman" w:hAnsi="Calibri" w:cs="Calibri"/>
                <w:i/>
                <w:iCs/>
                <w:color w:val="000000"/>
                <w:lang w:val="en-GB" w:eastAsia="en-GB"/>
              </w:rPr>
              <w:t>ariable</w:t>
            </w:r>
          </w:p>
        </w:tc>
        <w:tc>
          <w:tcPr>
            <w:tcW w:w="960" w:type="dxa"/>
            <w:tcBorders>
              <w:top w:val="nil"/>
              <w:left w:val="nil"/>
              <w:bottom w:val="single" w:sz="4" w:space="0" w:color="auto"/>
              <w:right w:val="nil"/>
            </w:tcBorders>
            <w:shd w:val="clear" w:color="auto" w:fill="auto"/>
            <w:noWrap/>
            <w:vAlign w:val="center"/>
            <w:hideMark/>
          </w:tcPr>
          <w:p w14:paraId="6C9C8056" w14:textId="202DCE8D" w:rsidR="00DF2EEE" w:rsidRPr="00C84521" w:rsidRDefault="00DF2EEE"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F2F</w:t>
            </w:r>
          </w:p>
        </w:tc>
        <w:tc>
          <w:tcPr>
            <w:tcW w:w="960" w:type="dxa"/>
            <w:tcBorders>
              <w:top w:val="nil"/>
              <w:left w:val="nil"/>
              <w:bottom w:val="single" w:sz="4" w:space="0" w:color="auto"/>
              <w:right w:val="nil"/>
            </w:tcBorders>
            <w:shd w:val="clear" w:color="auto" w:fill="auto"/>
            <w:noWrap/>
            <w:vAlign w:val="center"/>
            <w:hideMark/>
          </w:tcPr>
          <w:p w14:paraId="4AF45BCD" w14:textId="264FA4B0" w:rsidR="00DF2EEE" w:rsidRPr="00C84521" w:rsidRDefault="00DF2EEE" w:rsidP="00453C51">
            <w:pPr>
              <w:spacing w:after="0" w:line="240" w:lineRule="auto"/>
              <w:jc w:val="both"/>
              <w:rPr>
                <w:rFonts w:ascii="Calibri" w:eastAsia="Times New Roman" w:hAnsi="Calibri" w:cs="Calibri"/>
                <w:i/>
                <w:iCs/>
                <w:color w:val="000000"/>
                <w:lang w:val="en-GB" w:eastAsia="en-GB"/>
              </w:rPr>
            </w:pPr>
            <w:r>
              <w:rPr>
                <w:rFonts w:ascii="Calibri" w:eastAsia="Times New Roman" w:hAnsi="Calibri" w:cs="Calibri"/>
                <w:i/>
                <w:iCs/>
                <w:color w:val="000000"/>
                <w:lang w:val="en-GB" w:eastAsia="en-GB"/>
              </w:rPr>
              <w:t>CATI</w:t>
            </w:r>
          </w:p>
        </w:tc>
      </w:tr>
      <w:tr w:rsidR="00DF2EEE" w:rsidRPr="00C84521" w14:paraId="3C539CAA" w14:textId="77777777" w:rsidTr="00302821">
        <w:trPr>
          <w:trHeight w:val="300"/>
          <w:jc w:val="center"/>
        </w:trPr>
        <w:tc>
          <w:tcPr>
            <w:tcW w:w="3228" w:type="dxa"/>
            <w:tcBorders>
              <w:top w:val="nil"/>
              <w:left w:val="nil"/>
              <w:bottom w:val="nil"/>
              <w:right w:val="nil"/>
            </w:tcBorders>
            <w:shd w:val="clear" w:color="auto" w:fill="auto"/>
            <w:noWrap/>
            <w:vAlign w:val="center"/>
            <w:hideMark/>
          </w:tcPr>
          <w:p w14:paraId="5C52DD55" w14:textId="27ED8AAD" w:rsidR="00DF2EEE" w:rsidRPr="00C84521" w:rsidRDefault="00DF2EEE" w:rsidP="00453C51">
            <w:pPr>
              <w:spacing w:after="0" w:line="240" w:lineRule="auto"/>
              <w:jc w:val="both"/>
              <w:rPr>
                <w:rFonts w:ascii="Calibri" w:eastAsia="Times New Roman" w:hAnsi="Calibri" w:cs="Calibri"/>
                <w:color w:val="44546A"/>
                <w:lang w:val="en-GB" w:eastAsia="en-GB"/>
              </w:rPr>
            </w:pPr>
            <w:r w:rsidRPr="00DF2EEE">
              <w:rPr>
                <w:rFonts w:ascii="Calibri" w:eastAsia="Times New Roman" w:hAnsi="Calibri" w:cs="Calibri"/>
                <w:color w:val="44546A"/>
                <w:lang w:val="en-GB" w:eastAsia="en-GB"/>
              </w:rPr>
              <w:t>mean HDDS of the top 33% group</w:t>
            </w:r>
          </w:p>
        </w:tc>
        <w:tc>
          <w:tcPr>
            <w:tcW w:w="960" w:type="dxa"/>
            <w:tcBorders>
              <w:top w:val="nil"/>
              <w:left w:val="nil"/>
              <w:bottom w:val="nil"/>
              <w:right w:val="nil"/>
            </w:tcBorders>
            <w:shd w:val="clear" w:color="auto" w:fill="auto"/>
            <w:noWrap/>
            <w:vAlign w:val="center"/>
            <w:hideMark/>
          </w:tcPr>
          <w:p w14:paraId="7201EC74" w14:textId="7DB9BDCF" w:rsidR="00DF2EEE" w:rsidRPr="00C84521" w:rsidRDefault="00DF2EEE"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7</w:t>
            </w:r>
          </w:p>
        </w:tc>
        <w:tc>
          <w:tcPr>
            <w:tcW w:w="960" w:type="dxa"/>
            <w:tcBorders>
              <w:top w:val="nil"/>
              <w:left w:val="nil"/>
              <w:bottom w:val="nil"/>
              <w:right w:val="nil"/>
            </w:tcBorders>
            <w:shd w:val="clear" w:color="auto" w:fill="auto"/>
            <w:noWrap/>
            <w:vAlign w:val="center"/>
            <w:hideMark/>
          </w:tcPr>
          <w:p w14:paraId="4ED91188" w14:textId="5C843F2E" w:rsidR="00DF2EEE" w:rsidRPr="00C84521" w:rsidRDefault="00DF2EEE"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 xml:space="preserve">          8</w:t>
            </w:r>
            <w:r w:rsidRPr="00C84521">
              <w:rPr>
                <w:rFonts w:ascii="Calibri" w:eastAsia="Times New Roman" w:hAnsi="Calibri" w:cs="Calibri"/>
                <w:color w:val="44546A"/>
                <w:lang w:val="en-GB" w:eastAsia="en-GB"/>
              </w:rPr>
              <w:t xml:space="preserve"> </w:t>
            </w:r>
          </w:p>
        </w:tc>
      </w:tr>
      <w:tr w:rsidR="00DF2EEE" w:rsidRPr="00C84521" w14:paraId="3C20C0A2" w14:textId="77777777" w:rsidTr="00302821">
        <w:trPr>
          <w:trHeight w:val="300"/>
          <w:jc w:val="center"/>
        </w:trPr>
        <w:tc>
          <w:tcPr>
            <w:tcW w:w="3228" w:type="dxa"/>
            <w:tcBorders>
              <w:top w:val="nil"/>
              <w:left w:val="nil"/>
              <w:bottom w:val="nil"/>
              <w:right w:val="nil"/>
            </w:tcBorders>
            <w:shd w:val="clear" w:color="auto" w:fill="auto"/>
            <w:noWrap/>
            <w:vAlign w:val="center"/>
            <w:hideMark/>
          </w:tcPr>
          <w:p w14:paraId="24616030" w14:textId="1EC9CD29" w:rsidR="00DF2EEE" w:rsidRPr="00C84521" w:rsidRDefault="00DF2EEE" w:rsidP="00453C51">
            <w:pPr>
              <w:spacing w:after="0" w:line="240" w:lineRule="auto"/>
              <w:jc w:val="both"/>
              <w:rPr>
                <w:rFonts w:ascii="Calibri" w:eastAsia="Times New Roman" w:hAnsi="Calibri" w:cs="Calibri"/>
                <w:color w:val="44546A"/>
                <w:lang w:val="en-GB" w:eastAsia="en-GB"/>
              </w:rPr>
            </w:pPr>
            <w:r w:rsidRPr="00DF2EEE">
              <w:rPr>
                <w:rFonts w:ascii="Calibri" w:eastAsia="Times New Roman" w:hAnsi="Calibri" w:cs="Calibri"/>
                <w:color w:val="44546A"/>
                <w:lang w:val="en-GB" w:eastAsia="en-GB"/>
              </w:rPr>
              <w:t>sample’s population below target</w:t>
            </w:r>
          </w:p>
        </w:tc>
        <w:tc>
          <w:tcPr>
            <w:tcW w:w="960" w:type="dxa"/>
            <w:tcBorders>
              <w:top w:val="nil"/>
              <w:left w:val="nil"/>
              <w:bottom w:val="nil"/>
              <w:right w:val="nil"/>
            </w:tcBorders>
            <w:shd w:val="clear" w:color="auto" w:fill="auto"/>
            <w:noWrap/>
            <w:vAlign w:val="center"/>
            <w:hideMark/>
          </w:tcPr>
          <w:p w14:paraId="46B3CF67" w14:textId="50FC1A84" w:rsidR="00DF2EEE" w:rsidRPr="00C84521" w:rsidRDefault="00DF2EEE" w:rsidP="00453C51">
            <w:pPr>
              <w:spacing w:after="0" w:line="240" w:lineRule="auto"/>
              <w:jc w:val="both"/>
              <w:rPr>
                <w:rFonts w:ascii="Calibri" w:eastAsia="Times New Roman" w:hAnsi="Calibri" w:cs="Calibri"/>
                <w:color w:val="44546A"/>
                <w:lang w:val="en-GB" w:eastAsia="en-GB"/>
              </w:rPr>
            </w:pPr>
            <w:r w:rsidRPr="00DF2EEE">
              <w:rPr>
                <w:rFonts w:ascii="Calibri" w:eastAsia="Times New Roman" w:hAnsi="Calibri" w:cs="Calibri"/>
                <w:color w:val="44546A"/>
                <w:lang w:val="en-GB" w:eastAsia="en-GB"/>
              </w:rPr>
              <w:t>81.7%</w:t>
            </w:r>
          </w:p>
        </w:tc>
        <w:tc>
          <w:tcPr>
            <w:tcW w:w="960" w:type="dxa"/>
            <w:tcBorders>
              <w:top w:val="nil"/>
              <w:left w:val="nil"/>
              <w:bottom w:val="nil"/>
              <w:right w:val="nil"/>
            </w:tcBorders>
            <w:shd w:val="clear" w:color="auto" w:fill="auto"/>
            <w:noWrap/>
            <w:vAlign w:val="center"/>
            <w:hideMark/>
          </w:tcPr>
          <w:p w14:paraId="7B288492" w14:textId="0C8C8706" w:rsidR="00DF2EEE" w:rsidRPr="00C84521" w:rsidRDefault="00DF2EEE" w:rsidP="00453C51">
            <w:pPr>
              <w:spacing w:after="0" w:line="240" w:lineRule="auto"/>
              <w:jc w:val="both"/>
              <w:rPr>
                <w:rFonts w:ascii="Calibri" w:eastAsia="Times New Roman" w:hAnsi="Calibri" w:cs="Calibri"/>
                <w:color w:val="44546A"/>
                <w:lang w:val="en-GB" w:eastAsia="en-GB"/>
              </w:rPr>
            </w:pPr>
            <w:r>
              <w:rPr>
                <w:rFonts w:ascii="Calibri" w:eastAsia="Times New Roman" w:hAnsi="Calibri" w:cs="Calibri"/>
                <w:color w:val="44546A"/>
                <w:lang w:val="en-GB" w:eastAsia="en-GB"/>
              </w:rPr>
              <w:t xml:space="preserve">   </w:t>
            </w:r>
            <w:r w:rsidRPr="00DF2EEE">
              <w:rPr>
                <w:rFonts w:ascii="Calibri" w:eastAsia="Times New Roman" w:hAnsi="Calibri" w:cs="Calibri"/>
                <w:color w:val="44546A"/>
                <w:lang w:val="en-GB" w:eastAsia="en-GB"/>
              </w:rPr>
              <w:t>72.6%</w:t>
            </w:r>
            <w:r>
              <w:rPr>
                <w:rFonts w:ascii="Calibri" w:eastAsia="Times New Roman" w:hAnsi="Calibri" w:cs="Calibri"/>
                <w:color w:val="44546A"/>
                <w:lang w:val="en-GB" w:eastAsia="en-GB"/>
              </w:rPr>
              <w:t xml:space="preserve">    </w:t>
            </w:r>
            <w:r w:rsidRPr="00C84521">
              <w:rPr>
                <w:rFonts w:ascii="Calibri" w:eastAsia="Times New Roman" w:hAnsi="Calibri" w:cs="Calibri"/>
                <w:color w:val="44546A"/>
                <w:lang w:val="en-GB" w:eastAsia="en-GB"/>
              </w:rPr>
              <w:t xml:space="preserve"> </w:t>
            </w:r>
          </w:p>
        </w:tc>
      </w:tr>
    </w:tbl>
    <w:p w14:paraId="7F0DCA3E" w14:textId="77777777" w:rsidR="00E71012" w:rsidRPr="00871216" w:rsidRDefault="00E71012" w:rsidP="00453C51">
      <w:pPr>
        <w:jc w:val="both"/>
        <w:rPr>
          <w:rFonts w:ascii="Calibri" w:hAnsi="Calibri"/>
          <w:b/>
          <w:i/>
        </w:rPr>
      </w:pPr>
    </w:p>
    <w:p w14:paraId="7A964870" w14:textId="6A3477DC" w:rsidR="005F4488" w:rsidRPr="00F035A2" w:rsidRDefault="00E71012" w:rsidP="00453C51">
      <w:pPr>
        <w:jc w:val="both"/>
        <w:rPr>
          <w:b/>
          <w:i/>
        </w:rPr>
      </w:pPr>
      <w:r w:rsidRPr="00F035A2">
        <w:rPr>
          <w:rFonts w:ascii="Calibri" w:hAnsi="Calibri"/>
          <w:b/>
          <w:i/>
        </w:rPr>
        <w:t>Figure 11. Comparison of HDDS groups against sample’s targets</w:t>
      </w:r>
    </w:p>
    <w:p w14:paraId="56A82580" w14:textId="77777777" w:rsidR="003C4FAD" w:rsidRDefault="005E137E" w:rsidP="00453C51">
      <w:pPr>
        <w:jc w:val="both"/>
      </w:pPr>
      <w:r>
        <w:rPr>
          <w:noProof/>
          <w:lang w:val="en-GB" w:eastAsia="en-GB"/>
        </w:rPr>
        <w:drawing>
          <wp:anchor distT="0" distB="0" distL="114300" distR="114300" simplePos="0" relativeHeight="251675648" behindDoc="1" locked="0" layoutInCell="1" allowOverlap="1" wp14:anchorId="66434095" wp14:editId="3D117F21">
            <wp:simplePos x="0" y="0"/>
            <wp:positionH relativeFrom="margin">
              <wp:align>right</wp:align>
            </wp:positionH>
            <wp:positionV relativeFrom="paragraph">
              <wp:posOffset>47735</wp:posOffset>
            </wp:positionV>
            <wp:extent cx="5939790" cy="2966085"/>
            <wp:effectExtent l="0" t="0" r="3810" b="5715"/>
            <wp:wrapNone/>
            <wp:docPr id="8" name="Picture 8" descr="C:\Users\lorenzo.riches\AppData\Local\Microsoft\Windows\INetCache\Content.Word\HDDS_bas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riches\AppData\Local\Microsoft\Windows\INetCache\Content.Word\HDDS_baseli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2966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B39404" w14:textId="77777777" w:rsidR="0018210F" w:rsidRDefault="0018210F" w:rsidP="00453C51">
      <w:pPr>
        <w:pStyle w:val="Heading3"/>
        <w:jc w:val="both"/>
      </w:pPr>
    </w:p>
    <w:p w14:paraId="0342223E" w14:textId="77777777" w:rsidR="0018210F" w:rsidRDefault="0018210F" w:rsidP="00453C51">
      <w:pPr>
        <w:pStyle w:val="Heading3"/>
        <w:jc w:val="both"/>
      </w:pPr>
    </w:p>
    <w:p w14:paraId="1B284E43" w14:textId="77777777" w:rsidR="0018210F" w:rsidRDefault="0018210F" w:rsidP="00453C51">
      <w:pPr>
        <w:pStyle w:val="Heading3"/>
        <w:jc w:val="both"/>
      </w:pPr>
    </w:p>
    <w:p w14:paraId="744F1A7C" w14:textId="77777777" w:rsidR="0018210F" w:rsidRDefault="0018210F" w:rsidP="00453C51">
      <w:pPr>
        <w:pStyle w:val="Heading3"/>
        <w:jc w:val="both"/>
      </w:pPr>
    </w:p>
    <w:p w14:paraId="19B7F618" w14:textId="77777777" w:rsidR="0018210F" w:rsidRDefault="0018210F" w:rsidP="00453C51">
      <w:pPr>
        <w:pStyle w:val="Heading3"/>
        <w:jc w:val="both"/>
      </w:pPr>
    </w:p>
    <w:p w14:paraId="4168B1B0" w14:textId="77777777" w:rsidR="0018210F" w:rsidRDefault="0018210F" w:rsidP="00453C51">
      <w:pPr>
        <w:pStyle w:val="Heading3"/>
        <w:jc w:val="both"/>
      </w:pPr>
    </w:p>
    <w:p w14:paraId="687584E7" w14:textId="77777777" w:rsidR="0018210F" w:rsidRDefault="0018210F" w:rsidP="00453C51">
      <w:pPr>
        <w:pStyle w:val="Heading3"/>
        <w:jc w:val="both"/>
      </w:pPr>
    </w:p>
    <w:p w14:paraId="7F787532" w14:textId="77777777" w:rsidR="0018210F" w:rsidRDefault="0018210F" w:rsidP="00453C51">
      <w:pPr>
        <w:pStyle w:val="Heading3"/>
        <w:jc w:val="both"/>
      </w:pPr>
    </w:p>
    <w:p w14:paraId="4B34F2DA" w14:textId="77777777" w:rsidR="0018210F" w:rsidRDefault="0018210F" w:rsidP="00453C51">
      <w:pPr>
        <w:pStyle w:val="Heading3"/>
        <w:jc w:val="both"/>
      </w:pPr>
    </w:p>
    <w:p w14:paraId="4955806B" w14:textId="77777777" w:rsidR="0018210F" w:rsidRDefault="0018210F" w:rsidP="00453C51">
      <w:pPr>
        <w:pStyle w:val="Heading3"/>
        <w:jc w:val="both"/>
      </w:pPr>
    </w:p>
    <w:p w14:paraId="702C5FEF" w14:textId="77777777" w:rsidR="0018210F" w:rsidRDefault="0018210F" w:rsidP="00453C51">
      <w:pPr>
        <w:pStyle w:val="Heading3"/>
        <w:jc w:val="both"/>
      </w:pPr>
    </w:p>
    <w:p w14:paraId="71695692" w14:textId="77777777" w:rsidR="005E137E" w:rsidRDefault="005E137E" w:rsidP="00453C51">
      <w:pPr>
        <w:pStyle w:val="Heading3"/>
        <w:jc w:val="both"/>
      </w:pPr>
    </w:p>
    <w:p w14:paraId="712B1DE4" w14:textId="77777777" w:rsidR="005E137E" w:rsidRDefault="005E137E" w:rsidP="00453C51">
      <w:pPr>
        <w:pStyle w:val="Heading3"/>
        <w:jc w:val="both"/>
      </w:pPr>
    </w:p>
    <w:p w14:paraId="1E26A19A" w14:textId="77777777" w:rsidR="005E137E" w:rsidRDefault="005E137E" w:rsidP="00453C51">
      <w:pPr>
        <w:pStyle w:val="Heading3"/>
        <w:jc w:val="both"/>
      </w:pPr>
    </w:p>
    <w:p w14:paraId="4B124878" w14:textId="77777777" w:rsidR="00B05954" w:rsidRDefault="00F206F7" w:rsidP="00453C51">
      <w:pPr>
        <w:pStyle w:val="Heading3"/>
        <w:jc w:val="both"/>
      </w:pPr>
      <w:r>
        <w:t>Food Groups</w:t>
      </w:r>
    </w:p>
    <w:p w14:paraId="1772EDED" w14:textId="2FB7B567" w:rsidR="002672A6" w:rsidRDefault="003F5F61" w:rsidP="00453C51">
      <w:pPr>
        <w:jc w:val="both"/>
      </w:pPr>
      <w:r>
        <w:t>Digging</w:t>
      </w:r>
      <w:r w:rsidR="00F206F7">
        <w:t xml:space="preserve"> deeper into the variations within the 12 food groups used to produce </w:t>
      </w:r>
      <w:r w:rsidR="00457D2F">
        <w:t>the HDDS index</w:t>
      </w:r>
      <w:r w:rsidR="00AC5B9B">
        <w:t xml:space="preserve">, </w:t>
      </w:r>
      <w:r w:rsidR="00F23A95">
        <w:t>we compare</w:t>
      </w:r>
      <w:r w:rsidR="00A734A5">
        <w:t>d</w:t>
      </w:r>
      <w:r w:rsidR="00685CC3">
        <w:t xml:space="preserve"> whether a particular </w:t>
      </w:r>
      <w:r w:rsidR="00AC5B9B">
        <w:t>food</w:t>
      </w:r>
      <w:r w:rsidR="009F5A87">
        <w:t>-</w:t>
      </w:r>
      <w:r w:rsidR="00AC5B9B">
        <w:t>type</w:t>
      </w:r>
      <w:r w:rsidR="00685CC3">
        <w:t xml:space="preserve"> was consumed in the</w:t>
      </w:r>
      <w:r w:rsidR="008303F6">
        <w:t xml:space="preserve"> </w:t>
      </w:r>
      <w:r w:rsidR="00685CC3">
        <w:t xml:space="preserve">day prior to the </w:t>
      </w:r>
      <w:r w:rsidR="00AC5B9B">
        <w:t>survey.</w:t>
      </w:r>
      <w:r w:rsidR="001806FD">
        <w:t xml:space="preserve"> We assume</w:t>
      </w:r>
      <w:r w:rsidR="00A734A5">
        <w:t>d</w:t>
      </w:r>
      <w:r w:rsidR="001806FD">
        <w:t xml:space="preserve"> here that the day of the week when the survey was carried o</w:t>
      </w:r>
      <w:r w:rsidR="00B42012">
        <w:t>ut</w:t>
      </w:r>
      <w:r w:rsidR="001806FD">
        <w:t xml:space="preserve"> is distributed equally within the week </w:t>
      </w:r>
      <w:r w:rsidR="00B42012">
        <w:t xml:space="preserve">across </w:t>
      </w:r>
      <w:r w:rsidR="001806FD">
        <w:t xml:space="preserve">the two surveys. </w:t>
      </w:r>
    </w:p>
    <w:p w14:paraId="3A19DCA9" w14:textId="43BE6ED3" w:rsidR="00B05954" w:rsidRDefault="008303F6" w:rsidP="00871216">
      <w:r w:rsidRPr="00871216">
        <w:rPr>
          <w:rFonts w:ascii="Calibri" w:hAnsi="Calibri"/>
          <w:b/>
          <w:i/>
        </w:rPr>
        <w:lastRenderedPageBreak/>
        <w:t>Figure 12. Food group frequencies in the CATI and F2F surveys</w:t>
      </w:r>
      <w:r w:rsidR="008060FB">
        <w:rPr>
          <w:noProof/>
          <w:lang w:val="en-GB" w:eastAsia="en-GB"/>
        </w:rPr>
        <w:drawing>
          <wp:inline distT="0" distB="0" distL="0" distR="0" wp14:anchorId="6346D726" wp14:editId="2FB8B58E">
            <wp:extent cx="5939790" cy="3959860"/>
            <wp:effectExtent l="0" t="0" r="3810" b="2540"/>
            <wp:docPr id="12" name="Picture 12" descr="C:\Users\lorenzo.riches\AppData\Local\Microsoft\Windows\INetCache\Content.Word\food_groups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riches\AppData\Local\Microsoft\Windows\INetCache\Content.Word\food_groups_v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790" cy="3959860"/>
                    </a:xfrm>
                    <a:prstGeom prst="rect">
                      <a:avLst/>
                    </a:prstGeom>
                    <a:noFill/>
                    <a:ln>
                      <a:noFill/>
                    </a:ln>
                  </pic:spPr>
                </pic:pic>
              </a:graphicData>
            </a:graphic>
          </wp:inline>
        </w:drawing>
      </w:r>
    </w:p>
    <w:p w14:paraId="0D330CCD" w14:textId="0026B8DD" w:rsidR="004D4A0B" w:rsidRDefault="006A17DB" w:rsidP="00453C51">
      <w:pPr>
        <w:jc w:val="both"/>
      </w:pPr>
      <w:r>
        <w:t xml:space="preserve">In </w:t>
      </w:r>
      <w:r w:rsidRPr="00871216">
        <w:rPr>
          <w:i/>
        </w:rPr>
        <w:t>F</w:t>
      </w:r>
      <w:r w:rsidR="002672A6" w:rsidRPr="00871216">
        <w:rPr>
          <w:i/>
        </w:rPr>
        <w:t xml:space="preserve">igure </w:t>
      </w:r>
      <w:r w:rsidR="008303F6" w:rsidRPr="00871216">
        <w:rPr>
          <w:i/>
        </w:rPr>
        <w:t>12</w:t>
      </w:r>
      <w:r w:rsidR="00A734A5">
        <w:rPr>
          <w:i/>
        </w:rPr>
        <w:t>,</w:t>
      </w:r>
      <w:r w:rsidR="008303F6">
        <w:t xml:space="preserve"> w</w:t>
      </w:r>
      <w:r w:rsidR="00043E32">
        <w:t xml:space="preserve">e </w:t>
      </w:r>
      <w:r>
        <w:t>observe that</w:t>
      </w:r>
      <w:r w:rsidR="006B6D82">
        <w:t>,</w:t>
      </w:r>
      <w:r w:rsidR="00043E32">
        <w:t xml:space="preserve"> in </w:t>
      </w:r>
      <w:r w:rsidR="006B6D82">
        <w:t xml:space="preserve">the </w:t>
      </w:r>
      <w:r w:rsidR="00043E32">
        <w:t>CATI</w:t>
      </w:r>
      <w:r w:rsidR="006B6D82">
        <w:t xml:space="preserve"> </w:t>
      </w:r>
      <w:r w:rsidR="00043E32">
        <w:t>sample</w:t>
      </w:r>
      <w:r w:rsidR="006B6D82">
        <w:t>,</w:t>
      </w:r>
      <w:r w:rsidR="00043E32">
        <w:t xml:space="preserve"> </w:t>
      </w:r>
      <w:r w:rsidR="004D4A0B">
        <w:t>there is a higher consumption of roots, vegetables</w:t>
      </w:r>
      <w:r w:rsidR="00A734A5">
        <w:t>,</w:t>
      </w:r>
      <w:r w:rsidR="004D4A0B">
        <w:t xml:space="preserve"> and fruits</w:t>
      </w:r>
      <w:r w:rsidR="00A734A5">
        <w:t>, which is</w:t>
      </w:r>
      <w:r w:rsidR="004D4A0B">
        <w:t xml:space="preserve"> </w:t>
      </w:r>
      <w:r w:rsidR="00356ABE">
        <w:t>indicative of</w:t>
      </w:r>
      <w:r w:rsidR="004D4A0B">
        <w:t xml:space="preserve"> higher </w:t>
      </w:r>
      <w:r w:rsidR="00356ABE">
        <w:t xml:space="preserve">dietary </w:t>
      </w:r>
      <w:r w:rsidR="004D4A0B">
        <w:t xml:space="preserve">diversity </w:t>
      </w:r>
      <w:r w:rsidR="00F23A95">
        <w:t xml:space="preserve">compared to </w:t>
      </w:r>
      <w:r w:rsidR="00A734A5">
        <w:t xml:space="preserve">the </w:t>
      </w:r>
      <w:r w:rsidR="00F23A95">
        <w:t>F2F</w:t>
      </w:r>
      <w:r w:rsidR="00A734A5">
        <w:t xml:space="preserve"> sample</w:t>
      </w:r>
      <w:r w:rsidR="004D4A0B">
        <w:t>. This</w:t>
      </w:r>
      <w:r w:rsidR="00D013F0">
        <w:t xml:space="preserve"> </w:t>
      </w:r>
      <w:r w:rsidR="004D4A0B">
        <w:t>result is even more significant when w</w:t>
      </w:r>
      <w:r w:rsidR="009126DA">
        <w:t xml:space="preserve">e </w:t>
      </w:r>
      <w:r w:rsidR="00D013F0">
        <w:t xml:space="preserve">note </w:t>
      </w:r>
      <w:r w:rsidR="009126DA">
        <w:t xml:space="preserve">that the F2F </w:t>
      </w:r>
      <w:commentRangeStart w:id="7"/>
      <w:r w:rsidR="00A734A5">
        <w:t>responses</w:t>
      </w:r>
      <w:commentRangeEnd w:id="7"/>
      <w:r w:rsidR="00A734A5">
        <w:rPr>
          <w:rStyle w:val="CommentReference"/>
          <w:rFonts w:ascii="Calibri" w:eastAsia="Calibri" w:hAnsi="Calibri" w:cs="Calibri"/>
          <w:color w:val="000000"/>
        </w:rPr>
        <w:commentReference w:id="7"/>
      </w:r>
      <w:r w:rsidR="00A734A5">
        <w:t xml:space="preserve"> </w:t>
      </w:r>
      <w:r w:rsidR="009126DA">
        <w:t>for</w:t>
      </w:r>
      <w:r w:rsidR="004D4A0B">
        <w:t xml:space="preserve"> fruits and vegetables is an aggregate of multiple questions (</w:t>
      </w:r>
      <w:r w:rsidR="00D013F0">
        <w:t>g</w:t>
      </w:r>
      <w:r w:rsidR="004D4A0B">
        <w:t xml:space="preserve">reen, </w:t>
      </w:r>
      <w:r w:rsidR="00D013F0">
        <w:t>o</w:t>
      </w:r>
      <w:r w:rsidR="004D4A0B">
        <w:t>range and othe</w:t>
      </w:r>
      <w:r w:rsidR="003D0EE3">
        <w:t>r veg</w:t>
      </w:r>
      <w:r w:rsidR="00D013F0">
        <w:t>etables</w:t>
      </w:r>
      <w:r w:rsidR="003D0EE3">
        <w:t xml:space="preserve">, </w:t>
      </w:r>
      <w:r w:rsidR="00D013F0">
        <w:t>o</w:t>
      </w:r>
      <w:r w:rsidR="003D0EE3">
        <w:t>range and other fruit</w:t>
      </w:r>
      <w:r w:rsidR="00C57EB4">
        <w:t>)</w:t>
      </w:r>
      <w:r w:rsidR="00875E28">
        <w:t xml:space="preserve">. </w:t>
      </w:r>
      <w:commentRangeStart w:id="8"/>
      <w:commentRangeStart w:id="9"/>
      <w:r w:rsidR="00875E28">
        <w:t>Typically</w:t>
      </w:r>
      <w:commentRangeEnd w:id="8"/>
      <w:r w:rsidR="009D4BDB">
        <w:rPr>
          <w:rStyle w:val="CommentReference"/>
          <w:rFonts w:ascii="Calibri" w:eastAsia="Calibri" w:hAnsi="Calibri" w:cs="Calibri"/>
          <w:color w:val="000000"/>
        </w:rPr>
        <w:commentReference w:id="8"/>
      </w:r>
      <w:commentRangeEnd w:id="9"/>
      <w:r w:rsidR="00C57EB4">
        <w:rPr>
          <w:rStyle w:val="CommentReference"/>
          <w:rFonts w:ascii="Calibri" w:eastAsia="Calibri" w:hAnsi="Calibri" w:cs="Calibri"/>
          <w:color w:val="000000"/>
        </w:rPr>
        <w:commentReference w:id="9"/>
      </w:r>
      <w:r w:rsidR="00875E28">
        <w:t xml:space="preserve">, asking </w:t>
      </w:r>
      <w:r w:rsidR="003D0EE3">
        <w:t>m</w:t>
      </w:r>
      <w:r w:rsidR="004D4A0B">
        <w:t>ore questions tend</w:t>
      </w:r>
      <w:r w:rsidR="00875E28">
        <w:t>s</w:t>
      </w:r>
      <w:r w:rsidR="004D4A0B">
        <w:t xml:space="preserve"> to </w:t>
      </w:r>
      <w:r w:rsidR="00875E28">
        <w:t xml:space="preserve">push </w:t>
      </w:r>
      <w:r w:rsidR="004D4A0B">
        <w:t>the responder to</w:t>
      </w:r>
      <w:r w:rsidR="00B34923">
        <w:t xml:space="preserve"> a higher level of recollection</w:t>
      </w:r>
      <w:r w:rsidR="008A0413">
        <w:t xml:space="preserve"> of what he/she consumed during the recall period. T</w:t>
      </w:r>
      <w:r w:rsidR="00B34923">
        <w:t>h</w:t>
      </w:r>
      <w:r w:rsidR="00F23A95">
        <w:t>us</w:t>
      </w:r>
      <w:r w:rsidR="008A0413">
        <w:t>,</w:t>
      </w:r>
      <w:r w:rsidR="00F23A95">
        <w:t xml:space="preserve"> </w:t>
      </w:r>
      <w:r w:rsidR="008A0413">
        <w:t xml:space="preserve">we would typically </w:t>
      </w:r>
      <w:r w:rsidR="00F23A95">
        <w:t xml:space="preserve">expect </w:t>
      </w:r>
      <w:r w:rsidR="00B34923">
        <w:t xml:space="preserve">a higher score for these categories </w:t>
      </w:r>
      <w:r w:rsidR="003F49A6">
        <w:t xml:space="preserve">for </w:t>
      </w:r>
      <w:r w:rsidR="00B34923">
        <w:t>F2F</w:t>
      </w:r>
      <w:r w:rsidR="008A0413">
        <w:t xml:space="preserve"> as opposed to </w:t>
      </w:r>
      <w:r w:rsidR="00F75536">
        <w:t>a lower one</w:t>
      </w:r>
      <w:r w:rsidR="00B34923">
        <w:t>.</w:t>
      </w:r>
    </w:p>
    <w:p w14:paraId="7AF1691F" w14:textId="77777777" w:rsidR="0038607C" w:rsidRDefault="0038607C" w:rsidP="00453C51">
      <w:pPr>
        <w:pStyle w:val="Heading2"/>
        <w:jc w:val="both"/>
      </w:pPr>
      <w:r>
        <w:t>Conclusions</w:t>
      </w:r>
    </w:p>
    <w:p w14:paraId="1A5AB569" w14:textId="2C0B772B" w:rsidR="0038607C" w:rsidRPr="008D3D42" w:rsidRDefault="003D0EE3" w:rsidP="00453C51">
      <w:pPr>
        <w:jc w:val="both"/>
      </w:pPr>
      <w:r w:rsidRPr="008D3D42">
        <w:t xml:space="preserve">When comparing the results between </w:t>
      </w:r>
      <w:r w:rsidR="002C6218">
        <w:t xml:space="preserve">the </w:t>
      </w:r>
      <w:r w:rsidRPr="008D3D42">
        <w:t>CATI and F2F surveys</w:t>
      </w:r>
      <w:r w:rsidR="002C6218">
        <w:t>,</w:t>
      </w:r>
      <w:r w:rsidRPr="008D3D42">
        <w:t xml:space="preserve"> we </w:t>
      </w:r>
      <w:r w:rsidR="0084255E">
        <w:t xml:space="preserve">observed </w:t>
      </w:r>
      <w:r w:rsidRPr="008D3D42">
        <w:t xml:space="preserve">found sample populations with significant differences, from the gender of the respondents to their primary income sources and shocks. </w:t>
      </w:r>
      <w:r w:rsidR="00BB7343">
        <w:t>This is usually the case when using the phone to reach respondents</w:t>
      </w:r>
      <w:r w:rsidR="0084255E">
        <w:t>,</w:t>
      </w:r>
      <w:r w:rsidR="00BB7343">
        <w:t xml:space="preserve"> as there tends to be a bias due to the fact that </w:t>
      </w:r>
      <w:r w:rsidR="0084255E">
        <w:t xml:space="preserve">our sample is derived from solely a </w:t>
      </w:r>
      <w:r w:rsidR="00BB7343">
        <w:t xml:space="preserve">population that owns a phone. </w:t>
      </w:r>
      <w:r w:rsidRPr="008D3D42">
        <w:t xml:space="preserve">The HDDS scores measured in the two samples also differ. We can deduce that the higher HDDS score </w:t>
      </w:r>
      <w:r w:rsidR="0084255E">
        <w:t>observed for</w:t>
      </w:r>
      <w:r w:rsidR="0084255E" w:rsidRPr="008D3D42">
        <w:t xml:space="preserve"> </w:t>
      </w:r>
      <w:r w:rsidRPr="008D3D42">
        <w:t>the CATI surve</w:t>
      </w:r>
      <w:r w:rsidR="009F5E52">
        <w:t>y reflects the generally better-</w:t>
      </w:r>
      <w:r w:rsidRPr="008D3D42">
        <w:t xml:space="preserve">off sample </w:t>
      </w:r>
      <w:r w:rsidR="009F5E52">
        <w:t>reached</w:t>
      </w:r>
      <w:r w:rsidRPr="008D3D42">
        <w:t xml:space="preserve"> compared to </w:t>
      </w:r>
      <w:r w:rsidR="002C6218">
        <w:t xml:space="preserve">those reached via </w:t>
      </w:r>
      <w:r w:rsidRPr="008D3D42">
        <w:t>the F2F population sample.</w:t>
      </w:r>
    </w:p>
    <w:p w14:paraId="14829B71" w14:textId="4EE77AFF" w:rsidR="00302821" w:rsidRPr="00302821" w:rsidRDefault="00302821" w:rsidP="00453C51">
      <w:pPr>
        <w:jc w:val="both"/>
        <w:rPr>
          <w:b/>
        </w:rPr>
      </w:pPr>
      <w:r w:rsidRPr="00302821">
        <w:rPr>
          <w:b/>
        </w:rPr>
        <w:t>L</w:t>
      </w:r>
      <w:r w:rsidR="0084255E">
        <w:rPr>
          <w:b/>
        </w:rPr>
        <w:t>imitations</w:t>
      </w:r>
      <w:r w:rsidRPr="00302821">
        <w:rPr>
          <w:b/>
        </w:rPr>
        <w:t xml:space="preserve"> of the CATI survey</w:t>
      </w:r>
    </w:p>
    <w:p w14:paraId="7191F964" w14:textId="77777777" w:rsidR="00302821" w:rsidRDefault="00302821" w:rsidP="00453C51">
      <w:pPr>
        <w:jc w:val="both"/>
      </w:pPr>
      <w:r>
        <w:t xml:space="preserve">During the initial survey training held at the call center, operators were randomly divided into two groups (Group A and Group B), where members of the Group A asked the HDDS questions using the list-based approach, while members of the Group B asked the HDDS questions using the open-based method. </w:t>
      </w:r>
    </w:p>
    <w:p w14:paraId="24EE4D65" w14:textId="65B08683" w:rsidR="00B05954" w:rsidRDefault="00302821" w:rsidP="00453C51">
      <w:pPr>
        <w:jc w:val="both"/>
      </w:pPr>
      <w:r>
        <w:lastRenderedPageBreak/>
        <w:t xml:space="preserve">However, during the CATI data collection, operators made calls for both Group A and </w:t>
      </w:r>
      <w:r w:rsidR="0084255E">
        <w:t xml:space="preserve">Group </w:t>
      </w:r>
      <w:r>
        <w:t>B</w:t>
      </w:r>
      <w:r w:rsidR="0084255E">
        <w:t>,</w:t>
      </w:r>
      <w:r>
        <w:t xml:space="preserve"> even if their data entry tools were specific to the group to which they had been assigned. The movement of some operators from the open to the list-based approach was mainly due to absenteeism and the call center’s need to re-allocate operators to the other team. That said, despite these internal shifts, all operators adhered to the specific HDDS script requirements regardless of their movement from one survey approach to another. This was supported and closely monitored by the quality assurance department of the call center.</w:t>
      </w:r>
    </w:p>
    <w:p w14:paraId="651BE3C5" w14:textId="77777777" w:rsidR="00493AEF" w:rsidRDefault="00493AEF" w:rsidP="00453C51">
      <w:pPr>
        <w:ind w:left="720" w:hanging="360"/>
        <w:jc w:val="both"/>
      </w:pPr>
    </w:p>
    <w:p w14:paraId="79FDF2BA" w14:textId="77777777" w:rsidR="00962F1D" w:rsidRPr="00453142" w:rsidRDefault="00004A25" w:rsidP="00453C51">
      <w:pPr>
        <w:pStyle w:val="ListParagraph"/>
        <w:jc w:val="both"/>
      </w:pPr>
      <w:r w:rsidRPr="00453142">
        <w:br w:type="page"/>
      </w:r>
    </w:p>
    <w:p w14:paraId="1E55B492" w14:textId="77777777" w:rsidR="00777C92" w:rsidRPr="00EB0F6F" w:rsidRDefault="00777C92" w:rsidP="00453C51">
      <w:pPr>
        <w:pStyle w:val="ListParagraph"/>
        <w:numPr>
          <w:ilvl w:val="0"/>
          <w:numId w:val="0"/>
        </w:numPr>
        <w:ind w:left="720"/>
        <w:jc w:val="both"/>
      </w:pPr>
    </w:p>
    <w:p w14:paraId="58FD0733" w14:textId="77777777" w:rsidR="00ED0E90" w:rsidRDefault="00ED0E90" w:rsidP="00453C51">
      <w:pPr>
        <w:jc w:val="both"/>
        <w:outlineLvl w:val="0"/>
        <w:rPr>
          <w:rFonts w:ascii="Times New Roman" w:eastAsia="Times New Roman" w:hAnsi="Times New Roman" w:cs="Times New Roman"/>
          <w:b/>
          <w:sz w:val="28"/>
        </w:rPr>
      </w:pPr>
      <w:r w:rsidRPr="005B54DB">
        <w:rPr>
          <w:rFonts w:ascii="Times New Roman" w:eastAsia="Times New Roman" w:hAnsi="Times New Roman" w:cs="Times New Roman"/>
          <w:b/>
          <w:sz w:val="28"/>
        </w:rPr>
        <w:t>References</w:t>
      </w:r>
    </w:p>
    <w:p w14:paraId="7E0A1846" w14:textId="77777777" w:rsidR="00ED0E90" w:rsidRPr="00862145" w:rsidRDefault="00ED0E90" w:rsidP="00453C51">
      <w:pPr>
        <w:autoSpaceDE w:val="0"/>
        <w:autoSpaceDN w:val="0"/>
        <w:adjustRightInd w:val="0"/>
        <w:spacing w:after="0" w:line="240" w:lineRule="auto"/>
        <w:jc w:val="both"/>
        <w:rPr>
          <w:rFonts w:ascii="Calibri" w:hAnsi="Calibri"/>
          <w:sz w:val="24"/>
          <w:szCs w:val="24"/>
        </w:rPr>
      </w:pPr>
    </w:p>
    <w:p w14:paraId="64523315" w14:textId="77777777" w:rsidR="00ED0E90" w:rsidRPr="0054415D" w:rsidRDefault="00ED0E90" w:rsidP="00453C51">
      <w:pPr>
        <w:pStyle w:val="Default"/>
        <w:widowControl w:val="0"/>
        <w:numPr>
          <w:ilvl w:val="0"/>
          <w:numId w:val="2"/>
        </w:numPr>
        <w:ind w:hanging="360"/>
        <w:contextualSpacing/>
        <w:jc w:val="both"/>
        <w:rPr>
          <w:rFonts w:eastAsia="Times New Roman"/>
        </w:rPr>
      </w:pPr>
      <w:r w:rsidRPr="00862145">
        <w:rPr>
          <w:rFonts w:eastAsia="Times New Roman"/>
          <w:color w:val="auto"/>
          <w:sz w:val="22"/>
          <w:szCs w:val="22"/>
        </w:rPr>
        <w:t>Swindale</w:t>
      </w:r>
      <w:r w:rsidRPr="0054415D">
        <w:rPr>
          <w:rFonts w:eastAsia="Times New Roman"/>
          <w:color w:val="auto"/>
          <w:sz w:val="22"/>
          <w:szCs w:val="22"/>
        </w:rPr>
        <w:t>,</w:t>
      </w:r>
      <w:r w:rsidRPr="00862145">
        <w:rPr>
          <w:rFonts w:eastAsia="Times New Roman"/>
          <w:color w:val="auto"/>
          <w:sz w:val="22"/>
          <w:szCs w:val="22"/>
        </w:rPr>
        <w:t xml:space="preserve"> Anne</w:t>
      </w:r>
      <w:r w:rsidRPr="0054415D">
        <w:rPr>
          <w:rFonts w:eastAsia="Times New Roman"/>
          <w:color w:val="auto"/>
          <w:sz w:val="22"/>
          <w:szCs w:val="22"/>
        </w:rPr>
        <w:t xml:space="preserve"> and Paula Bilinsky.</w:t>
      </w:r>
      <w:r w:rsidRPr="0054415D">
        <w:rPr>
          <w:rFonts w:ascii="Calibri" w:hAnsi="Calibri" w:cs="Courier New"/>
          <w:color w:val="auto"/>
          <w:sz w:val="22"/>
          <w:szCs w:val="22"/>
          <w:lang w:val="en-US" w:eastAsia="en-GB"/>
        </w:rPr>
        <w:t xml:space="preserve"> </w:t>
      </w:r>
      <w:r w:rsidRPr="0054415D">
        <w:rPr>
          <w:rFonts w:eastAsia="Times New Roman"/>
          <w:i/>
          <w:color w:val="auto"/>
          <w:sz w:val="22"/>
          <w:szCs w:val="22"/>
        </w:rPr>
        <w:t>Household Dietary Diversity Score (HDDS) for Measurement of Household Food Access: Indicator Guide.</w:t>
      </w:r>
      <w:r w:rsidRPr="0054415D">
        <w:rPr>
          <w:rFonts w:ascii="Calibri" w:hAnsi="Calibri" w:cs="Courier New"/>
          <w:color w:val="auto"/>
          <w:sz w:val="22"/>
          <w:szCs w:val="22"/>
          <w:lang w:val="en-US" w:eastAsia="en-GB"/>
        </w:rPr>
        <w:t xml:space="preserve"> </w:t>
      </w:r>
      <w:r w:rsidRPr="0054415D">
        <w:rPr>
          <w:rFonts w:eastAsia="Times New Roman"/>
          <w:color w:val="auto"/>
          <w:sz w:val="22"/>
          <w:szCs w:val="22"/>
        </w:rPr>
        <w:t>Food and Nutrition Technical Assistance Project, Washington, D.C. 2006.</w:t>
      </w:r>
    </w:p>
    <w:p w14:paraId="407E9DFF" w14:textId="77777777" w:rsidR="00ED0E90" w:rsidRPr="00104BD3" w:rsidRDefault="00ED0E90" w:rsidP="00453C51">
      <w:pPr>
        <w:pStyle w:val="Default"/>
        <w:widowControl w:val="0"/>
        <w:numPr>
          <w:ilvl w:val="0"/>
          <w:numId w:val="2"/>
        </w:numPr>
        <w:ind w:hanging="360"/>
        <w:contextualSpacing/>
        <w:jc w:val="both"/>
      </w:pPr>
      <w:r w:rsidRPr="00104BD3">
        <w:rPr>
          <w:rFonts w:eastAsia="Times New Roman"/>
          <w:sz w:val="22"/>
          <w:szCs w:val="22"/>
        </w:rPr>
        <w:t xml:space="preserve">FAO &amp; FHI 360. </w:t>
      </w:r>
      <w:r w:rsidRPr="00104BD3">
        <w:rPr>
          <w:rFonts w:eastAsia="Times New Roman"/>
          <w:i/>
          <w:sz w:val="22"/>
          <w:szCs w:val="22"/>
        </w:rPr>
        <w:t>Minimum Dietary Diversity for Women: A Guide for Measurement</w:t>
      </w:r>
      <w:r w:rsidRPr="00104BD3">
        <w:rPr>
          <w:rFonts w:eastAsia="Times New Roman"/>
          <w:sz w:val="22"/>
          <w:szCs w:val="22"/>
        </w:rPr>
        <w:t>. (FAO, 2016).</w:t>
      </w:r>
    </w:p>
    <w:p w14:paraId="548012A8" w14:textId="77777777" w:rsidR="00ED0E90" w:rsidRDefault="00ED0E90" w:rsidP="00453C51">
      <w:pPr>
        <w:pStyle w:val="Default"/>
        <w:widowControl w:val="0"/>
        <w:numPr>
          <w:ilvl w:val="0"/>
          <w:numId w:val="2"/>
        </w:numPr>
        <w:ind w:hanging="360"/>
        <w:contextualSpacing/>
        <w:jc w:val="both"/>
      </w:pPr>
      <w:r w:rsidRPr="00104BD3">
        <w:rPr>
          <w:rFonts w:eastAsia="Times New Roman"/>
          <w:color w:val="auto"/>
          <w:sz w:val="22"/>
          <w:szCs w:val="22"/>
        </w:rPr>
        <w:t xml:space="preserve">Christine Lamanna, Kusum Hachhethu, Sabrina Chesterman, Gaurav Singhal, Beatrice Mwongela, Mary Ng’endo, Silvia Passeri, Arghanoon Farhikhtah, Suneetha Kadiyala, Jean-Martin Bauer, and Todd S. Rosenstock. </w:t>
      </w:r>
      <w:bookmarkStart w:id="10" w:name="_gjdgxs" w:colFirst="0" w:colLast="0"/>
      <w:bookmarkEnd w:id="10"/>
      <w:commentRangeStart w:id="11"/>
      <w:r w:rsidRPr="00104BD3">
        <w:rPr>
          <w:rFonts w:eastAsia="Times New Roman"/>
          <w:i/>
          <w:sz w:val="22"/>
          <w:szCs w:val="22"/>
        </w:rPr>
        <w:t>Limits of computer assisted telephone interviews (CATI) for nutrition data collection in rural Kenya.</w:t>
      </w:r>
      <w:commentRangeEnd w:id="11"/>
      <w:r>
        <w:rPr>
          <w:rStyle w:val="CommentReference"/>
          <w:rFonts w:ascii="Calibri" w:eastAsia="Calibri" w:hAnsi="Calibri" w:cs="Calibri"/>
          <w:lang w:val="en-US"/>
        </w:rPr>
        <w:commentReference w:id="11"/>
      </w:r>
    </w:p>
    <w:p w14:paraId="50589AC3" w14:textId="77777777" w:rsidR="00ED0E90" w:rsidRPr="00AB3B87" w:rsidRDefault="00ED0E90" w:rsidP="00453C51">
      <w:pPr>
        <w:widowControl w:val="0"/>
        <w:numPr>
          <w:ilvl w:val="0"/>
          <w:numId w:val="2"/>
        </w:numPr>
        <w:spacing w:after="0" w:line="240" w:lineRule="auto"/>
        <w:ind w:hanging="360"/>
        <w:contextualSpacing/>
        <w:jc w:val="both"/>
        <w:rPr>
          <w:rFonts w:ascii="Times New Roman" w:eastAsia="Times New Roman" w:hAnsi="Times New Roman" w:cs="Times New Roman"/>
        </w:rPr>
      </w:pPr>
    </w:p>
    <w:p w14:paraId="7235FB9C" w14:textId="77777777" w:rsidR="00ED0E90" w:rsidRPr="00AB3B87" w:rsidRDefault="00ED0E90" w:rsidP="00453C51">
      <w:pPr>
        <w:widowControl w:val="0"/>
        <w:numPr>
          <w:ilvl w:val="0"/>
          <w:numId w:val="2"/>
        </w:numPr>
        <w:spacing w:after="0" w:line="240" w:lineRule="auto"/>
        <w:ind w:hanging="360"/>
        <w:contextualSpacing/>
        <w:jc w:val="both"/>
        <w:rPr>
          <w:rFonts w:ascii="Times New Roman" w:eastAsia="Times New Roman" w:hAnsi="Times New Roman" w:cs="Times New Roman"/>
        </w:rPr>
      </w:pPr>
      <w:r w:rsidRPr="00AB3B87">
        <w:rPr>
          <w:rFonts w:ascii="Times New Roman" w:eastAsia="Times New Roman" w:hAnsi="Times New Roman" w:cs="Times New Roman"/>
        </w:rPr>
        <w:t>R Core Team. R: A language and environm</w:t>
      </w:r>
      <w:r>
        <w:rPr>
          <w:rFonts w:ascii="Times New Roman" w:eastAsia="Times New Roman" w:hAnsi="Times New Roman" w:cs="Times New Roman"/>
        </w:rPr>
        <w:t>ent for statistical computing</w:t>
      </w:r>
      <w:r w:rsidRPr="00AB3B87">
        <w:rPr>
          <w:rFonts w:ascii="Times New Roman" w:eastAsia="Times New Roman" w:hAnsi="Times New Roman" w:cs="Times New Roman"/>
        </w:rPr>
        <w:t xml:space="preserve">. (R Foundation for Statistical Computing, 2015). Available at: </w:t>
      </w:r>
      <w:hyperlink r:id="rId23">
        <w:r w:rsidRPr="00AB3B87">
          <w:rPr>
            <w:rFonts w:ascii="Times New Roman" w:eastAsia="Times New Roman" w:hAnsi="Times New Roman" w:cs="Times New Roman"/>
            <w:color w:val="0563C1"/>
            <w:u w:val="single"/>
          </w:rPr>
          <w:t>https://www.R-project.org/</w:t>
        </w:r>
      </w:hyperlink>
    </w:p>
    <w:p w14:paraId="1C028889" w14:textId="77777777" w:rsidR="00655AC6" w:rsidRDefault="00655AC6" w:rsidP="00453C51">
      <w:pPr>
        <w:jc w:val="both"/>
      </w:pPr>
    </w:p>
    <w:p w14:paraId="283CA2CC" w14:textId="77777777" w:rsidR="0078335C" w:rsidRDefault="0078335C" w:rsidP="00453C51">
      <w:pPr>
        <w:jc w:val="both"/>
      </w:pPr>
    </w:p>
    <w:p w14:paraId="393E3A56" w14:textId="77777777" w:rsidR="0078335C" w:rsidRDefault="0078335C" w:rsidP="00453C51">
      <w:pPr>
        <w:jc w:val="both"/>
      </w:pPr>
    </w:p>
    <w:p w14:paraId="2350C0FF" w14:textId="77777777" w:rsidR="0078335C" w:rsidRDefault="0078335C" w:rsidP="00453C51">
      <w:pPr>
        <w:jc w:val="both"/>
      </w:pPr>
    </w:p>
    <w:p w14:paraId="6C08C29D" w14:textId="77777777" w:rsidR="0078335C" w:rsidRDefault="0078335C" w:rsidP="00453C51">
      <w:pPr>
        <w:jc w:val="both"/>
      </w:pPr>
    </w:p>
    <w:p w14:paraId="271EE1EB" w14:textId="77777777" w:rsidR="0078335C" w:rsidRDefault="0078335C" w:rsidP="00453C51">
      <w:pPr>
        <w:jc w:val="both"/>
      </w:pPr>
    </w:p>
    <w:p w14:paraId="66CDC8F7" w14:textId="77777777" w:rsidR="0078335C" w:rsidRDefault="0078335C" w:rsidP="00453C51">
      <w:pPr>
        <w:jc w:val="both"/>
      </w:pPr>
    </w:p>
    <w:p w14:paraId="5788CD9C" w14:textId="77777777" w:rsidR="002B4483" w:rsidRDefault="002B4483" w:rsidP="00453C51">
      <w:pPr>
        <w:jc w:val="both"/>
        <w:rPr>
          <w:rFonts w:ascii="Consolas" w:hAnsi="Consolas"/>
        </w:rPr>
      </w:pPr>
    </w:p>
    <w:p w14:paraId="3644C545" w14:textId="77777777" w:rsidR="002B4483" w:rsidRDefault="002B4483" w:rsidP="00453C51">
      <w:pPr>
        <w:jc w:val="both"/>
        <w:rPr>
          <w:rFonts w:ascii="Consolas" w:hAnsi="Consolas"/>
        </w:rPr>
      </w:pPr>
    </w:p>
    <w:p w14:paraId="0750BB9E" w14:textId="77777777" w:rsidR="002B4483" w:rsidRDefault="002B4483" w:rsidP="00453C51">
      <w:pPr>
        <w:jc w:val="both"/>
        <w:rPr>
          <w:rFonts w:ascii="Consolas" w:hAnsi="Consolas"/>
        </w:rPr>
      </w:pPr>
    </w:p>
    <w:p w14:paraId="3F3A3DD1" w14:textId="77777777" w:rsidR="002B4483" w:rsidRDefault="002B4483" w:rsidP="00453C51">
      <w:pPr>
        <w:jc w:val="both"/>
        <w:rPr>
          <w:rFonts w:ascii="Consolas" w:hAnsi="Consolas"/>
        </w:rPr>
      </w:pPr>
    </w:p>
    <w:p w14:paraId="38625537" w14:textId="77777777" w:rsidR="002B4483" w:rsidRPr="002B4483" w:rsidRDefault="002B4483" w:rsidP="00453C51">
      <w:pPr>
        <w:jc w:val="both"/>
        <w:rPr>
          <w:rFonts w:ascii="Consolas" w:hAnsi="Consolas"/>
        </w:rPr>
      </w:pPr>
    </w:p>
    <w:sectPr w:rsidR="002B4483" w:rsidRPr="002B4483" w:rsidSect="00636C3E">
      <w:footerReference w:type="default" r:id="rId2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LACK Maribeth" w:date="2017-12-06T09:12:00Z" w:initials="MB">
    <w:p w14:paraId="67608CE1" w14:textId="76AE7BA9" w:rsidR="00527EED" w:rsidRDefault="00527EED">
      <w:pPr>
        <w:pStyle w:val="CommentText"/>
      </w:pPr>
      <w:r>
        <w:rPr>
          <w:rStyle w:val="CommentReference"/>
        </w:rPr>
        <w:annotationRef/>
      </w:r>
      <w:r>
        <w:t xml:space="preserve">Would you want to ad something about gender bias in terms of who can talk on the phone? Or does that not apply for Mozambique you think? </w:t>
      </w:r>
    </w:p>
  </w:comment>
  <w:comment w:id="2" w:author="BLACK Maribeth" w:date="2017-12-06T09:59:00Z" w:initials="MB">
    <w:p w14:paraId="79F3A907" w14:textId="51223866" w:rsidR="00527EED" w:rsidRDefault="00527EED">
      <w:pPr>
        <w:pStyle w:val="CommentText"/>
      </w:pPr>
      <w:r>
        <w:rPr>
          <w:rStyle w:val="CommentReference"/>
        </w:rPr>
        <w:annotationRef/>
      </w:r>
      <w:r>
        <w:t xml:space="preserve">I think this title could be a tiny bit clearer, as here you’re talking about the distribution of scores, right?  </w:t>
      </w:r>
    </w:p>
  </w:comment>
  <w:comment w:id="3" w:author="BLACK Maribeth" w:date="2017-12-06T10:04:00Z" w:initials="MB">
    <w:p w14:paraId="5ED6953D" w14:textId="33B7923F" w:rsidR="00C4793E" w:rsidRDefault="00C4793E">
      <w:pPr>
        <w:pStyle w:val="CommentText"/>
      </w:pPr>
      <w:r>
        <w:rPr>
          <w:rStyle w:val="CommentReference"/>
        </w:rPr>
        <w:annotationRef/>
      </w:r>
      <w:r>
        <w:t xml:space="preserve">Why is there a 1 here if there’s no footnote. Please revise or add citation. </w:t>
      </w:r>
    </w:p>
  </w:comment>
  <w:comment w:id="4" w:author="HACHHETHU Kusum" w:date="2017-11-23T10:31:00Z" w:initials="KH">
    <w:p w14:paraId="3A79AD29" w14:textId="77777777" w:rsidR="00527EED" w:rsidRDefault="00527EED">
      <w:pPr>
        <w:pStyle w:val="CommentText"/>
      </w:pPr>
      <w:r>
        <w:rPr>
          <w:rStyle w:val="CommentReference"/>
        </w:rPr>
        <w:annotationRef/>
      </w:r>
      <w:r>
        <w:t xml:space="preserve">Suggest keeping this as a footnote </w:t>
      </w:r>
    </w:p>
  </w:comment>
  <w:comment w:id="5" w:author="RICHES Lorenzo" w:date="2017-12-04T17:01:00Z" w:initials="LR">
    <w:p w14:paraId="2AC83B49" w14:textId="32567C68" w:rsidR="00527EED" w:rsidRDefault="00527EED">
      <w:pPr>
        <w:pStyle w:val="CommentText"/>
      </w:pPr>
      <w:r>
        <w:rPr>
          <w:rStyle w:val="CommentReference"/>
        </w:rPr>
        <w:annotationRef/>
      </w:r>
      <w:r>
        <w:t>But then we would have to write it anyway in the text to explain why we chose that 33% thing.</w:t>
      </w:r>
    </w:p>
  </w:comment>
  <w:comment w:id="6" w:author="BLACK Maribeth" w:date="2017-12-06T10:04:00Z" w:initials="MB">
    <w:p w14:paraId="79BC43B8" w14:textId="025EED89" w:rsidR="00617831" w:rsidRDefault="00617831">
      <w:pPr>
        <w:pStyle w:val="CommentText"/>
      </w:pPr>
      <w:r>
        <w:rPr>
          <w:rStyle w:val="CommentReference"/>
        </w:rPr>
        <w:annotationRef/>
      </w:r>
      <w:r>
        <w:t xml:space="preserve">Fine to leave it as is but still add a citation/footnote please. </w:t>
      </w:r>
    </w:p>
  </w:comment>
  <w:comment w:id="7" w:author="BLACK Maribeth" w:date="2017-12-06T10:13:00Z" w:initials="MB">
    <w:p w14:paraId="5339A2C0" w14:textId="78875772" w:rsidR="00A734A5" w:rsidRDefault="00A734A5">
      <w:pPr>
        <w:pStyle w:val="CommentText"/>
      </w:pPr>
      <w:r>
        <w:rPr>
          <w:rStyle w:val="CommentReference"/>
        </w:rPr>
        <w:annotationRef/>
      </w:r>
      <w:r>
        <w:t xml:space="preserve">Is it responses or response? Please double check. </w:t>
      </w:r>
    </w:p>
  </w:comment>
  <w:comment w:id="8" w:author="RICHES Lorenzo" w:date="2017-12-04T17:27:00Z" w:initials="LR">
    <w:p w14:paraId="63AA8D4B" w14:textId="37B2DF13" w:rsidR="00527EED" w:rsidRDefault="00527EED">
      <w:pPr>
        <w:pStyle w:val="CommentText"/>
      </w:pPr>
      <w:r>
        <w:rPr>
          <w:rStyle w:val="CommentReference"/>
        </w:rPr>
        <w:annotationRef/>
      </w:r>
      <w:r>
        <w:t>Reference?</w:t>
      </w:r>
    </w:p>
  </w:comment>
  <w:comment w:id="9" w:author="BLACK Maribeth" w:date="2017-12-06T10:14:00Z" w:initials="MB">
    <w:p w14:paraId="00F6E59A" w14:textId="44082162" w:rsidR="00C57EB4" w:rsidRDefault="00C57EB4">
      <w:pPr>
        <w:pStyle w:val="CommentText"/>
      </w:pPr>
      <w:r>
        <w:rPr>
          <w:rStyle w:val="CommentReference"/>
        </w:rPr>
        <w:annotationRef/>
      </w:r>
      <w:r>
        <w:t xml:space="preserve">Good catch. Please do add a reference here Silvia. </w:t>
      </w:r>
      <w:r w:rsidR="008F0BA5">
        <w:t xml:space="preserve">Otherwise, you might want to consider deleting the final two sentences of this paragraph. </w:t>
      </w:r>
    </w:p>
  </w:comment>
  <w:comment w:id="11" w:author="PASSERI Silvia" w:date="2017-07-11T16:59:00Z" w:initials="SP">
    <w:p w14:paraId="25787E74" w14:textId="77777777" w:rsidR="00527EED" w:rsidRDefault="00527EED" w:rsidP="00ED0E90">
      <w:pPr>
        <w:pStyle w:val="CommentText"/>
      </w:pPr>
      <w:r>
        <w:rPr>
          <w:rStyle w:val="CommentReference"/>
        </w:rPr>
        <w:annotationRef/>
      </w:r>
      <w:r>
        <w:t>Check the title with Kusum.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608CE1" w15:done="0"/>
  <w15:commentEx w15:paraId="79F3A907" w15:done="0"/>
  <w15:commentEx w15:paraId="5ED6953D" w15:done="0"/>
  <w15:commentEx w15:paraId="3A79AD29" w15:done="0"/>
  <w15:commentEx w15:paraId="2AC83B49" w15:paraIdParent="3A79AD29" w15:done="0"/>
  <w15:commentEx w15:paraId="79BC43B8" w15:paraIdParent="3A79AD29" w15:done="0"/>
  <w15:commentEx w15:paraId="5339A2C0" w15:done="0"/>
  <w15:commentEx w15:paraId="63AA8D4B" w15:done="0"/>
  <w15:commentEx w15:paraId="00F6E59A" w15:paraIdParent="63AA8D4B" w15:done="0"/>
  <w15:commentEx w15:paraId="25787E7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11444" w14:textId="77777777" w:rsidR="004037DB" w:rsidRDefault="004037DB" w:rsidP="00C815F8">
      <w:pPr>
        <w:spacing w:after="0" w:line="240" w:lineRule="auto"/>
      </w:pPr>
      <w:r>
        <w:separator/>
      </w:r>
    </w:p>
  </w:endnote>
  <w:endnote w:type="continuationSeparator" w:id="0">
    <w:p w14:paraId="58B5B079" w14:textId="77777777" w:rsidR="004037DB" w:rsidRDefault="004037DB" w:rsidP="00C8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2905665"/>
      <w:docPartObj>
        <w:docPartGallery w:val="Page Numbers (Bottom of Page)"/>
        <w:docPartUnique/>
      </w:docPartObj>
    </w:sdtPr>
    <w:sdtEndPr>
      <w:rPr>
        <w:noProof/>
      </w:rPr>
    </w:sdtEndPr>
    <w:sdtContent>
      <w:p w14:paraId="6B409590" w14:textId="10D4AF01" w:rsidR="00527EED" w:rsidRDefault="00527EED">
        <w:pPr>
          <w:pStyle w:val="Footer"/>
          <w:jc w:val="center"/>
        </w:pPr>
        <w:r>
          <w:fldChar w:fldCharType="begin"/>
        </w:r>
        <w:r>
          <w:instrText xml:space="preserve"> PAGE   \* MERGEFORMAT </w:instrText>
        </w:r>
        <w:r>
          <w:fldChar w:fldCharType="separate"/>
        </w:r>
        <w:r w:rsidR="00F035A2">
          <w:rPr>
            <w:noProof/>
          </w:rPr>
          <w:t>2</w:t>
        </w:r>
        <w:r>
          <w:rPr>
            <w:noProof/>
          </w:rPr>
          <w:fldChar w:fldCharType="end"/>
        </w:r>
      </w:p>
    </w:sdtContent>
  </w:sdt>
  <w:p w14:paraId="608602BA" w14:textId="77777777" w:rsidR="00527EED" w:rsidRDefault="00527E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5E032" w14:textId="77777777" w:rsidR="004037DB" w:rsidRDefault="004037DB" w:rsidP="00C815F8">
      <w:pPr>
        <w:spacing w:after="0" w:line="240" w:lineRule="auto"/>
      </w:pPr>
      <w:r>
        <w:separator/>
      </w:r>
    </w:p>
  </w:footnote>
  <w:footnote w:type="continuationSeparator" w:id="0">
    <w:p w14:paraId="251D1358" w14:textId="77777777" w:rsidR="004037DB" w:rsidRDefault="004037DB" w:rsidP="00C815F8">
      <w:pPr>
        <w:spacing w:after="0" w:line="240" w:lineRule="auto"/>
      </w:pPr>
      <w:r>
        <w:continuationSeparator/>
      </w:r>
    </w:p>
  </w:footnote>
  <w:footnote w:id="1">
    <w:p w14:paraId="70C8D853" w14:textId="77777777" w:rsidR="00527EED" w:rsidRPr="005D38ED" w:rsidRDefault="00527EED" w:rsidP="00431FB9">
      <w:pPr>
        <w:jc w:val="both"/>
      </w:pPr>
      <w:r>
        <w:rPr>
          <w:rStyle w:val="FootnoteReference"/>
        </w:rPr>
        <w:footnoteRef/>
      </w:r>
      <w:r>
        <w:t xml:space="preserve"> </w:t>
      </w:r>
      <w:r>
        <w:rPr>
          <w:rFonts w:cs="Calibri"/>
          <w:color w:val="000000"/>
        </w:rPr>
        <w:t xml:space="preserve">The SETSAN survey </w:t>
      </w:r>
      <w:r w:rsidRPr="004243C1">
        <w:rPr>
          <w:bCs/>
        </w:rPr>
        <w:t>use</w:t>
      </w:r>
      <w:r>
        <w:rPr>
          <w:bCs/>
        </w:rPr>
        <w:t>d</w:t>
      </w:r>
      <w:r w:rsidRPr="004243C1">
        <w:rPr>
          <w:bCs/>
        </w:rPr>
        <w:t xml:space="preserve"> list-based approach to collect the HDDS indicator</w:t>
      </w:r>
      <w:r w:rsidRPr="00B655D5">
        <w:rPr>
          <w:rFonts w:cs="Calibri"/>
          <w:color w:val="000000"/>
        </w:rPr>
        <w:t xml:space="preserve">. </w:t>
      </w:r>
    </w:p>
    <w:p w14:paraId="641FE8F4" w14:textId="77777777" w:rsidR="00527EED" w:rsidRDefault="00527EED" w:rsidP="00431FB9">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460C6"/>
    <w:multiLevelType w:val="multilevel"/>
    <w:tmpl w:val="A07C35D6"/>
    <w:lvl w:ilvl="0">
      <w:start w:val="1"/>
      <w:numFmt w:val="decimal"/>
      <w:lvlText w:val="%1."/>
      <w:lvlJc w:val="left"/>
      <w:pPr>
        <w:ind w:left="720" w:firstLine="1800"/>
      </w:pPr>
      <w:rPr>
        <w:sz w:val="22"/>
        <w:szCs w:val="22"/>
      </w:rPr>
    </w:lvl>
    <w:lvl w:ilvl="1">
      <w:start w:val="1"/>
      <w:numFmt w:val="lowerLetter"/>
      <w:lvlText w:val="%2."/>
      <w:lvlJc w:val="left"/>
      <w:pPr>
        <w:ind w:left="1440" w:firstLine="3960"/>
      </w:pPr>
    </w:lvl>
    <w:lvl w:ilvl="2">
      <w:start w:val="1"/>
      <w:numFmt w:val="lowerRoman"/>
      <w:lvlText w:val="%3."/>
      <w:lvlJc w:val="right"/>
      <w:pPr>
        <w:ind w:left="2160" w:firstLine="6300"/>
      </w:pPr>
    </w:lvl>
    <w:lvl w:ilvl="3">
      <w:start w:val="1"/>
      <w:numFmt w:val="decimal"/>
      <w:lvlText w:val="%4."/>
      <w:lvlJc w:val="left"/>
      <w:pPr>
        <w:ind w:left="2880" w:firstLine="8280"/>
      </w:pPr>
    </w:lvl>
    <w:lvl w:ilvl="4">
      <w:start w:val="1"/>
      <w:numFmt w:val="lowerLetter"/>
      <w:lvlText w:val="%5."/>
      <w:lvlJc w:val="left"/>
      <w:pPr>
        <w:ind w:left="3600" w:firstLine="10440"/>
      </w:pPr>
    </w:lvl>
    <w:lvl w:ilvl="5">
      <w:start w:val="1"/>
      <w:numFmt w:val="lowerRoman"/>
      <w:lvlText w:val="%6."/>
      <w:lvlJc w:val="right"/>
      <w:pPr>
        <w:ind w:left="4320" w:firstLine="12780"/>
      </w:pPr>
    </w:lvl>
    <w:lvl w:ilvl="6">
      <w:start w:val="1"/>
      <w:numFmt w:val="decimal"/>
      <w:lvlText w:val="%7."/>
      <w:lvlJc w:val="left"/>
      <w:pPr>
        <w:ind w:left="5040" w:firstLine="14760"/>
      </w:pPr>
    </w:lvl>
    <w:lvl w:ilvl="7">
      <w:start w:val="1"/>
      <w:numFmt w:val="lowerLetter"/>
      <w:lvlText w:val="%8."/>
      <w:lvlJc w:val="left"/>
      <w:pPr>
        <w:ind w:left="5760" w:firstLine="16920"/>
      </w:pPr>
    </w:lvl>
    <w:lvl w:ilvl="8">
      <w:start w:val="1"/>
      <w:numFmt w:val="lowerRoman"/>
      <w:lvlText w:val="%9."/>
      <w:lvlJc w:val="right"/>
      <w:pPr>
        <w:ind w:left="6480" w:firstLine="19260"/>
      </w:pPr>
    </w:lvl>
  </w:abstractNum>
  <w:abstractNum w:abstractNumId="1" w15:restartNumberingAfterBreak="0">
    <w:nsid w:val="13AA0E7E"/>
    <w:multiLevelType w:val="multilevel"/>
    <w:tmpl w:val="77C2F22E"/>
    <w:lvl w:ilvl="0">
      <w:start w:val="6"/>
      <w:numFmt w:val="decimal"/>
      <w:lvlText w:val="%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0756C88"/>
    <w:multiLevelType w:val="hybridMultilevel"/>
    <w:tmpl w:val="DE4A7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71203B"/>
    <w:multiLevelType w:val="hybridMultilevel"/>
    <w:tmpl w:val="5546E64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F797C76"/>
    <w:multiLevelType w:val="hybridMultilevel"/>
    <w:tmpl w:val="610C9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D018A9"/>
    <w:multiLevelType w:val="hybridMultilevel"/>
    <w:tmpl w:val="8F08C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A160DF"/>
    <w:multiLevelType w:val="hybridMultilevel"/>
    <w:tmpl w:val="5372B322"/>
    <w:lvl w:ilvl="0" w:tplc="A7CCE178">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68712A"/>
    <w:multiLevelType w:val="hybridMultilevel"/>
    <w:tmpl w:val="EBD28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302499"/>
    <w:multiLevelType w:val="hybridMultilevel"/>
    <w:tmpl w:val="6F6C12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65733160"/>
    <w:multiLevelType w:val="hybridMultilevel"/>
    <w:tmpl w:val="0D584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C6457E"/>
    <w:multiLevelType w:val="hybridMultilevel"/>
    <w:tmpl w:val="13ECC6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7"/>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
  </w:num>
  <w:num w:numId="9">
    <w:abstractNumId w:val="6"/>
  </w:num>
  <w:num w:numId="10">
    <w:abstractNumId w:val="9"/>
  </w:num>
  <w:num w:numId="11">
    <w:abstractNumId w:val="3"/>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LACK Maribeth">
    <w15:presenceInfo w15:providerId="AD" w15:userId="S-1-5-21-185866794-2674911608-285463921-100931"/>
  </w15:person>
  <w15:person w15:author="HACHHETHU Kusum">
    <w15:presenceInfo w15:providerId="AD" w15:userId="S-1-5-21-185866794-2674911608-285463921-137427"/>
  </w15:person>
  <w15:person w15:author="RICHES Lorenzo">
    <w15:presenceInfo w15:providerId="AD" w15:userId="S-1-5-21-185866794-2674911608-285463921-172600"/>
  </w15:person>
  <w15:person w15:author="PASSERI Silvia">
    <w15:presenceInfo w15:providerId="AD" w15:userId="S-1-5-21-185866794-2674911608-285463921-772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BF7"/>
    <w:rsid w:val="00004A25"/>
    <w:rsid w:val="00004D25"/>
    <w:rsid w:val="00005569"/>
    <w:rsid w:val="00012F03"/>
    <w:rsid w:val="0001577A"/>
    <w:rsid w:val="00017ADC"/>
    <w:rsid w:val="00021033"/>
    <w:rsid w:val="00021B4A"/>
    <w:rsid w:val="00022A11"/>
    <w:rsid w:val="00023764"/>
    <w:rsid w:val="00024B7B"/>
    <w:rsid w:val="000251CC"/>
    <w:rsid w:val="0002661E"/>
    <w:rsid w:val="000328B9"/>
    <w:rsid w:val="0004047F"/>
    <w:rsid w:val="00042B27"/>
    <w:rsid w:val="00043E32"/>
    <w:rsid w:val="00045AB8"/>
    <w:rsid w:val="000460FB"/>
    <w:rsid w:val="000607DF"/>
    <w:rsid w:val="000704C2"/>
    <w:rsid w:val="00071A01"/>
    <w:rsid w:val="00073F36"/>
    <w:rsid w:val="000907C6"/>
    <w:rsid w:val="00091C63"/>
    <w:rsid w:val="00095ED9"/>
    <w:rsid w:val="000B2698"/>
    <w:rsid w:val="000B46BF"/>
    <w:rsid w:val="000B4E78"/>
    <w:rsid w:val="000B7B66"/>
    <w:rsid w:val="000C424C"/>
    <w:rsid w:val="000D223E"/>
    <w:rsid w:val="000D2A6C"/>
    <w:rsid w:val="000D614A"/>
    <w:rsid w:val="000D782C"/>
    <w:rsid w:val="000E38BD"/>
    <w:rsid w:val="000E38E9"/>
    <w:rsid w:val="000F26D8"/>
    <w:rsid w:val="00100732"/>
    <w:rsid w:val="0010178F"/>
    <w:rsid w:val="00105B75"/>
    <w:rsid w:val="001068CA"/>
    <w:rsid w:val="00106B81"/>
    <w:rsid w:val="001076B9"/>
    <w:rsid w:val="00113CEE"/>
    <w:rsid w:val="00116012"/>
    <w:rsid w:val="00120BA5"/>
    <w:rsid w:val="0012382D"/>
    <w:rsid w:val="00127CE2"/>
    <w:rsid w:val="00134CD3"/>
    <w:rsid w:val="00143CB4"/>
    <w:rsid w:val="00151300"/>
    <w:rsid w:val="00151EFD"/>
    <w:rsid w:val="00154652"/>
    <w:rsid w:val="00156CB8"/>
    <w:rsid w:val="001612D7"/>
    <w:rsid w:val="0016137B"/>
    <w:rsid w:val="001622FE"/>
    <w:rsid w:val="0016417F"/>
    <w:rsid w:val="00171878"/>
    <w:rsid w:val="0017374D"/>
    <w:rsid w:val="00175436"/>
    <w:rsid w:val="00176D43"/>
    <w:rsid w:val="00177CFD"/>
    <w:rsid w:val="001806FD"/>
    <w:rsid w:val="0018210F"/>
    <w:rsid w:val="00193AE2"/>
    <w:rsid w:val="00197A34"/>
    <w:rsid w:val="001A13EB"/>
    <w:rsid w:val="001A20E6"/>
    <w:rsid w:val="001A2C62"/>
    <w:rsid w:val="001A4D31"/>
    <w:rsid w:val="001A4FB6"/>
    <w:rsid w:val="001B49B2"/>
    <w:rsid w:val="001C616D"/>
    <w:rsid w:val="001C6438"/>
    <w:rsid w:val="001D0BB4"/>
    <w:rsid w:val="001D1374"/>
    <w:rsid w:val="001D43EC"/>
    <w:rsid w:val="001E0E8B"/>
    <w:rsid w:val="001E20FC"/>
    <w:rsid w:val="001E4B18"/>
    <w:rsid w:val="001E5B9E"/>
    <w:rsid w:val="001E5E86"/>
    <w:rsid w:val="00203345"/>
    <w:rsid w:val="00221189"/>
    <w:rsid w:val="0022453F"/>
    <w:rsid w:val="00227E83"/>
    <w:rsid w:val="0023345C"/>
    <w:rsid w:val="00242DC0"/>
    <w:rsid w:val="00245B4A"/>
    <w:rsid w:val="00251272"/>
    <w:rsid w:val="002527BB"/>
    <w:rsid w:val="00255BC6"/>
    <w:rsid w:val="00260D59"/>
    <w:rsid w:val="00262418"/>
    <w:rsid w:val="00262738"/>
    <w:rsid w:val="002672A6"/>
    <w:rsid w:val="00271912"/>
    <w:rsid w:val="002728F4"/>
    <w:rsid w:val="00274743"/>
    <w:rsid w:val="00276A13"/>
    <w:rsid w:val="00292B8D"/>
    <w:rsid w:val="002A6845"/>
    <w:rsid w:val="002B4483"/>
    <w:rsid w:val="002C0F7D"/>
    <w:rsid w:val="002C1822"/>
    <w:rsid w:val="002C60D8"/>
    <w:rsid w:val="002C6218"/>
    <w:rsid w:val="002D1444"/>
    <w:rsid w:val="002E15C9"/>
    <w:rsid w:val="002F7120"/>
    <w:rsid w:val="00302821"/>
    <w:rsid w:val="003035B6"/>
    <w:rsid w:val="00304FB4"/>
    <w:rsid w:val="003109AE"/>
    <w:rsid w:val="00314B75"/>
    <w:rsid w:val="0031665E"/>
    <w:rsid w:val="0031708C"/>
    <w:rsid w:val="0032360A"/>
    <w:rsid w:val="003241B2"/>
    <w:rsid w:val="00324B75"/>
    <w:rsid w:val="00331390"/>
    <w:rsid w:val="003327B5"/>
    <w:rsid w:val="0033450C"/>
    <w:rsid w:val="003402AE"/>
    <w:rsid w:val="0035593F"/>
    <w:rsid w:val="00356ABE"/>
    <w:rsid w:val="00364DA9"/>
    <w:rsid w:val="00370E76"/>
    <w:rsid w:val="0037305B"/>
    <w:rsid w:val="00373FB8"/>
    <w:rsid w:val="0037489D"/>
    <w:rsid w:val="00384461"/>
    <w:rsid w:val="00385CA3"/>
    <w:rsid w:val="0038607C"/>
    <w:rsid w:val="003A0DB9"/>
    <w:rsid w:val="003A5849"/>
    <w:rsid w:val="003A6C78"/>
    <w:rsid w:val="003C1FB3"/>
    <w:rsid w:val="003C27AB"/>
    <w:rsid w:val="003C4FAD"/>
    <w:rsid w:val="003C6EC2"/>
    <w:rsid w:val="003D0EE3"/>
    <w:rsid w:val="003D60DF"/>
    <w:rsid w:val="003D7ABE"/>
    <w:rsid w:val="003E366E"/>
    <w:rsid w:val="003E510C"/>
    <w:rsid w:val="003F252F"/>
    <w:rsid w:val="003F2B48"/>
    <w:rsid w:val="003F49A6"/>
    <w:rsid w:val="003F5F61"/>
    <w:rsid w:val="003F6FB5"/>
    <w:rsid w:val="004037DB"/>
    <w:rsid w:val="00410991"/>
    <w:rsid w:val="004228C8"/>
    <w:rsid w:val="004232F6"/>
    <w:rsid w:val="004243C1"/>
    <w:rsid w:val="00431FB9"/>
    <w:rsid w:val="00433636"/>
    <w:rsid w:val="00433A3D"/>
    <w:rsid w:val="004367A1"/>
    <w:rsid w:val="00436AF5"/>
    <w:rsid w:val="00447778"/>
    <w:rsid w:val="00453142"/>
    <w:rsid w:val="00453C51"/>
    <w:rsid w:val="004543AF"/>
    <w:rsid w:val="00457D2F"/>
    <w:rsid w:val="00461951"/>
    <w:rsid w:val="0046674A"/>
    <w:rsid w:val="004725D5"/>
    <w:rsid w:val="004730FA"/>
    <w:rsid w:val="0048210F"/>
    <w:rsid w:val="00484D94"/>
    <w:rsid w:val="00490411"/>
    <w:rsid w:val="00492AEB"/>
    <w:rsid w:val="00493AEF"/>
    <w:rsid w:val="004A263C"/>
    <w:rsid w:val="004A4487"/>
    <w:rsid w:val="004B2AD7"/>
    <w:rsid w:val="004B7A63"/>
    <w:rsid w:val="004C0F3A"/>
    <w:rsid w:val="004C53E7"/>
    <w:rsid w:val="004C5CC2"/>
    <w:rsid w:val="004D0B6B"/>
    <w:rsid w:val="004D2612"/>
    <w:rsid w:val="004D4A0B"/>
    <w:rsid w:val="004E057D"/>
    <w:rsid w:val="004E175C"/>
    <w:rsid w:val="00500F73"/>
    <w:rsid w:val="005030F2"/>
    <w:rsid w:val="0051362F"/>
    <w:rsid w:val="00527EED"/>
    <w:rsid w:val="005304A7"/>
    <w:rsid w:val="005359AF"/>
    <w:rsid w:val="00542E65"/>
    <w:rsid w:val="00543EA2"/>
    <w:rsid w:val="005456BA"/>
    <w:rsid w:val="00547AE4"/>
    <w:rsid w:val="00555EA0"/>
    <w:rsid w:val="00556331"/>
    <w:rsid w:val="00566E1D"/>
    <w:rsid w:val="00585566"/>
    <w:rsid w:val="0058568F"/>
    <w:rsid w:val="00590295"/>
    <w:rsid w:val="00590F5E"/>
    <w:rsid w:val="00592080"/>
    <w:rsid w:val="00594BE4"/>
    <w:rsid w:val="00596561"/>
    <w:rsid w:val="005A5FD3"/>
    <w:rsid w:val="005B1227"/>
    <w:rsid w:val="005B47A2"/>
    <w:rsid w:val="005B5316"/>
    <w:rsid w:val="005C05C3"/>
    <w:rsid w:val="005C2DAB"/>
    <w:rsid w:val="005C5D22"/>
    <w:rsid w:val="005C70AC"/>
    <w:rsid w:val="005C7867"/>
    <w:rsid w:val="005C7E7F"/>
    <w:rsid w:val="005D38ED"/>
    <w:rsid w:val="005E137E"/>
    <w:rsid w:val="005E389B"/>
    <w:rsid w:val="005E4109"/>
    <w:rsid w:val="005F4488"/>
    <w:rsid w:val="006051D2"/>
    <w:rsid w:val="00607451"/>
    <w:rsid w:val="00612C32"/>
    <w:rsid w:val="00617831"/>
    <w:rsid w:val="006224A6"/>
    <w:rsid w:val="00622CD9"/>
    <w:rsid w:val="00630F6A"/>
    <w:rsid w:val="00635109"/>
    <w:rsid w:val="00636C3E"/>
    <w:rsid w:val="00641AC3"/>
    <w:rsid w:val="00647A72"/>
    <w:rsid w:val="006513E5"/>
    <w:rsid w:val="00655AC6"/>
    <w:rsid w:val="006561E8"/>
    <w:rsid w:val="006725A0"/>
    <w:rsid w:val="00673B56"/>
    <w:rsid w:val="00674D05"/>
    <w:rsid w:val="00685CC3"/>
    <w:rsid w:val="00687403"/>
    <w:rsid w:val="00690C80"/>
    <w:rsid w:val="00693FFA"/>
    <w:rsid w:val="006A17DB"/>
    <w:rsid w:val="006A5290"/>
    <w:rsid w:val="006A629F"/>
    <w:rsid w:val="006A6A5D"/>
    <w:rsid w:val="006B49F0"/>
    <w:rsid w:val="006B6D82"/>
    <w:rsid w:val="006B7F0C"/>
    <w:rsid w:val="006C144F"/>
    <w:rsid w:val="006C3D06"/>
    <w:rsid w:val="006D2B1B"/>
    <w:rsid w:val="006D7AD8"/>
    <w:rsid w:val="006E1C1C"/>
    <w:rsid w:val="006E236A"/>
    <w:rsid w:val="006E69F9"/>
    <w:rsid w:val="006F32ED"/>
    <w:rsid w:val="007015DA"/>
    <w:rsid w:val="007039AE"/>
    <w:rsid w:val="00703C8F"/>
    <w:rsid w:val="00711D9B"/>
    <w:rsid w:val="00713051"/>
    <w:rsid w:val="00725117"/>
    <w:rsid w:val="00725C6F"/>
    <w:rsid w:val="00737294"/>
    <w:rsid w:val="007553A5"/>
    <w:rsid w:val="007579DD"/>
    <w:rsid w:val="00757C0F"/>
    <w:rsid w:val="00770000"/>
    <w:rsid w:val="00770A6A"/>
    <w:rsid w:val="00772170"/>
    <w:rsid w:val="00777C92"/>
    <w:rsid w:val="007809FE"/>
    <w:rsid w:val="0078335C"/>
    <w:rsid w:val="00786A01"/>
    <w:rsid w:val="00791585"/>
    <w:rsid w:val="00795AC7"/>
    <w:rsid w:val="00795B69"/>
    <w:rsid w:val="007A21D1"/>
    <w:rsid w:val="007A29A9"/>
    <w:rsid w:val="007A500F"/>
    <w:rsid w:val="007C016A"/>
    <w:rsid w:val="007C46E3"/>
    <w:rsid w:val="007C4C1B"/>
    <w:rsid w:val="007C68DE"/>
    <w:rsid w:val="007C7C8A"/>
    <w:rsid w:val="007D3A88"/>
    <w:rsid w:val="007D709F"/>
    <w:rsid w:val="007E0A28"/>
    <w:rsid w:val="007E4551"/>
    <w:rsid w:val="007E54CE"/>
    <w:rsid w:val="007E5D1D"/>
    <w:rsid w:val="007F679E"/>
    <w:rsid w:val="008038AB"/>
    <w:rsid w:val="00805712"/>
    <w:rsid w:val="008060FB"/>
    <w:rsid w:val="008112D6"/>
    <w:rsid w:val="0081183D"/>
    <w:rsid w:val="008154F5"/>
    <w:rsid w:val="00816A99"/>
    <w:rsid w:val="00816CC8"/>
    <w:rsid w:val="00821F73"/>
    <w:rsid w:val="008303F6"/>
    <w:rsid w:val="0084255E"/>
    <w:rsid w:val="008435B5"/>
    <w:rsid w:val="00852F71"/>
    <w:rsid w:val="008547F2"/>
    <w:rsid w:val="00855A1B"/>
    <w:rsid w:val="00871216"/>
    <w:rsid w:val="00872039"/>
    <w:rsid w:val="008721C4"/>
    <w:rsid w:val="00875065"/>
    <w:rsid w:val="00875E28"/>
    <w:rsid w:val="008A0413"/>
    <w:rsid w:val="008A6889"/>
    <w:rsid w:val="008A6F2F"/>
    <w:rsid w:val="008C40C8"/>
    <w:rsid w:val="008D39DD"/>
    <w:rsid w:val="008D3D42"/>
    <w:rsid w:val="008D3DA4"/>
    <w:rsid w:val="008D4BF7"/>
    <w:rsid w:val="008E32D9"/>
    <w:rsid w:val="008F0BA5"/>
    <w:rsid w:val="008F5773"/>
    <w:rsid w:val="009002CA"/>
    <w:rsid w:val="00900EFE"/>
    <w:rsid w:val="009024CE"/>
    <w:rsid w:val="009126DA"/>
    <w:rsid w:val="00913DD0"/>
    <w:rsid w:val="0092290D"/>
    <w:rsid w:val="009235FB"/>
    <w:rsid w:val="009239E9"/>
    <w:rsid w:val="00935F51"/>
    <w:rsid w:val="009454BA"/>
    <w:rsid w:val="00951D4F"/>
    <w:rsid w:val="00954716"/>
    <w:rsid w:val="00956433"/>
    <w:rsid w:val="00957F30"/>
    <w:rsid w:val="00962F1D"/>
    <w:rsid w:val="00970EC2"/>
    <w:rsid w:val="00977A33"/>
    <w:rsid w:val="00981FF1"/>
    <w:rsid w:val="00986277"/>
    <w:rsid w:val="00987FB5"/>
    <w:rsid w:val="00991EF9"/>
    <w:rsid w:val="009959BA"/>
    <w:rsid w:val="009A6517"/>
    <w:rsid w:val="009C13BC"/>
    <w:rsid w:val="009C16B6"/>
    <w:rsid w:val="009C2CC8"/>
    <w:rsid w:val="009C7848"/>
    <w:rsid w:val="009D0897"/>
    <w:rsid w:val="009D0AC4"/>
    <w:rsid w:val="009D4BDB"/>
    <w:rsid w:val="009E3BC7"/>
    <w:rsid w:val="009F396A"/>
    <w:rsid w:val="009F5A87"/>
    <w:rsid w:val="009F5E52"/>
    <w:rsid w:val="00A2024B"/>
    <w:rsid w:val="00A206F1"/>
    <w:rsid w:val="00A23A49"/>
    <w:rsid w:val="00A26EE3"/>
    <w:rsid w:val="00A30371"/>
    <w:rsid w:val="00A308DC"/>
    <w:rsid w:val="00A33326"/>
    <w:rsid w:val="00A3471F"/>
    <w:rsid w:val="00A467B0"/>
    <w:rsid w:val="00A55D45"/>
    <w:rsid w:val="00A62F8E"/>
    <w:rsid w:val="00A6403E"/>
    <w:rsid w:val="00A6712F"/>
    <w:rsid w:val="00A734A5"/>
    <w:rsid w:val="00A75F93"/>
    <w:rsid w:val="00A80602"/>
    <w:rsid w:val="00A93610"/>
    <w:rsid w:val="00AA655F"/>
    <w:rsid w:val="00AB1AFD"/>
    <w:rsid w:val="00AB4877"/>
    <w:rsid w:val="00AC2E8A"/>
    <w:rsid w:val="00AC2F19"/>
    <w:rsid w:val="00AC40D3"/>
    <w:rsid w:val="00AC5B9B"/>
    <w:rsid w:val="00AC672C"/>
    <w:rsid w:val="00AE0B54"/>
    <w:rsid w:val="00AF1DB6"/>
    <w:rsid w:val="00B05954"/>
    <w:rsid w:val="00B125BF"/>
    <w:rsid w:val="00B2154A"/>
    <w:rsid w:val="00B21BF5"/>
    <w:rsid w:val="00B24840"/>
    <w:rsid w:val="00B2518A"/>
    <w:rsid w:val="00B31A01"/>
    <w:rsid w:val="00B34923"/>
    <w:rsid w:val="00B37E79"/>
    <w:rsid w:val="00B42012"/>
    <w:rsid w:val="00B513E0"/>
    <w:rsid w:val="00B52ACD"/>
    <w:rsid w:val="00B55E24"/>
    <w:rsid w:val="00B60DD5"/>
    <w:rsid w:val="00B630B7"/>
    <w:rsid w:val="00B6464E"/>
    <w:rsid w:val="00B655D5"/>
    <w:rsid w:val="00B7054C"/>
    <w:rsid w:val="00B70664"/>
    <w:rsid w:val="00B91F05"/>
    <w:rsid w:val="00B93000"/>
    <w:rsid w:val="00B933B8"/>
    <w:rsid w:val="00B979BC"/>
    <w:rsid w:val="00BA52AE"/>
    <w:rsid w:val="00BB3FB3"/>
    <w:rsid w:val="00BB46E1"/>
    <w:rsid w:val="00BB7343"/>
    <w:rsid w:val="00BF610E"/>
    <w:rsid w:val="00C06302"/>
    <w:rsid w:val="00C123E8"/>
    <w:rsid w:val="00C21BA7"/>
    <w:rsid w:val="00C26FC2"/>
    <w:rsid w:val="00C46B15"/>
    <w:rsid w:val="00C4793E"/>
    <w:rsid w:val="00C5081D"/>
    <w:rsid w:val="00C569B5"/>
    <w:rsid w:val="00C57468"/>
    <w:rsid w:val="00C57EB4"/>
    <w:rsid w:val="00C62712"/>
    <w:rsid w:val="00C64EA5"/>
    <w:rsid w:val="00C70693"/>
    <w:rsid w:val="00C76375"/>
    <w:rsid w:val="00C815F8"/>
    <w:rsid w:val="00C84521"/>
    <w:rsid w:val="00C849B1"/>
    <w:rsid w:val="00C876B1"/>
    <w:rsid w:val="00C9100A"/>
    <w:rsid w:val="00C91C1A"/>
    <w:rsid w:val="00C93867"/>
    <w:rsid w:val="00CA30F5"/>
    <w:rsid w:val="00CA3310"/>
    <w:rsid w:val="00CB0764"/>
    <w:rsid w:val="00CB2963"/>
    <w:rsid w:val="00CC0D93"/>
    <w:rsid w:val="00CC19CF"/>
    <w:rsid w:val="00CC3FB7"/>
    <w:rsid w:val="00CD61FF"/>
    <w:rsid w:val="00CD6AA2"/>
    <w:rsid w:val="00CE4ECA"/>
    <w:rsid w:val="00CE7632"/>
    <w:rsid w:val="00CF2378"/>
    <w:rsid w:val="00CF47CB"/>
    <w:rsid w:val="00CF6CB7"/>
    <w:rsid w:val="00CF7848"/>
    <w:rsid w:val="00D013F0"/>
    <w:rsid w:val="00D01FAC"/>
    <w:rsid w:val="00D12D31"/>
    <w:rsid w:val="00D24825"/>
    <w:rsid w:val="00D27BBF"/>
    <w:rsid w:val="00D37781"/>
    <w:rsid w:val="00D418DC"/>
    <w:rsid w:val="00D42778"/>
    <w:rsid w:val="00D46900"/>
    <w:rsid w:val="00D51921"/>
    <w:rsid w:val="00D52BA7"/>
    <w:rsid w:val="00D6291A"/>
    <w:rsid w:val="00D70E83"/>
    <w:rsid w:val="00D813AF"/>
    <w:rsid w:val="00D81EC7"/>
    <w:rsid w:val="00D90033"/>
    <w:rsid w:val="00D900DD"/>
    <w:rsid w:val="00D92309"/>
    <w:rsid w:val="00D93311"/>
    <w:rsid w:val="00D94AB7"/>
    <w:rsid w:val="00DA606A"/>
    <w:rsid w:val="00DB614B"/>
    <w:rsid w:val="00DB77B1"/>
    <w:rsid w:val="00DB789A"/>
    <w:rsid w:val="00DC251D"/>
    <w:rsid w:val="00DC296C"/>
    <w:rsid w:val="00DC460E"/>
    <w:rsid w:val="00DD26CA"/>
    <w:rsid w:val="00DD460F"/>
    <w:rsid w:val="00DD7B8A"/>
    <w:rsid w:val="00DE0B7A"/>
    <w:rsid w:val="00DE2280"/>
    <w:rsid w:val="00DF2EEE"/>
    <w:rsid w:val="00E01949"/>
    <w:rsid w:val="00E02B57"/>
    <w:rsid w:val="00E038D0"/>
    <w:rsid w:val="00E04808"/>
    <w:rsid w:val="00E05345"/>
    <w:rsid w:val="00E24992"/>
    <w:rsid w:val="00E272CD"/>
    <w:rsid w:val="00E3537A"/>
    <w:rsid w:val="00E35D14"/>
    <w:rsid w:val="00E36021"/>
    <w:rsid w:val="00E37FC5"/>
    <w:rsid w:val="00E43032"/>
    <w:rsid w:val="00E56B43"/>
    <w:rsid w:val="00E6177A"/>
    <w:rsid w:val="00E6746B"/>
    <w:rsid w:val="00E67820"/>
    <w:rsid w:val="00E70958"/>
    <w:rsid w:val="00E71012"/>
    <w:rsid w:val="00E71EEF"/>
    <w:rsid w:val="00E72F21"/>
    <w:rsid w:val="00EA3297"/>
    <w:rsid w:val="00EA3963"/>
    <w:rsid w:val="00EA42FF"/>
    <w:rsid w:val="00EA760E"/>
    <w:rsid w:val="00EB0F6F"/>
    <w:rsid w:val="00EB68CA"/>
    <w:rsid w:val="00EB7894"/>
    <w:rsid w:val="00ED0E90"/>
    <w:rsid w:val="00ED1F41"/>
    <w:rsid w:val="00ED2533"/>
    <w:rsid w:val="00ED72AA"/>
    <w:rsid w:val="00ED7968"/>
    <w:rsid w:val="00EE5079"/>
    <w:rsid w:val="00EF2C4D"/>
    <w:rsid w:val="00F035A2"/>
    <w:rsid w:val="00F05FA4"/>
    <w:rsid w:val="00F06E06"/>
    <w:rsid w:val="00F206F7"/>
    <w:rsid w:val="00F215C0"/>
    <w:rsid w:val="00F23A95"/>
    <w:rsid w:val="00F267FA"/>
    <w:rsid w:val="00F3162D"/>
    <w:rsid w:val="00F328AC"/>
    <w:rsid w:val="00F34D74"/>
    <w:rsid w:val="00F3630B"/>
    <w:rsid w:val="00F41859"/>
    <w:rsid w:val="00F418EB"/>
    <w:rsid w:val="00F4651E"/>
    <w:rsid w:val="00F46EFF"/>
    <w:rsid w:val="00F65331"/>
    <w:rsid w:val="00F71B29"/>
    <w:rsid w:val="00F7475C"/>
    <w:rsid w:val="00F75310"/>
    <w:rsid w:val="00F75536"/>
    <w:rsid w:val="00F77005"/>
    <w:rsid w:val="00F85537"/>
    <w:rsid w:val="00F85AB5"/>
    <w:rsid w:val="00F86A17"/>
    <w:rsid w:val="00F913D7"/>
    <w:rsid w:val="00FA6068"/>
    <w:rsid w:val="00FB0DCA"/>
    <w:rsid w:val="00FB15C2"/>
    <w:rsid w:val="00FB3FBA"/>
    <w:rsid w:val="00FD08F4"/>
    <w:rsid w:val="00FD64CC"/>
    <w:rsid w:val="00FE0130"/>
    <w:rsid w:val="00FF3D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923A"/>
  <w15:chartTrackingRefBased/>
  <w15:docId w15:val="{851CF65B-7216-4532-9794-A49C0EDB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5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64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2F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53142"/>
    <w:pPr>
      <w:numPr>
        <w:numId w:val="9"/>
      </w:numPr>
      <w:spacing w:after="0" w:line="240" w:lineRule="auto"/>
    </w:pPr>
    <w:rPr>
      <w:rFonts w:cs="Times New Roman"/>
      <w:color w:val="000000"/>
      <w:lang w:val="en-GB" w:eastAsia="en-GB"/>
    </w:rPr>
  </w:style>
  <w:style w:type="paragraph" w:styleId="HTMLPreformatted">
    <w:name w:val="HTML Preformatted"/>
    <w:basedOn w:val="Normal"/>
    <w:link w:val="HTMLPreformattedChar"/>
    <w:uiPriority w:val="99"/>
    <w:semiHidden/>
    <w:unhideWhenUsed/>
    <w:rsid w:val="007E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7E5D1D"/>
    <w:rPr>
      <w:rFonts w:ascii="Courier New" w:hAnsi="Courier New" w:cs="Courier New"/>
      <w:sz w:val="20"/>
      <w:szCs w:val="20"/>
      <w:lang w:val="en-GB" w:eastAsia="en-GB"/>
    </w:rPr>
  </w:style>
  <w:style w:type="paragraph" w:customStyle="1" w:styleId="Default">
    <w:name w:val="Default"/>
    <w:rsid w:val="007E5D1D"/>
    <w:pPr>
      <w:autoSpaceDE w:val="0"/>
      <w:autoSpaceDN w:val="0"/>
      <w:adjustRightInd w:val="0"/>
      <w:spacing w:after="0" w:line="240" w:lineRule="auto"/>
    </w:pPr>
    <w:rPr>
      <w:rFonts w:ascii="Times New Roman" w:hAnsi="Times New Roman" w:cs="Times New Roman"/>
      <w:color w:val="000000"/>
      <w:sz w:val="24"/>
      <w:szCs w:val="24"/>
      <w:lang w:val="en-GB"/>
    </w:rPr>
  </w:style>
  <w:style w:type="paragraph" w:customStyle="1" w:styleId="Pa41">
    <w:name w:val="Pa41"/>
    <w:basedOn w:val="Default"/>
    <w:next w:val="Default"/>
    <w:uiPriority w:val="99"/>
    <w:rsid w:val="007E5D1D"/>
    <w:pPr>
      <w:spacing w:line="251" w:lineRule="atLeast"/>
    </w:pPr>
    <w:rPr>
      <w:rFonts w:ascii="Calibri" w:hAnsi="Calibri" w:cstheme="minorBidi"/>
      <w:color w:val="auto"/>
    </w:rPr>
  </w:style>
  <w:style w:type="paragraph" w:customStyle="1" w:styleId="Pa8">
    <w:name w:val="Pa8"/>
    <w:basedOn w:val="Default"/>
    <w:next w:val="Default"/>
    <w:uiPriority w:val="99"/>
    <w:rsid w:val="007E5D1D"/>
    <w:pPr>
      <w:spacing w:line="221" w:lineRule="atLeast"/>
    </w:pPr>
    <w:rPr>
      <w:rFonts w:ascii="Calibri" w:hAnsi="Calibri" w:cstheme="minorBidi"/>
      <w:color w:val="auto"/>
    </w:rPr>
  </w:style>
  <w:style w:type="paragraph" w:styleId="CommentText">
    <w:name w:val="annotation text"/>
    <w:basedOn w:val="Normal"/>
    <w:link w:val="CommentTextChar"/>
    <w:uiPriority w:val="99"/>
    <w:unhideWhenUsed/>
    <w:rsid w:val="007E5D1D"/>
    <w:pPr>
      <w:widowControl w:val="0"/>
      <w:spacing w:after="0" w:line="240" w:lineRule="auto"/>
    </w:pPr>
    <w:rPr>
      <w:rFonts w:ascii="Calibri" w:eastAsia="Calibri" w:hAnsi="Calibri" w:cs="Calibri"/>
      <w:color w:val="000000"/>
      <w:sz w:val="24"/>
      <w:szCs w:val="24"/>
    </w:rPr>
  </w:style>
  <w:style w:type="character" w:customStyle="1" w:styleId="CommentTextChar">
    <w:name w:val="Comment Text Char"/>
    <w:basedOn w:val="DefaultParagraphFont"/>
    <w:link w:val="CommentText"/>
    <w:uiPriority w:val="99"/>
    <w:rsid w:val="007E5D1D"/>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7E5D1D"/>
    <w:rPr>
      <w:sz w:val="18"/>
      <w:szCs w:val="18"/>
    </w:rPr>
  </w:style>
  <w:style w:type="paragraph" w:styleId="BalloonText">
    <w:name w:val="Balloon Text"/>
    <w:basedOn w:val="Normal"/>
    <w:link w:val="BalloonTextChar"/>
    <w:uiPriority w:val="99"/>
    <w:semiHidden/>
    <w:unhideWhenUsed/>
    <w:rsid w:val="007E5D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D1D"/>
    <w:rPr>
      <w:rFonts w:ascii="Segoe UI" w:hAnsi="Segoe UI" w:cs="Segoe UI"/>
      <w:sz w:val="18"/>
      <w:szCs w:val="18"/>
    </w:rPr>
  </w:style>
  <w:style w:type="paragraph" w:styleId="Header">
    <w:name w:val="header"/>
    <w:basedOn w:val="Normal"/>
    <w:link w:val="HeaderChar"/>
    <w:uiPriority w:val="99"/>
    <w:unhideWhenUsed/>
    <w:rsid w:val="00C815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5F8"/>
  </w:style>
  <w:style w:type="paragraph" w:styleId="Footer">
    <w:name w:val="footer"/>
    <w:basedOn w:val="Normal"/>
    <w:link w:val="FooterChar"/>
    <w:uiPriority w:val="99"/>
    <w:unhideWhenUsed/>
    <w:rsid w:val="00C815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5F8"/>
  </w:style>
  <w:style w:type="paragraph" w:styleId="CommentSubject">
    <w:name w:val="annotation subject"/>
    <w:basedOn w:val="CommentText"/>
    <w:next w:val="CommentText"/>
    <w:link w:val="CommentSubjectChar"/>
    <w:uiPriority w:val="99"/>
    <w:semiHidden/>
    <w:unhideWhenUsed/>
    <w:rsid w:val="00635109"/>
    <w:pPr>
      <w:widowControl/>
      <w:spacing w:after="160"/>
    </w:pPr>
    <w:rPr>
      <w:rFonts w:asciiTheme="minorHAnsi" w:eastAsiaTheme="minorHAnsi" w:hAnsiTheme="minorHAnsi" w:cstheme="minorBidi"/>
      <w:b/>
      <w:bCs/>
      <w:color w:val="auto"/>
      <w:sz w:val="20"/>
      <w:szCs w:val="20"/>
    </w:rPr>
  </w:style>
  <w:style w:type="character" w:customStyle="1" w:styleId="CommentSubjectChar">
    <w:name w:val="Comment Subject Char"/>
    <w:basedOn w:val="CommentTextChar"/>
    <w:link w:val="CommentSubject"/>
    <w:uiPriority w:val="99"/>
    <w:semiHidden/>
    <w:rsid w:val="00635109"/>
    <w:rPr>
      <w:rFonts w:ascii="Calibri" w:eastAsia="Calibri" w:hAnsi="Calibri" w:cs="Calibri"/>
      <w:b/>
      <w:bCs/>
      <w:color w:val="000000"/>
      <w:sz w:val="20"/>
      <w:szCs w:val="20"/>
    </w:rPr>
  </w:style>
  <w:style w:type="character" w:styleId="IntenseEmphasis">
    <w:name w:val="Intense Emphasis"/>
    <w:basedOn w:val="DefaultParagraphFont"/>
    <w:uiPriority w:val="21"/>
    <w:qFormat/>
    <w:rsid w:val="00CF47CB"/>
    <w:rPr>
      <w:i/>
      <w:iCs/>
      <w:color w:val="5B9BD5" w:themeColor="accent1"/>
    </w:rPr>
  </w:style>
  <w:style w:type="character" w:styleId="Emphasis">
    <w:name w:val="Emphasis"/>
    <w:basedOn w:val="DefaultParagraphFont"/>
    <w:uiPriority w:val="20"/>
    <w:qFormat/>
    <w:rsid w:val="006C3D06"/>
    <w:rPr>
      <w:i/>
      <w:iCs/>
    </w:rPr>
  </w:style>
  <w:style w:type="character" w:customStyle="1" w:styleId="Heading2Char">
    <w:name w:val="Heading 2 Char"/>
    <w:basedOn w:val="DefaultParagraphFont"/>
    <w:link w:val="Heading2"/>
    <w:uiPriority w:val="9"/>
    <w:rsid w:val="00FD64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52F71"/>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A684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3A5849"/>
    <w:rPr>
      <w:rFonts w:asciiTheme="majorHAnsi" w:eastAsiaTheme="majorEastAsia" w:hAnsiTheme="majorHAnsi" w:cstheme="majorBidi"/>
      <w:color w:val="2E74B5" w:themeColor="accent1" w:themeShade="BF"/>
      <w:sz w:val="32"/>
      <w:szCs w:val="32"/>
    </w:rPr>
  </w:style>
  <w:style w:type="character" w:styleId="SubtleReference">
    <w:name w:val="Subtle Reference"/>
    <w:basedOn w:val="DefaultParagraphFont"/>
    <w:uiPriority w:val="31"/>
    <w:qFormat/>
    <w:rsid w:val="00585566"/>
    <w:rPr>
      <w:smallCaps/>
      <w:color w:val="5A5A5A" w:themeColor="text1" w:themeTint="A5"/>
    </w:rPr>
  </w:style>
  <w:style w:type="paragraph" w:styleId="Quote">
    <w:name w:val="Quote"/>
    <w:basedOn w:val="Normal"/>
    <w:next w:val="Normal"/>
    <w:link w:val="QuoteChar"/>
    <w:uiPriority w:val="29"/>
    <w:qFormat/>
    <w:rsid w:val="005855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5566"/>
    <w:rPr>
      <w:i/>
      <w:iCs/>
      <w:color w:val="404040" w:themeColor="text1" w:themeTint="BF"/>
    </w:rPr>
  </w:style>
  <w:style w:type="paragraph" w:styleId="FootnoteText">
    <w:name w:val="footnote text"/>
    <w:basedOn w:val="Normal"/>
    <w:link w:val="FootnoteTextChar"/>
    <w:uiPriority w:val="99"/>
    <w:semiHidden/>
    <w:unhideWhenUsed/>
    <w:rsid w:val="00CA30F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0F5"/>
    <w:rPr>
      <w:sz w:val="20"/>
      <w:szCs w:val="20"/>
    </w:rPr>
  </w:style>
  <w:style w:type="character" w:styleId="FootnoteReference">
    <w:name w:val="footnote reference"/>
    <w:basedOn w:val="DefaultParagraphFont"/>
    <w:uiPriority w:val="99"/>
    <w:semiHidden/>
    <w:unhideWhenUsed/>
    <w:rsid w:val="00CA30F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5196">
      <w:bodyDiv w:val="1"/>
      <w:marLeft w:val="0"/>
      <w:marRight w:val="0"/>
      <w:marTop w:val="0"/>
      <w:marBottom w:val="0"/>
      <w:divBdr>
        <w:top w:val="none" w:sz="0" w:space="0" w:color="auto"/>
        <w:left w:val="none" w:sz="0" w:space="0" w:color="auto"/>
        <w:bottom w:val="none" w:sz="0" w:space="0" w:color="auto"/>
        <w:right w:val="none" w:sz="0" w:space="0" w:color="auto"/>
      </w:divBdr>
    </w:div>
    <w:div w:id="159660028">
      <w:bodyDiv w:val="1"/>
      <w:marLeft w:val="0"/>
      <w:marRight w:val="0"/>
      <w:marTop w:val="0"/>
      <w:marBottom w:val="0"/>
      <w:divBdr>
        <w:top w:val="none" w:sz="0" w:space="0" w:color="auto"/>
        <w:left w:val="none" w:sz="0" w:space="0" w:color="auto"/>
        <w:bottom w:val="none" w:sz="0" w:space="0" w:color="auto"/>
        <w:right w:val="none" w:sz="0" w:space="0" w:color="auto"/>
      </w:divBdr>
    </w:div>
    <w:div w:id="352338523">
      <w:bodyDiv w:val="1"/>
      <w:marLeft w:val="0"/>
      <w:marRight w:val="0"/>
      <w:marTop w:val="0"/>
      <w:marBottom w:val="0"/>
      <w:divBdr>
        <w:top w:val="none" w:sz="0" w:space="0" w:color="auto"/>
        <w:left w:val="none" w:sz="0" w:space="0" w:color="auto"/>
        <w:bottom w:val="none" w:sz="0" w:space="0" w:color="auto"/>
        <w:right w:val="none" w:sz="0" w:space="0" w:color="auto"/>
      </w:divBdr>
    </w:div>
    <w:div w:id="449323395">
      <w:bodyDiv w:val="1"/>
      <w:marLeft w:val="0"/>
      <w:marRight w:val="0"/>
      <w:marTop w:val="0"/>
      <w:marBottom w:val="0"/>
      <w:divBdr>
        <w:top w:val="none" w:sz="0" w:space="0" w:color="auto"/>
        <w:left w:val="none" w:sz="0" w:space="0" w:color="auto"/>
        <w:bottom w:val="none" w:sz="0" w:space="0" w:color="auto"/>
        <w:right w:val="none" w:sz="0" w:space="0" w:color="auto"/>
      </w:divBdr>
    </w:div>
    <w:div w:id="467280208">
      <w:bodyDiv w:val="1"/>
      <w:marLeft w:val="0"/>
      <w:marRight w:val="0"/>
      <w:marTop w:val="0"/>
      <w:marBottom w:val="0"/>
      <w:divBdr>
        <w:top w:val="none" w:sz="0" w:space="0" w:color="auto"/>
        <w:left w:val="none" w:sz="0" w:space="0" w:color="auto"/>
        <w:bottom w:val="none" w:sz="0" w:space="0" w:color="auto"/>
        <w:right w:val="none" w:sz="0" w:space="0" w:color="auto"/>
      </w:divBdr>
    </w:div>
    <w:div w:id="554968618">
      <w:bodyDiv w:val="1"/>
      <w:marLeft w:val="0"/>
      <w:marRight w:val="0"/>
      <w:marTop w:val="0"/>
      <w:marBottom w:val="0"/>
      <w:divBdr>
        <w:top w:val="none" w:sz="0" w:space="0" w:color="auto"/>
        <w:left w:val="none" w:sz="0" w:space="0" w:color="auto"/>
        <w:bottom w:val="none" w:sz="0" w:space="0" w:color="auto"/>
        <w:right w:val="none" w:sz="0" w:space="0" w:color="auto"/>
      </w:divBdr>
    </w:div>
    <w:div w:id="703217591">
      <w:bodyDiv w:val="1"/>
      <w:marLeft w:val="0"/>
      <w:marRight w:val="0"/>
      <w:marTop w:val="0"/>
      <w:marBottom w:val="0"/>
      <w:divBdr>
        <w:top w:val="none" w:sz="0" w:space="0" w:color="auto"/>
        <w:left w:val="none" w:sz="0" w:space="0" w:color="auto"/>
        <w:bottom w:val="none" w:sz="0" w:space="0" w:color="auto"/>
        <w:right w:val="none" w:sz="0" w:space="0" w:color="auto"/>
      </w:divBdr>
    </w:div>
    <w:div w:id="794833477">
      <w:bodyDiv w:val="1"/>
      <w:marLeft w:val="0"/>
      <w:marRight w:val="0"/>
      <w:marTop w:val="0"/>
      <w:marBottom w:val="0"/>
      <w:divBdr>
        <w:top w:val="none" w:sz="0" w:space="0" w:color="auto"/>
        <w:left w:val="none" w:sz="0" w:space="0" w:color="auto"/>
        <w:bottom w:val="none" w:sz="0" w:space="0" w:color="auto"/>
        <w:right w:val="none" w:sz="0" w:space="0" w:color="auto"/>
      </w:divBdr>
    </w:div>
    <w:div w:id="847450620">
      <w:bodyDiv w:val="1"/>
      <w:marLeft w:val="0"/>
      <w:marRight w:val="0"/>
      <w:marTop w:val="0"/>
      <w:marBottom w:val="0"/>
      <w:divBdr>
        <w:top w:val="none" w:sz="0" w:space="0" w:color="auto"/>
        <w:left w:val="none" w:sz="0" w:space="0" w:color="auto"/>
        <w:bottom w:val="none" w:sz="0" w:space="0" w:color="auto"/>
        <w:right w:val="none" w:sz="0" w:space="0" w:color="auto"/>
      </w:divBdr>
      <w:divsChild>
        <w:div w:id="425925408">
          <w:marLeft w:val="0"/>
          <w:marRight w:val="0"/>
          <w:marTop w:val="0"/>
          <w:marBottom w:val="0"/>
          <w:divBdr>
            <w:top w:val="none" w:sz="0" w:space="0" w:color="auto"/>
            <w:left w:val="none" w:sz="0" w:space="0" w:color="auto"/>
            <w:bottom w:val="none" w:sz="0" w:space="0" w:color="auto"/>
            <w:right w:val="none" w:sz="0" w:space="0" w:color="auto"/>
          </w:divBdr>
        </w:div>
        <w:div w:id="977416885">
          <w:marLeft w:val="0"/>
          <w:marRight w:val="0"/>
          <w:marTop w:val="0"/>
          <w:marBottom w:val="0"/>
          <w:divBdr>
            <w:top w:val="none" w:sz="0" w:space="0" w:color="auto"/>
            <w:left w:val="none" w:sz="0" w:space="0" w:color="auto"/>
            <w:bottom w:val="none" w:sz="0" w:space="0" w:color="auto"/>
            <w:right w:val="none" w:sz="0" w:space="0" w:color="auto"/>
          </w:divBdr>
        </w:div>
        <w:div w:id="1614046253">
          <w:marLeft w:val="0"/>
          <w:marRight w:val="0"/>
          <w:marTop w:val="0"/>
          <w:marBottom w:val="0"/>
          <w:divBdr>
            <w:top w:val="none" w:sz="0" w:space="0" w:color="auto"/>
            <w:left w:val="none" w:sz="0" w:space="0" w:color="auto"/>
            <w:bottom w:val="none" w:sz="0" w:space="0" w:color="auto"/>
            <w:right w:val="none" w:sz="0" w:space="0" w:color="auto"/>
          </w:divBdr>
        </w:div>
        <w:div w:id="1147816315">
          <w:marLeft w:val="0"/>
          <w:marRight w:val="0"/>
          <w:marTop w:val="0"/>
          <w:marBottom w:val="0"/>
          <w:divBdr>
            <w:top w:val="none" w:sz="0" w:space="0" w:color="auto"/>
            <w:left w:val="none" w:sz="0" w:space="0" w:color="auto"/>
            <w:bottom w:val="none" w:sz="0" w:space="0" w:color="auto"/>
            <w:right w:val="none" w:sz="0" w:space="0" w:color="auto"/>
          </w:divBdr>
        </w:div>
        <w:div w:id="148836319">
          <w:marLeft w:val="0"/>
          <w:marRight w:val="0"/>
          <w:marTop w:val="0"/>
          <w:marBottom w:val="0"/>
          <w:divBdr>
            <w:top w:val="none" w:sz="0" w:space="0" w:color="auto"/>
            <w:left w:val="none" w:sz="0" w:space="0" w:color="auto"/>
            <w:bottom w:val="none" w:sz="0" w:space="0" w:color="auto"/>
            <w:right w:val="none" w:sz="0" w:space="0" w:color="auto"/>
          </w:divBdr>
        </w:div>
        <w:div w:id="1667971947">
          <w:marLeft w:val="0"/>
          <w:marRight w:val="0"/>
          <w:marTop w:val="0"/>
          <w:marBottom w:val="0"/>
          <w:divBdr>
            <w:top w:val="none" w:sz="0" w:space="0" w:color="auto"/>
            <w:left w:val="none" w:sz="0" w:space="0" w:color="auto"/>
            <w:bottom w:val="none" w:sz="0" w:space="0" w:color="auto"/>
            <w:right w:val="none" w:sz="0" w:space="0" w:color="auto"/>
          </w:divBdr>
        </w:div>
        <w:div w:id="488525084">
          <w:marLeft w:val="0"/>
          <w:marRight w:val="0"/>
          <w:marTop w:val="0"/>
          <w:marBottom w:val="0"/>
          <w:divBdr>
            <w:top w:val="none" w:sz="0" w:space="0" w:color="auto"/>
            <w:left w:val="none" w:sz="0" w:space="0" w:color="auto"/>
            <w:bottom w:val="none" w:sz="0" w:space="0" w:color="auto"/>
            <w:right w:val="none" w:sz="0" w:space="0" w:color="auto"/>
          </w:divBdr>
        </w:div>
        <w:div w:id="1173764025">
          <w:marLeft w:val="0"/>
          <w:marRight w:val="0"/>
          <w:marTop w:val="0"/>
          <w:marBottom w:val="0"/>
          <w:divBdr>
            <w:top w:val="none" w:sz="0" w:space="0" w:color="auto"/>
            <w:left w:val="none" w:sz="0" w:space="0" w:color="auto"/>
            <w:bottom w:val="none" w:sz="0" w:space="0" w:color="auto"/>
            <w:right w:val="none" w:sz="0" w:space="0" w:color="auto"/>
          </w:divBdr>
        </w:div>
        <w:div w:id="1359434081">
          <w:marLeft w:val="0"/>
          <w:marRight w:val="0"/>
          <w:marTop w:val="0"/>
          <w:marBottom w:val="0"/>
          <w:divBdr>
            <w:top w:val="none" w:sz="0" w:space="0" w:color="auto"/>
            <w:left w:val="none" w:sz="0" w:space="0" w:color="auto"/>
            <w:bottom w:val="none" w:sz="0" w:space="0" w:color="auto"/>
            <w:right w:val="none" w:sz="0" w:space="0" w:color="auto"/>
          </w:divBdr>
        </w:div>
        <w:div w:id="693655799">
          <w:marLeft w:val="0"/>
          <w:marRight w:val="0"/>
          <w:marTop w:val="0"/>
          <w:marBottom w:val="0"/>
          <w:divBdr>
            <w:top w:val="none" w:sz="0" w:space="0" w:color="auto"/>
            <w:left w:val="none" w:sz="0" w:space="0" w:color="auto"/>
            <w:bottom w:val="none" w:sz="0" w:space="0" w:color="auto"/>
            <w:right w:val="none" w:sz="0" w:space="0" w:color="auto"/>
          </w:divBdr>
        </w:div>
        <w:div w:id="682434610">
          <w:marLeft w:val="0"/>
          <w:marRight w:val="0"/>
          <w:marTop w:val="0"/>
          <w:marBottom w:val="0"/>
          <w:divBdr>
            <w:top w:val="none" w:sz="0" w:space="0" w:color="auto"/>
            <w:left w:val="none" w:sz="0" w:space="0" w:color="auto"/>
            <w:bottom w:val="none" w:sz="0" w:space="0" w:color="auto"/>
            <w:right w:val="none" w:sz="0" w:space="0" w:color="auto"/>
          </w:divBdr>
        </w:div>
        <w:div w:id="1101561157">
          <w:marLeft w:val="0"/>
          <w:marRight w:val="0"/>
          <w:marTop w:val="0"/>
          <w:marBottom w:val="0"/>
          <w:divBdr>
            <w:top w:val="none" w:sz="0" w:space="0" w:color="auto"/>
            <w:left w:val="none" w:sz="0" w:space="0" w:color="auto"/>
            <w:bottom w:val="none" w:sz="0" w:space="0" w:color="auto"/>
            <w:right w:val="none" w:sz="0" w:space="0" w:color="auto"/>
          </w:divBdr>
        </w:div>
        <w:div w:id="1865706643">
          <w:marLeft w:val="0"/>
          <w:marRight w:val="0"/>
          <w:marTop w:val="0"/>
          <w:marBottom w:val="0"/>
          <w:divBdr>
            <w:top w:val="none" w:sz="0" w:space="0" w:color="auto"/>
            <w:left w:val="none" w:sz="0" w:space="0" w:color="auto"/>
            <w:bottom w:val="none" w:sz="0" w:space="0" w:color="auto"/>
            <w:right w:val="none" w:sz="0" w:space="0" w:color="auto"/>
          </w:divBdr>
        </w:div>
        <w:div w:id="2130005880">
          <w:marLeft w:val="0"/>
          <w:marRight w:val="0"/>
          <w:marTop w:val="0"/>
          <w:marBottom w:val="0"/>
          <w:divBdr>
            <w:top w:val="none" w:sz="0" w:space="0" w:color="auto"/>
            <w:left w:val="none" w:sz="0" w:space="0" w:color="auto"/>
            <w:bottom w:val="none" w:sz="0" w:space="0" w:color="auto"/>
            <w:right w:val="none" w:sz="0" w:space="0" w:color="auto"/>
          </w:divBdr>
        </w:div>
        <w:div w:id="1308241731">
          <w:marLeft w:val="0"/>
          <w:marRight w:val="0"/>
          <w:marTop w:val="0"/>
          <w:marBottom w:val="0"/>
          <w:divBdr>
            <w:top w:val="none" w:sz="0" w:space="0" w:color="auto"/>
            <w:left w:val="none" w:sz="0" w:space="0" w:color="auto"/>
            <w:bottom w:val="none" w:sz="0" w:space="0" w:color="auto"/>
            <w:right w:val="none" w:sz="0" w:space="0" w:color="auto"/>
          </w:divBdr>
        </w:div>
      </w:divsChild>
    </w:div>
    <w:div w:id="894854990">
      <w:bodyDiv w:val="1"/>
      <w:marLeft w:val="0"/>
      <w:marRight w:val="0"/>
      <w:marTop w:val="0"/>
      <w:marBottom w:val="0"/>
      <w:divBdr>
        <w:top w:val="none" w:sz="0" w:space="0" w:color="auto"/>
        <w:left w:val="none" w:sz="0" w:space="0" w:color="auto"/>
        <w:bottom w:val="none" w:sz="0" w:space="0" w:color="auto"/>
        <w:right w:val="none" w:sz="0" w:space="0" w:color="auto"/>
      </w:divBdr>
    </w:div>
    <w:div w:id="908538184">
      <w:bodyDiv w:val="1"/>
      <w:marLeft w:val="0"/>
      <w:marRight w:val="0"/>
      <w:marTop w:val="0"/>
      <w:marBottom w:val="0"/>
      <w:divBdr>
        <w:top w:val="none" w:sz="0" w:space="0" w:color="auto"/>
        <w:left w:val="none" w:sz="0" w:space="0" w:color="auto"/>
        <w:bottom w:val="none" w:sz="0" w:space="0" w:color="auto"/>
        <w:right w:val="none" w:sz="0" w:space="0" w:color="auto"/>
      </w:divBdr>
    </w:div>
    <w:div w:id="917177940">
      <w:bodyDiv w:val="1"/>
      <w:marLeft w:val="0"/>
      <w:marRight w:val="0"/>
      <w:marTop w:val="0"/>
      <w:marBottom w:val="0"/>
      <w:divBdr>
        <w:top w:val="none" w:sz="0" w:space="0" w:color="auto"/>
        <w:left w:val="none" w:sz="0" w:space="0" w:color="auto"/>
        <w:bottom w:val="none" w:sz="0" w:space="0" w:color="auto"/>
        <w:right w:val="none" w:sz="0" w:space="0" w:color="auto"/>
      </w:divBdr>
      <w:divsChild>
        <w:div w:id="214660557">
          <w:marLeft w:val="0"/>
          <w:marRight w:val="0"/>
          <w:marTop w:val="0"/>
          <w:marBottom w:val="0"/>
          <w:divBdr>
            <w:top w:val="none" w:sz="0" w:space="0" w:color="auto"/>
            <w:left w:val="none" w:sz="0" w:space="0" w:color="auto"/>
            <w:bottom w:val="none" w:sz="0" w:space="0" w:color="auto"/>
            <w:right w:val="none" w:sz="0" w:space="0" w:color="auto"/>
          </w:divBdr>
        </w:div>
        <w:div w:id="1791775087">
          <w:marLeft w:val="0"/>
          <w:marRight w:val="0"/>
          <w:marTop w:val="0"/>
          <w:marBottom w:val="0"/>
          <w:divBdr>
            <w:top w:val="none" w:sz="0" w:space="0" w:color="auto"/>
            <w:left w:val="none" w:sz="0" w:space="0" w:color="auto"/>
            <w:bottom w:val="none" w:sz="0" w:space="0" w:color="auto"/>
            <w:right w:val="none" w:sz="0" w:space="0" w:color="auto"/>
          </w:divBdr>
        </w:div>
      </w:divsChild>
    </w:div>
    <w:div w:id="1010838683">
      <w:bodyDiv w:val="1"/>
      <w:marLeft w:val="0"/>
      <w:marRight w:val="0"/>
      <w:marTop w:val="0"/>
      <w:marBottom w:val="0"/>
      <w:divBdr>
        <w:top w:val="none" w:sz="0" w:space="0" w:color="auto"/>
        <w:left w:val="none" w:sz="0" w:space="0" w:color="auto"/>
        <w:bottom w:val="none" w:sz="0" w:space="0" w:color="auto"/>
        <w:right w:val="none" w:sz="0" w:space="0" w:color="auto"/>
      </w:divBdr>
    </w:div>
    <w:div w:id="1015962773">
      <w:bodyDiv w:val="1"/>
      <w:marLeft w:val="0"/>
      <w:marRight w:val="0"/>
      <w:marTop w:val="0"/>
      <w:marBottom w:val="0"/>
      <w:divBdr>
        <w:top w:val="none" w:sz="0" w:space="0" w:color="auto"/>
        <w:left w:val="none" w:sz="0" w:space="0" w:color="auto"/>
        <w:bottom w:val="none" w:sz="0" w:space="0" w:color="auto"/>
        <w:right w:val="none" w:sz="0" w:space="0" w:color="auto"/>
      </w:divBdr>
    </w:div>
    <w:div w:id="1043871640">
      <w:bodyDiv w:val="1"/>
      <w:marLeft w:val="0"/>
      <w:marRight w:val="0"/>
      <w:marTop w:val="0"/>
      <w:marBottom w:val="0"/>
      <w:divBdr>
        <w:top w:val="none" w:sz="0" w:space="0" w:color="auto"/>
        <w:left w:val="none" w:sz="0" w:space="0" w:color="auto"/>
        <w:bottom w:val="none" w:sz="0" w:space="0" w:color="auto"/>
        <w:right w:val="none" w:sz="0" w:space="0" w:color="auto"/>
      </w:divBdr>
    </w:div>
    <w:div w:id="1131704378">
      <w:bodyDiv w:val="1"/>
      <w:marLeft w:val="0"/>
      <w:marRight w:val="0"/>
      <w:marTop w:val="0"/>
      <w:marBottom w:val="0"/>
      <w:divBdr>
        <w:top w:val="none" w:sz="0" w:space="0" w:color="auto"/>
        <w:left w:val="none" w:sz="0" w:space="0" w:color="auto"/>
        <w:bottom w:val="none" w:sz="0" w:space="0" w:color="auto"/>
        <w:right w:val="none" w:sz="0" w:space="0" w:color="auto"/>
      </w:divBdr>
    </w:div>
    <w:div w:id="1191148127">
      <w:bodyDiv w:val="1"/>
      <w:marLeft w:val="0"/>
      <w:marRight w:val="0"/>
      <w:marTop w:val="0"/>
      <w:marBottom w:val="0"/>
      <w:divBdr>
        <w:top w:val="none" w:sz="0" w:space="0" w:color="auto"/>
        <w:left w:val="none" w:sz="0" w:space="0" w:color="auto"/>
        <w:bottom w:val="none" w:sz="0" w:space="0" w:color="auto"/>
        <w:right w:val="none" w:sz="0" w:space="0" w:color="auto"/>
      </w:divBdr>
    </w:div>
    <w:div w:id="1310786603">
      <w:bodyDiv w:val="1"/>
      <w:marLeft w:val="0"/>
      <w:marRight w:val="0"/>
      <w:marTop w:val="0"/>
      <w:marBottom w:val="0"/>
      <w:divBdr>
        <w:top w:val="none" w:sz="0" w:space="0" w:color="auto"/>
        <w:left w:val="none" w:sz="0" w:space="0" w:color="auto"/>
        <w:bottom w:val="none" w:sz="0" w:space="0" w:color="auto"/>
        <w:right w:val="none" w:sz="0" w:space="0" w:color="auto"/>
      </w:divBdr>
    </w:div>
    <w:div w:id="1321344202">
      <w:bodyDiv w:val="1"/>
      <w:marLeft w:val="0"/>
      <w:marRight w:val="0"/>
      <w:marTop w:val="0"/>
      <w:marBottom w:val="0"/>
      <w:divBdr>
        <w:top w:val="none" w:sz="0" w:space="0" w:color="auto"/>
        <w:left w:val="none" w:sz="0" w:space="0" w:color="auto"/>
        <w:bottom w:val="none" w:sz="0" w:space="0" w:color="auto"/>
        <w:right w:val="none" w:sz="0" w:space="0" w:color="auto"/>
      </w:divBdr>
    </w:div>
    <w:div w:id="1432623150">
      <w:bodyDiv w:val="1"/>
      <w:marLeft w:val="0"/>
      <w:marRight w:val="0"/>
      <w:marTop w:val="0"/>
      <w:marBottom w:val="0"/>
      <w:divBdr>
        <w:top w:val="none" w:sz="0" w:space="0" w:color="auto"/>
        <w:left w:val="none" w:sz="0" w:space="0" w:color="auto"/>
        <w:bottom w:val="none" w:sz="0" w:space="0" w:color="auto"/>
        <w:right w:val="none" w:sz="0" w:space="0" w:color="auto"/>
      </w:divBdr>
    </w:div>
    <w:div w:id="1470633338">
      <w:bodyDiv w:val="1"/>
      <w:marLeft w:val="0"/>
      <w:marRight w:val="0"/>
      <w:marTop w:val="0"/>
      <w:marBottom w:val="0"/>
      <w:divBdr>
        <w:top w:val="none" w:sz="0" w:space="0" w:color="auto"/>
        <w:left w:val="none" w:sz="0" w:space="0" w:color="auto"/>
        <w:bottom w:val="none" w:sz="0" w:space="0" w:color="auto"/>
        <w:right w:val="none" w:sz="0" w:space="0" w:color="auto"/>
      </w:divBdr>
      <w:divsChild>
        <w:div w:id="1067535481">
          <w:marLeft w:val="0"/>
          <w:marRight w:val="0"/>
          <w:marTop w:val="0"/>
          <w:marBottom w:val="0"/>
          <w:divBdr>
            <w:top w:val="none" w:sz="0" w:space="0" w:color="auto"/>
            <w:left w:val="none" w:sz="0" w:space="0" w:color="auto"/>
            <w:bottom w:val="none" w:sz="0" w:space="0" w:color="auto"/>
            <w:right w:val="none" w:sz="0" w:space="0" w:color="auto"/>
          </w:divBdr>
        </w:div>
        <w:div w:id="1763186804">
          <w:marLeft w:val="0"/>
          <w:marRight w:val="0"/>
          <w:marTop w:val="0"/>
          <w:marBottom w:val="0"/>
          <w:divBdr>
            <w:top w:val="none" w:sz="0" w:space="0" w:color="auto"/>
            <w:left w:val="none" w:sz="0" w:space="0" w:color="auto"/>
            <w:bottom w:val="none" w:sz="0" w:space="0" w:color="auto"/>
            <w:right w:val="none" w:sz="0" w:space="0" w:color="auto"/>
          </w:divBdr>
        </w:div>
        <w:div w:id="553858577">
          <w:marLeft w:val="0"/>
          <w:marRight w:val="0"/>
          <w:marTop w:val="0"/>
          <w:marBottom w:val="0"/>
          <w:divBdr>
            <w:top w:val="none" w:sz="0" w:space="0" w:color="auto"/>
            <w:left w:val="none" w:sz="0" w:space="0" w:color="auto"/>
            <w:bottom w:val="none" w:sz="0" w:space="0" w:color="auto"/>
            <w:right w:val="none" w:sz="0" w:space="0" w:color="auto"/>
          </w:divBdr>
        </w:div>
        <w:div w:id="1353384018">
          <w:marLeft w:val="0"/>
          <w:marRight w:val="0"/>
          <w:marTop w:val="0"/>
          <w:marBottom w:val="0"/>
          <w:divBdr>
            <w:top w:val="none" w:sz="0" w:space="0" w:color="auto"/>
            <w:left w:val="none" w:sz="0" w:space="0" w:color="auto"/>
            <w:bottom w:val="none" w:sz="0" w:space="0" w:color="auto"/>
            <w:right w:val="none" w:sz="0" w:space="0" w:color="auto"/>
          </w:divBdr>
        </w:div>
      </w:divsChild>
    </w:div>
    <w:div w:id="1558205381">
      <w:bodyDiv w:val="1"/>
      <w:marLeft w:val="0"/>
      <w:marRight w:val="0"/>
      <w:marTop w:val="0"/>
      <w:marBottom w:val="0"/>
      <w:divBdr>
        <w:top w:val="none" w:sz="0" w:space="0" w:color="auto"/>
        <w:left w:val="none" w:sz="0" w:space="0" w:color="auto"/>
        <w:bottom w:val="none" w:sz="0" w:space="0" w:color="auto"/>
        <w:right w:val="none" w:sz="0" w:space="0" w:color="auto"/>
      </w:divBdr>
      <w:divsChild>
        <w:div w:id="894007510">
          <w:marLeft w:val="0"/>
          <w:marRight w:val="0"/>
          <w:marTop w:val="0"/>
          <w:marBottom w:val="0"/>
          <w:divBdr>
            <w:top w:val="none" w:sz="0" w:space="0" w:color="auto"/>
            <w:left w:val="none" w:sz="0" w:space="0" w:color="auto"/>
            <w:bottom w:val="none" w:sz="0" w:space="0" w:color="auto"/>
            <w:right w:val="none" w:sz="0" w:space="0" w:color="auto"/>
          </w:divBdr>
        </w:div>
        <w:div w:id="1120876912">
          <w:marLeft w:val="0"/>
          <w:marRight w:val="0"/>
          <w:marTop w:val="0"/>
          <w:marBottom w:val="0"/>
          <w:divBdr>
            <w:top w:val="none" w:sz="0" w:space="0" w:color="auto"/>
            <w:left w:val="none" w:sz="0" w:space="0" w:color="auto"/>
            <w:bottom w:val="none" w:sz="0" w:space="0" w:color="auto"/>
            <w:right w:val="none" w:sz="0" w:space="0" w:color="auto"/>
          </w:divBdr>
        </w:div>
        <w:div w:id="585961101">
          <w:marLeft w:val="0"/>
          <w:marRight w:val="0"/>
          <w:marTop w:val="0"/>
          <w:marBottom w:val="0"/>
          <w:divBdr>
            <w:top w:val="none" w:sz="0" w:space="0" w:color="auto"/>
            <w:left w:val="none" w:sz="0" w:space="0" w:color="auto"/>
            <w:bottom w:val="none" w:sz="0" w:space="0" w:color="auto"/>
            <w:right w:val="none" w:sz="0" w:space="0" w:color="auto"/>
          </w:divBdr>
        </w:div>
        <w:div w:id="1141654198">
          <w:marLeft w:val="0"/>
          <w:marRight w:val="0"/>
          <w:marTop w:val="0"/>
          <w:marBottom w:val="0"/>
          <w:divBdr>
            <w:top w:val="none" w:sz="0" w:space="0" w:color="auto"/>
            <w:left w:val="none" w:sz="0" w:space="0" w:color="auto"/>
            <w:bottom w:val="none" w:sz="0" w:space="0" w:color="auto"/>
            <w:right w:val="none" w:sz="0" w:space="0" w:color="auto"/>
          </w:divBdr>
        </w:div>
      </w:divsChild>
    </w:div>
    <w:div w:id="1820879467">
      <w:bodyDiv w:val="1"/>
      <w:marLeft w:val="0"/>
      <w:marRight w:val="0"/>
      <w:marTop w:val="0"/>
      <w:marBottom w:val="0"/>
      <w:divBdr>
        <w:top w:val="none" w:sz="0" w:space="0" w:color="auto"/>
        <w:left w:val="none" w:sz="0" w:space="0" w:color="auto"/>
        <w:bottom w:val="none" w:sz="0" w:space="0" w:color="auto"/>
        <w:right w:val="none" w:sz="0" w:space="0" w:color="auto"/>
      </w:divBdr>
    </w:div>
    <w:div w:id="1956252993">
      <w:bodyDiv w:val="1"/>
      <w:marLeft w:val="0"/>
      <w:marRight w:val="0"/>
      <w:marTop w:val="0"/>
      <w:marBottom w:val="0"/>
      <w:divBdr>
        <w:top w:val="none" w:sz="0" w:space="0" w:color="auto"/>
        <w:left w:val="none" w:sz="0" w:space="0" w:color="auto"/>
        <w:bottom w:val="none" w:sz="0" w:space="0" w:color="auto"/>
        <w:right w:val="none" w:sz="0" w:space="0" w:color="auto"/>
      </w:divBdr>
    </w:div>
    <w:div w:id="1963681877">
      <w:bodyDiv w:val="1"/>
      <w:marLeft w:val="0"/>
      <w:marRight w:val="0"/>
      <w:marTop w:val="0"/>
      <w:marBottom w:val="0"/>
      <w:divBdr>
        <w:top w:val="none" w:sz="0" w:space="0" w:color="auto"/>
        <w:left w:val="none" w:sz="0" w:space="0" w:color="auto"/>
        <w:bottom w:val="none" w:sz="0" w:space="0" w:color="auto"/>
        <w:right w:val="none" w:sz="0" w:space="0" w:color="auto"/>
      </w:divBdr>
    </w:div>
    <w:div w:id="2083214085">
      <w:bodyDiv w:val="1"/>
      <w:marLeft w:val="0"/>
      <w:marRight w:val="0"/>
      <w:marTop w:val="0"/>
      <w:marBottom w:val="0"/>
      <w:divBdr>
        <w:top w:val="none" w:sz="0" w:space="0" w:color="auto"/>
        <w:left w:val="none" w:sz="0" w:space="0" w:color="auto"/>
        <w:bottom w:val="none" w:sz="0" w:space="0" w:color="auto"/>
        <w:right w:val="none" w:sz="0" w:space="0" w:color="auto"/>
      </w:divBdr>
      <w:divsChild>
        <w:div w:id="222524170">
          <w:marLeft w:val="0"/>
          <w:marRight w:val="0"/>
          <w:marTop w:val="0"/>
          <w:marBottom w:val="0"/>
          <w:divBdr>
            <w:top w:val="none" w:sz="0" w:space="0" w:color="auto"/>
            <w:left w:val="none" w:sz="0" w:space="0" w:color="auto"/>
            <w:bottom w:val="none" w:sz="0" w:space="0" w:color="auto"/>
            <w:right w:val="none" w:sz="0" w:space="0" w:color="auto"/>
          </w:divBdr>
        </w:div>
        <w:div w:id="1651059082">
          <w:marLeft w:val="0"/>
          <w:marRight w:val="0"/>
          <w:marTop w:val="0"/>
          <w:marBottom w:val="0"/>
          <w:divBdr>
            <w:top w:val="none" w:sz="0" w:space="0" w:color="auto"/>
            <w:left w:val="none" w:sz="0" w:space="0" w:color="auto"/>
            <w:bottom w:val="none" w:sz="0" w:space="0" w:color="auto"/>
            <w:right w:val="none" w:sz="0" w:space="0" w:color="auto"/>
          </w:divBdr>
        </w:div>
        <w:div w:id="883173462">
          <w:marLeft w:val="0"/>
          <w:marRight w:val="0"/>
          <w:marTop w:val="0"/>
          <w:marBottom w:val="0"/>
          <w:divBdr>
            <w:top w:val="none" w:sz="0" w:space="0" w:color="auto"/>
            <w:left w:val="none" w:sz="0" w:space="0" w:color="auto"/>
            <w:bottom w:val="none" w:sz="0" w:space="0" w:color="auto"/>
            <w:right w:val="none" w:sz="0" w:space="0" w:color="auto"/>
          </w:divBdr>
        </w:div>
        <w:div w:id="2284655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png@01D340F7.03ACC370" TargetMode="External"/><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1.png@01D340F1.2284C960" TargetMode="External"/><Relationship Id="rId24"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www.r-project.org/" TargetMode="Externa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CA67BF94-FB39-40A9-8491-CC10A994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2807</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Aditi</dc:creator>
  <cp:keywords/>
  <dc:description/>
  <cp:lastModifiedBy>Silvia PASSERI</cp:lastModifiedBy>
  <cp:revision>2</cp:revision>
  <cp:lastPrinted>2017-10-23T10:22:00Z</cp:lastPrinted>
  <dcterms:created xsi:type="dcterms:W3CDTF">2017-12-06T16:07:00Z</dcterms:created>
  <dcterms:modified xsi:type="dcterms:W3CDTF">2017-12-06T16:07:00Z</dcterms:modified>
</cp:coreProperties>
</file>