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686D1" w14:textId="77777777" w:rsidR="00BB5533" w:rsidRPr="00F83979" w:rsidRDefault="00BF19C8" w:rsidP="00D56967">
      <w:pPr>
        <w:pStyle w:val="NormalWeb"/>
        <w:spacing w:before="0" w:beforeAutospacing="0" w:after="0" w:afterAutospacing="0"/>
        <w:jc w:val="both"/>
        <w:rPr>
          <w:rFonts w:ascii="Myriad Pro" w:hAnsi="Myriad Pro"/>
          <w:b/>
          <w:color w:val="587388"/>
          <w:sz w:val="28"/>
          <w:szCs w:val="28"/>
        </w:rPr>
      </w:pPr>
      <w:r>
        <w:rPr>
          <w:rFonts w:ascii="Myriad Pro" w:hAnsi="Myriad Pro"/>
          <w:b/>
          <w:color w:val="587388"/>
          <w:sz w:val="28"/>
          <w:szCs w:val="28"/>
        </w:rPr>
        <w:t>Technical Memorandum</w:t>
      </w:r>
    </w:p>
    <w:p w14:paraId="12BF0048" w14:textId="77777777" w:rsidR="00BB5533" w:rsidRDefault="00BB5533" w:rsidP="00D56967">
      <w:pPr>
        <w:jc w:val="both"/>
      </w:pPr>
    </w:p>
    <w:p w14:paraId="447A837A" w14:textId="77777777" w:rsidR="00BB5533" w:rsidRPr="00BB5533" w:rsidRDefault="00BB5533" w:rsidP="00D56967">
      <w:pPr>
        <w:jc w:val="both"/>
        <w:rPr>
          <w:rFonts w:asciiTheme="majorHAnsi" w:hAnsiTheme="majorHAnsi"/>
          <w:szCs w:val="22"/>
        </w:rPr>
      </w:pPr>
      <w:r w:rsidRPr="00BB5533">
        <w:rPr>
          <w:rFonts w:asciiTheme="majorHAnsi" w:hAnsiTheme="majorHAnsi"/>
          <w:szCs w:val="22"/>
        </w:rPr>
        <w:t>To: Wasatch Front Central Corridor Study Management Team</w:t>
      </w:r>
    </w:p>
    <w:p w14:paraId="2B12B770" w14:textId="77777777" w:rsidR="00BB5533" w:rsidRPr="00BB5533" w:rsidRDefault="00BB5533" w:rsidP="00D56967">
      <w:pPr>
        <w:jc w:val="both"/>
        <w:rPr>
          <w:rFonts w:asciiTheme="majorHAnsi" w:hAnsiTheme="majorHAnsi"/>
          <w:szCs w:val="22"/>
        </w:rPr>
      </w:pPr>
    </w:p>
    <w:p w14:paraId="08140E8B" w14:textId="77777777" w:rsidR="00BB5533" w:rsidRPr="00BB5533" w:rsidRDefault="00BB5533" w:rsidP="00D56967">
      <w:pPr>
        <w:jc w:val="both"/>
        <w:rPr>
          <w:rFonts w:asciiTheme="majorHAnsi" w:hAnsiTheme="majorHAnsi"/>
          <w:szCs w:val="22"/>
        </w:rPr>
      </w:pPr>
      <w:r w:rsidRPr="00BB5533">
        <w:rPr>
          <w:rFonts w:asciiTheme="majorHAnsi" w:hAnsiTheme="majorHAnsi"/>
          <w:szCs w:val="22"/>
        </w:rPr>
        <w:t xml:space="preserve">From: Wasatch Front Central Corridor Study </w:t>
      </w:r>
      <w:r w:rsidR="00602A71">
        <w:rPr>
          <w:rFonts w:asciiTheme="majorHAnsi" w:hAnsiTheme="majorHAnsi"/>
          <w:szCs w:val="22"/>
        </w:rPr>
        <w:t xml:space="preserve">(WFCCS) </w:t>
      </w:r>
      <w:r w:rsidRPr="00BB5533">
        <w:rPr>
          <w:rFonts w:asciiTheme="majorHAnsi" w:hAnsiTheme="majorHAnsi"/>
          <w:szCs w:val="22"/>
        </w:rPr>
        <w:t>Technical Team</w:t>
      </w:r>
    </w:p>
    <w:p w14:paraId="047EAF95" w14:textId="77777777" w:rsidR="00BB5533" w:rsidRPr="00BB5533" w:rsidRDefault="00BB5533" w:rsidP="00D56967">
      <w:pPr>
        <w:jc w:val="both"/>
        <w:rPr>
          <w:rFonts w:asciiTheme="majorHAnsi" w:hAnsiTheme="majorHAnsi"/>
          <w:szCs w:val="22"/>
        </w:rPr>
      </w:pPr>
    </w:p>
    <w:p w14:paraId="0B22ACBE" w14:textId="53F0D27E" w:rsidR="00BB5533" w:rsidRPr="00BB5533" w:rsidRDefault="00BB5533" w:rsidP="00D56967">
      <w:pPr>
        <w:pBdr>
          <w:bottom w:val="single" w:sz="12" w:space="1" w:color="auto"/>
        </w:pBdr>
        <w:jc w:val="both"/>
        <w:rPr>
          <w:rFonts w:asciiTheme="majorHAnsi" w:hAnsiTheme="majorHAnsi"/>
          <w:szCs w:val="22"/>
        </w:rPr>
      </w:pPr>
      <w:r w:rsidRPr="00BB5533">
        <w:rPr>
          <w:rFonts w:asciiTheme="majorHAnsi" w:hAnsiTheme="majorHAnsi"/>
          <w:szCs w:val="22"/>
        </w:rPr>
        <w:t xml:space="preserve">Date: </w:t>
      </w:r>
      <w:r w:rsidR="00F56A52">
        <w:rPr>
          <w:rFonts w:asciiTheme="majorHAnsi" w:hAnsiTheme="majorHAnsi"/>
          <w:szCs w:val="22"/>
        </w:rPr>
        <w:t xml:space="preserve">April </w:t>
      </w:r>
      <w:r w:rsidR="00A8268A">
        <w:rPr>
          <w:rFonts w:asciiTheme="majorHAnsi" w:hAnsiTheme="majorHAnsi"/>
          <w:szCs w:val="22"/>
        </w:rPr>
        <w:t>2017</w:t>
      </w:r>
    </w:p>
    <w:p w14:paraId="4C499EAF" w14:textId="77777777" w:rsidR="00BB5533" w:rsidRPr="00BB5533" w:rsidRDefault="00BB5533" w:rsidP="00D56967">
      <w:pPr>
        <w:pBdr>
          <w:bottom w:val="single" w:sz="12" w:space="1" w:color="auto"/>
        </w:pBdr>
        <w:jc w:val="both"/>
        <w:rPr>
          <w:rFonts w:asciiTheme="majorHAnsi" w:hAnsiTheme="majorHAnsi"/>
          <w:szCs w:val="22"/>
        </w:rPr>
      </w:pPr>
    </w:p>
    <w:p w14:paraId="668829B2" w14:textId="0F951CE2" w:rsidR="00BB5533" w:rsidRPr="00A978F5" w:rsidRDefault="00BB5533" w:rsidP="00A978F5">
      <w:pPr>
        <w:pBdr>
          <w:bottom w:val="single" w:sz="12" w:space="1" w:color="auto"/>
        </w:pBdr>
        <w:jc w:val="both"/>
        <w:rPr>
          <w:rFonts w:asciiTheme="majorHAnsi" w:hAnsiTheme="majorHAnsi"/>
          <w:szCs w:val="22"/>
        </w:rPr>
      </w:pPr>
      <w:r w:rsidRPr="00BB5533">
        <w:rPr>
          <w:rFonts w:asciiTheme="majorHAnsi" w:hAnsiTheme="majorHAnsi"/>
          <w:szCs w:val="22"/>
        </w:rPr>
        <w:t xml:space="preserve">Subject: </w:t>
      </w:r>
      <w:r w:rsidR="003543C1">
        <w:rPr>
          <w:rFonts w:asciiTheme="majorHAnsi" w:hAnsiTheme="majorHAnsi"/>
          <w:szCs w:val="22"/>
        </w:rPr>
        <w:t>WFCC UPDATES TO THE WASATCH FRONT TRAVEL MODEL</w:t>
      </w:r>
      <w:r w:rsidR="00BF19C8">
        <w:rPr>
          <w:rFonts w:asciiTheme="majorHAnsi" w:hAnsiTheme="majorHAnsi"/>
          <w:szCs w:val="22"/>
        </w:rPr>
        <w:t xml:space="preserve"> </w:t>
      </w:r>
      <w:bookmarkStart w:id="0" w:name="_GoBack"/>
      <w:bookmarkEnd w:id="0"/>
    </w:p>
    <w:p w14:paraId="1665F57A" w14:textId="2C89C552" w:rsidR="00350A07" w:rsidRPr="00F94F27" w:rsidRDefault="00350A07" w:rsidP="00F94F27">
      <w:pPr>
        <w:pStyle w:val="Heading1"/>
      </w:pPr>
      <w:bookmarkStart w:id="1" w:name="_Toc474326233"/>
      <w:r w:rsidRPr="00F94F27">
        <w:t>Reliability Lanes</w:t>
      </w:r>
      <w:bookmarkEnd w:id="1"/>
    </w:p>
    <w:p w14:paraId="6E1F0000" w14:textId="77777777" w:rsidR="00350A07" w:rsidRPr="00045C84" w:rsidRDefault="00350A07" w:rsidP="00350A07">
      <w:pPr>
        <w:pStyle w:val="BodyParagraph"/>
        <w:rPr>
          <w:rFonts w:asciiTheme="majorHAnsi" w:hAnsiTheme="majorHAnsi"/>
        </w:rPr>
      </w:pPr>
      <w:r w:rsidRPr="00045C84">
        <w:rPr>
          <w:rFonts w:asciiTheme="majorHAnsi" w:hAnsiTheme="majorHAnsi"/>
        </w:rPr>
        <w:t>Scenarios in the WFCCS study included evaluating reversible lanes and managed lanes on arterials as part of the solution set. Managed lanes on arterials were defined as lanes where priority is given for High-Occupancy Vehicles (HOV) and for drive-alone vehicles willing to pay a toll. The previous version of the travel model estimates travel on high-occupancy toll (HOT) lanes for freeways, but not arterials. It also does not include a method for evaluating reversible lanes.</w:t>
      </w:r>
    </w:p>
    <w:p w14:paraId="364FEB99" w14:textId="77777777" w:rsidR="00350A07" w:rsidRPr="00045C84" w:rsidRDefault="00350A07" w:rsidP="00350A07">
      <w:pPr>
        <w:pStyle w:val="BodyParagraph"/>
        <w:rPr>
          <w:rFonts w:asciiTheme="majorHAnsi" w:hAnsiTheme="majorHAnsi"/>
        </w:rPr>
      </w:pPr>
      <w:r w:rsidRPr="00045C84">
        <w:rPr>
          <w:rFonts w:asciiTheme="majorHAnsi" w:hAnsiTheme="majorHAnsi"/>
        </w:rPr>
        <w:t>The travel model was modified so that managed lanes on arterials and reversible lanes could be evaluated for this study. Modifications were made to the following sections of the model:</w:t>
      </w:r>
    </w:p>
    <w:p w14:paraId="330E2021" w14:textId="77777777" w:rsidR="00350A07" w:rsidRPr="00045C84" w:rsidRDefault="00350A07" w:rsidP="00350A07">
      <w:pPr>
        <w:pStyle w:val="ListBullet"/>
        <w:rPr>
          <w:rFonts w:asciiTheme="majorHAnsi" w:hAnsiTheme="majorHAnsi"/>
        </w:rPr>
      </w:pPr>
      <w:r w:rsidRPr="00045C84">
        <w:rPr>
          <w:rFonts w:asciiTheme="majorHAnsi" w:hAnsiTheme="majorHAnsi"/>
        </w:rPr>
        <w:t>Input Master Highway Network.</w:t>
      </w:r>
    </w:p>
    <w:p w14:paraId="3FF359C5" w14:textId="77777777" w:rsidR="00350A07" w:rsidRPr="00045C84" w:rsidRDefault="00350A07" w:rsidP="00350A07">
      <w:pPr>
        <w:pStyle w:val="ListBullet"/>
        <w:rPr>
          <w:rFonts w:asciiTheme="majorHAnsi" w:hAnsiTheme="majorHAnsi"/>
        </w:rPr>
      </w:pPr>
      <w:r w:rsidRPr="00045C84">
        <w:rPr>
          <w:rFonts w:asciiTheme="majorHAnsi" w:hAnsiTheme="majorHAnsi"/>
        </w:rPr>
        <w:t>1ControlCenter.block.</w:t>
      </w:r>
    </w:p>
    <w:p w14:paraId="75C7B4DA" w14:textId="77777777" w:rsidR="00350A07" w:rsidRPr="00045C84" w:rsidRDefault="00350A07" w:rsidP="00350A07">
      <w:pPr>
        <w:pStyle w:val="ListBullet"/>
        <w:rPr>
          <w:rFonts w:asciiTheme="majorHAnsi" w:hAnsiTheme="majorHAnsi"/>
        </w:rPr>
      </w:pPr>
      <w:r w:rsidRPr="00045C84">
        <w:rPr>
          <w:rFonts w:asciiTheme="majorHAnsi" w:hAnsiTheme="majorHAnsi"/>
        </w:rPr>
        <w:t>Network processing script.</w:t>
      </w:r>
    </w:p>
    <w:p w14:paraId="09720AAE" w14:textId="77777777" w:rsidR="00350A07" w:rsidRPr="00045C84" w:rsidRDefault="00350A07" w:rsidP="00350A07">
      <w:pPr>
        <w:pStyle w:val="ListBullet"/>
        <w:rPr>
          <w:rFonts w:asciiTheme="majorHAnsi" w:hAnsiTheme="majorHAnsi"/>
        </w:rPr>
      </w:pPr>
      <w:r w:rsidRPr="00045C84">
        <w:rPr>
          <w:rFonts w:asciiTheme="majorHAnsi" w:hAnsiTheme="majorHAnsi"/>
        </w:rPr>
        <w:t>Distribution script.</w:t>
      </w:r>
    </w:p>
    <w:p w14:paraId="771075DF" w14:textId="77777777" w:rsidR="00350A07" w:rsidRPr="00045C84" w:rsidRDefault="00350A07" w:rsidP="00350A07">
      <w:pPr>
        <w:pStyle w:val="ListBullet"/>
        <w:rPr>
          <w:rFonts w:asciiTheme="majorHAnsi" w:hAnsiTheme="majorHAnsi"/>
        </w:rPr>
      </w:pPr>
      <w:r w:rsidRPr="00045C84">
        <w:rPr>
          <w:rFonts w:asciiTheme="majorHAnsi" w:hAnsiTheme="majorHAnsi"/>
        </w:rPr>
        <w:t>Mode choice script.</w:t>
      </w:r>
    </w:p>
    <w:p w14:paraId="4D86E2D9" w14:textId="77777777" w:rsidR="00350A07" w:rsidRPr="00045C84" w:rsidRDefault="00350A07" w:rsidP="00350A07">
      <w:pPr>
        <w:pStyle w:val="ListBullet"/>
        <w:rPr>
          <w:rFonts w:asciiTheme="majorHAnsi" w:hAnsiTheme="majorHAnsi"/>
        </w:rPr>
      </w:pPr>
      <w:r w:rsidRPr="00045C84">
        <w:rPr>
          <w:rFonts w:asciiTheme="majorHAnsi" w:hAnsiTheme="majorHAnsi"/>
        </w:rPr>
        <w:t>Final assignment script.</w:t>
      </w:r>
    </w:p>
    <w:p w14:paraId="4AB97BF8" w14:textId="77777777" w:rsidR="00350A07" w:rsidRPr="00045C84" w:rsidRDefault="00350A07" w:rsidP="00350A07">
      <w:pPr>
        <w:pStyle w:val="BodyParagraph"/>
        <w:rPr>
          <w:rFonts w:asciiTheme="majorHAnsi" w:hAnsiTheme="majorHAnsi"/>
        </w:rPr>
      </w:pPr>
      <w:r w:rsidRPr="00045C84">
        <w:rPr>
          <w:rFonts w:asciiTheme="majorHAnsi" w:hAnsiTheme="majorHAnsi"/>
        </w:rPr>
        <w:t>Changes made to the travel model to incorporate reliability lane calculations—specifically relating to network processing—require the model to use Cube version 6.4.1 or later.</w:t>
      </w:r>
    </w:p>
    <w:p w14:paraId="47F97B1C" w14:textId="77777777" w:rsidR="00350A07" w:rsidRDefault="00350A07" w:rsidP="00395887">
      <w:pPr>
        <w:pStyle w:val="Heading2"/>
      </w:pPr>
      <w:bookmarkStart w:id="2" w:name="_Toc474326234"/>
      <w:r>
        <w:t>Methodology</w:t>
      </w:r>
      <w:bookmarkEnd w:id="2"/>
    </w:p>
    <w:p w14:paraId="70720B5A" w14:textId="77777777" w:rsidR="00350A07" w:rsidRDefault="00350A07" w:rsidP="00350A07">
      <w:pPr>
        <w:pStyle w:val="Heading3"/>
      </w:pPr>
      <w:bookmarkStart w:id="3" w:name="_Toc474326235"/>
      <w:r>
        <w:t>Master Highway Network</w:t>
      </w:r>
      <w:bookmarkEnd w:id="3"/>
    </w:p>
    <w:p w14:paraId="7FE15BB0" w14:textId="5D4E895E" w:rsidR="00350A07" w:rsidRPr="00045C84" w:rsidRDefault="00350A07" w:rsidP="00350A07">
      <w:pPr>
        <w:pStyle w:val="BodyParagraph"/>
        <w:rPr>
          <w:rFonts w:asciiTheme="majorHAnsi" w:hAnsiTheme="majorHAnsi"/>
        </w:rPr>
      </w:pPr>
      <w:r w:rsidRPr="00045C84">
        <w:rPr>
          <w:rFonts w:asciiTheme="majorHAnsi" w:hAnsiTheme="majorHAnsi"/>
        </w:rPr>
        <w:t>A new field set was added to the model’s master highway network links. There is no set naming convention required by the model for these fields; the fields can be named in a way that makes sense for the scenario and as the user deems appropriate. However, at least one reliability lane field must exist on the master network. If reliability lane functionality is not part of the scenario, then the values for this field should be set to zero.</w:t>
      </w:r>
      <w:r w:rsidR="009A45C8">
        <w:rPr>
          <w:rFonts w:asciiTheme="majorHAnsi" w:hAnsiTheme="majorHAnsi"/>
        </w:rPr>
        <w:t xml:space="preserve"> General purpose lanes </w:t>
      </w:r>
      <w:r w:rsidR="000B2796">
        <w:rPr>
          <w:rFonts w:asciiTheme="majorHAnsi" w:hAnsiTheme="majorHAnsi"/>
        </w:rPr>
        <w:t xml:space="preserve">that are contained within scenarios that have reliability lanes would still be set to a value of zero in this field. </w:t>
      </w:r>
      <w:r w:rsidRPr="00045C84">
        <w:rPr>
          <w:rFonts w:asciiTheme="majorHAnsi" w:hAnsiTheme="majorHAnsi"/>
        </w:rPr>
        <w:t xml:space="preserve"> A </w:t>
      </w:r>
      <w:r w:rsidRPr="00045C84">
        <w:rPr>
          <w:rFonts w:asciiTheme="majorHAnsi" w:hAnsiTheme="majorHAnsi"/>
        </w:rPr>
        <w:lastRenderedPageBreak/>
        <w:t>nonzero value in the reliability lane field initiates the reliability lane calculations for that link in the model.</w:t>
      </w:r>
    </w:p>
    <w:p w14:paraId="03876A59" w14:textId="77777777" w:rsidR="00350A07" w:rsidRPr="00045C84" w:rsidRDefault="00350A07" w:rsidP="00350A07">
      <w:pPr>
        <w:pStyle w:val="BodyParagraph"/>
        <w:rPr>
          <w:rFonts w:asciiTheme="majorHAnsi" w:hAnsiTheme="majorHAnsi"/>
        </w:rPr>
      </w:pPr>
      <w:r w:rsidRPr="00045C84">
        <w:rPr>
          <w:rFonts w:asciiTheme="majorHAnsi" w:hAnsiTheme="majorHAnsi"/>
        </w:rPr>
        <w:t>Acceptable values that can be coded into the reliability lane fields are as follows:</w:t>
      </w:r>
    </w:p>
    <w:p w14:paraId="7D079219" w14:textId="77777777" w:rsidR="00350A07" w:rsidRPr="00045C84" w:rsidRDefault="00350A07" w:rsidP="00350A07">
      <w:pPr>
        <w:pStyle w:val="ListBullet"/>
        <w:rPr>
          <w:rFonts w:asciiTheme="majorHAnsi" w:hAnsiTheme="majorHAnsi"/>
        </w:rPr>
      </w:pPr>
      <w:r w:rsidRPr="00045C84">
        <w:rPr>
          <w:rFonts w:asciiTheme="majorHAnsi" w:hAnsiTheme="majorHAnsi"/>
          <w:b/>
        </w:rPr>
        <w:t>1 to 9</w:t>
      </w:r>
      <w:r w:rsidRPr="00045C84">
        <w:rPr>
          <w:rFonts w:asciiTheme="majorHAnsi" w:hAnsiTheme="majorHAnsi"/>
        </w:rPr>
        <w:t>: Indicates the number of managed lanes added to arterial; these lanes will be added for all time periods.</w:t>
      </w:r>
    </w:p>
    <w:p w14:paraId="267CCB02" w14:textId="77777777" w:rsidR="00350A07" w:rsidRPr="00045C84" w:rsidRDefault="00350A07" w:rsidP="00350A07">
      <w:pPr>
        <w:pStyle w:val="ListBullet"/>
        <w:rPr>
          <w:rFonts w:asciiTheme="majorHAnsi" w:hAnsiTheme="majorHAnsi"/>
        </w:rPr>
      </w:pPr>
      <w:r w:rsidRPr="00045C84">
        <w:rPr>
          <w:rFonts w:asciiTheme="majorHAnsi" w:hAnsiTheme="majorHAnsi"/>
          <w:b/>
        </w:rPr>
        <w:t>11 to 19</w:t>
      </w:r>
      <w:r w:rsidRPr="00045C84">
        <w:rPr>
          <w:rFonts w:asciiTheme="majorHAnsi" w:hAnsiTheme="majorHAnsi"/>
        </w:rPr>
        <w:t>: First digit indicates that a managed lane is to be added in the peak direction with a corresponding lane reduction in the off-peak direction (i.e., reversible lane); second digit indicates the number of managed lanes added to arterial in peak direction (no lanes are added in off-peak direction).</w:t>
      </w:r>
    </w:p>
    <w:p w14:paraId="1C84E45F" w14:textId="77777777" w:rsidR="00350A07" w:rsidRPr="00045C84" w:rsidRDefault="00350A07" w:rsidP="00350A07">
      <w:pPr>
        <w:pStyle w:val="ListBullet"/>
        <w:rPr>
          <w:rFonts w:asciiTheme="majorHAnsi" w:hAnsiTheme="majorHAnsi"/>
        </w:rPr>
      </w:pPr>
      <w:r w:rsidRPr="00045C84">
        <w:rPr>
          <w:rFonts w:asciiTheme="majorHAnsi" w:hAnsiTheme="majorHAnsi"/>
          <w:b/>
        </w:rPr>
        <w:t>21 to 29</w:t>
      </w:r>
      <w:r w:rsidRPr="00045C84">
        <w:rPr>
          <w:rFonts w:asciiTheme="majorHAnsi" w:hAnsiTheme="majorHAnsi"/>
        </w:rPr>
        <w:t>: First digit indicates managed lane has grade separation at major intersections; second digit indicates the number of managed lanes added to arterial for all time periods.</w:t>
      </w:r>
    </w:p>
    <w:p w14:paraId="3139BF6B" w14:textId="77777777" w:rsidR="00350A07" w:rsidRPr="00045C84" w:rsidRDefault="00350A07" w:rsidP="00350A07">
      <w:pPr>
        <w:pStyle w:val="BodyParagraph"/>
        <w:rPr>
          <w:rFonts w:asciiTheme="majorHAnsi" w:hAnsiTheme="majorHAnsi"/>
        </w:rPr>
      </w:pPr>
      <w:r w:rsidRPr="00045C84">
        <w:rPr>
          <w:rFonts w:asciiTheme="majorHAnsi" w:hAnsiTheme="majorHAnsi"/>
        </w:rPr>
        <w:t>For WFCCS, the following reliability lane fields were added to the master network:</w:t>
      </w:r>
    </w:p>
    <w:p w14:paraId="0F713A79" w14:textId="77777777" w:rsidR="00350A07" w:rsidRPr="00045C84" w:rsidRDefault="00350A07" w:rsidP="00350A07">
      <w:pPr>
        <w:pStyle w:val="ListBullet"/>
        <w:rPr>
          <w:rFonts w:asciiTheme="majorHAnsi" w:hAnsiTheme="majorHAnsi"/>
        </w:rPr>
      </w:pPr>
      <w:r w:rsidRPr="00045C84">
        <w:rPr>
          <w:rFonts w:asciiTheme="majorHAnsi" w:hAnsiTheme="majorHAnsi"/>
        </w:rPr>
        <w:t>REL_50_S0.</w:t>
      </w:r>
    </w:p>
    <w:p w14:paraId="05DCFC31" w14:textId="77777777" w:rsidR="00350A07" w:rsidRPr="00045C84" w:rsidRDefault="00350A07" w:rsidP="00350A07">
      <w:pPr>
        <w:pStyle w:val="ListBullet"/>
        <w:rPr>
          <w:rFonts w:asciiTheme="majorHAnsi" w:hAnsiTheme="majorHAnsi"/>
        </w:rPr>
      </w:pPr>
      <w:r w:rsidRPr="00045C84">
        <w:rPr>
          <w:rFonts w:asciiTheme="majorHAnsi" w:hAnsiTheme="majorHAnsi"/>
        </w:rPr>
        <w:t>REL_50_S1.</w:t>
      </w:r>
    </w:p>
    <w:p w14:paraId="09C39B2D" w14:textId="77777777" w:rsidR="00350A07" w:rsidRPr="00045C84" w:rsidRDefault="00350A07" w:rsidP="00350A07">
      <w:pPr>
        <w:pStyle w:val="ListBullet"/>
        <w:rPr>
          <w:rFonts w:asciiTheme="majorHAnsi" w:hAnsiTheme="majorHAnsi"/>
        </w:rPr>
      </w:pPr>
      <w:r w:rsidRPr="00045C84">
        <w:rPr>
          <w:rFonts w:asciiTheme="majorHAnsi" w:hAnsiTheme="majorHAnsi"/>
        </w:rPr>
        <w:t>REL_50_S2.</w:t>
      </w:r>
    </w:p>
    <w:p w14:paraId="3024C9BE" w14:textId="77777777" w:rsidR="00350A07" w:rsidRPr="00045C84" w:rsidRDefault="00350A07" w:rsidP="00350A07">
      <w:pPr>
        <w:pStyle w:val="ListBullet"/>
        <w:rPr>
          <w:rFonts w:asciiTheme="majorHAnsi" w:hAnsiTheme="majorHAnsi"/>
        </w:rPr>
      </w:pPr>
      <w:r w:rsidRPr="00045C84">
        <w:rPr>
          <w:rFonts w:asciiTheme="majorHAnsi" w:hAnsiTheme="majorHAnsi"/>
        </w:rPr>
        <w:t>REL_50_S3.</w:t>
      </w:r>
    </w:p>
    <w:p w14:paraId="0E5C40F0" w14:textId="77777777" w:rsidR="00350A07" w:rsidRPr="00045C84" w:rsidRDefault="00350A07" w:rsidP="00350A07">
      <w:pPr>
        <w:pStyle w:val="BodyParagraph"/>
        <w:rPr>
          <w:rFonts w:asciiTheme="majorHAnsi" w:hAnsiTheme="majorHAnsi"/>
        </w:rPr>
      </w:pPr>
      <w:r w:rsidRPr="00045C84">
        <w:rPr>
          <w:rFonts w:asciiTheme="majorHAnsi" w:hAnsiTheme="majorHAnsi"/>
        </w:rPr>
        <w:t>The base 2050 scenario represented by the first field, REL_50_S0, does not include managed arterials or reversible lanes and values for all links in this field were set to zero. This field was also used for the MPO RTP scenarios since these scenarios also did not include managed arterials or reversible lanes.</w:t>
      </w:r>
    </w:p>
    <w:p w14:paraId="57EC1FD9" w14:textId="77777777" w:rsidR="00350A07" w:rsidRDefault="00350A07" w:rsidP="00350A07">
      <w:pPr>
        <w:pStyle w:val="Heading3"/>
      </w:pPr>
      <w:bookmarkStart w:id="4" w:name="_Toc474326236"/>
      <w:r>
        <w:t>Control Center Block File</w:t>
      </w:r>
      <w:bookmarkEnd w:id="4"/>
    </w:p>
    <w:p w14:paraId="3432892F" w14:textId="274F2C19" w:rsidR="00B43E08" w:rsidRDefault="00350A07" w:rsidP="00D0624A">
      <w:pPr>
        <w:pStyle w:val="BodyParagraph"/>
        <w:rPr>
          <w:b/>
          <w:bCs/>
          <w:color w:val="4F81BD" w:themeColor="accent1"/>
          <w:sz w:val="18"/>
          <w:szCs w:val="18"/>
        </w:rPr>
      </w:pPr>
      <w:r w:rsidRPr="00045C84">
        <w:rPr>
          <w:rFonts w:asciiTheme="majorHAnsi" w:hAnsiTheme="majorHAnsi"/>
        </w:rPr>
        <w:t xml:space="preserve">A new key variable, REL_LN, was added to the link attribute section of the “1ControlCenter.block” file. The user sets this field to the name of the reliability lane field in the master highway network corresponding to the intended scenario, as shown in </w:t>
      </w:r>
      <w:r w:rsidR="00D0624A">
        <w:rPr>
          <w:rFonts w:asciiTheme="majorHAnsi" w:hAnsiTheme="majorHAnsi"/>
        </w:rPr>
        <w:t xml:space="preserve">Figure 38. </w:t>
      </w:r>
      <w:bookmarkStart w:id="5" w:name="_Ref471311309"/>
      <w:bookmarkStart w:id="6" w:name="_Toc474326297"/>
    </w:p>
    <w:bookmarkEnd w:id="5"/>
    <w:p w14:paraId="3D3E7D90" w14:textId="610DDC23" w:rsidR="00350A07" w:rsidRDefault="00D0624A" w:rsidP="00D0624A">
      <w:pPr>
        <w:pStyle w:val="Heading4"/>
      </w:pPr>
      <w:r>
        <w:lastRenderedPageBreak/>
        <w:t xml:space="preserve">Figure 38: </w:t>
      </w:r>
      <w:r w:rsidR="00350A07">
        <w:t>Setting Reliability Lane Field in Control Center</w:t>
      </w:r>
      <w:bookmarkEnd w:id="6"/>
    </w:p>
    <w:p w14:paraId="293A3BD9" w14:textId="2454B3E1" w:rsidR="00350A07" w:rsidRDefault="00D0661B" w:rsidP="00350A07">
      <w:pPr>
        <w:rPr>
          <w:b/>
          <w:bCs/>
          <w:color w:val="4F81BD" w:themeColor="accent1"/>
          <w:sz w:val="18"/>
          <w:szCs w:val="18"/>
        </w:rPr>
      </w:pPr>
      <w:r>
        <w:rPr>
          <w:noProof/>
        </w:rPr>
        <mc:AlternateContent>
          <mc:Choice Requires="wps">
            <w:drawing>
              <wp:anchor distT="0" distB="0" distL="114300" distR="114300" simplePos="0" relativeHeight="251667456" behindDoc="0" locked="0" layoutInCell="1" allowOverlap="1" wp14:anchorId="739E3E45" wp14:editId="74262EBC">
                <wp:simplePos x="0" y="0"/>
                <wp:positionH relativeFrom="column">
                  <wp:posOffset>114300</wp:posOffset>
                </wp:positionH>
                <wp:positionV relativeFrom="paragraph">
                  <wp:posOffset>1634490</wp:posOffset>
                </wp:positionV>
                <wp:extent cx="1704975" cy="1428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049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4098F" id="Rectangle 43" o:spid="_x0000_s1026" style="position:absolute;margin-left:9pt;margin-top:128.7pt;width:134.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" filled="f" strokecolor="red" strokeweight="1.5pt"/>
            </w:pict>
          </mc:Fallback>
        </mc:AlternateContent>
      </w:r>
      <w:r w:rsidR="00350A07">
        <w:rPr>
          <w:noProof/>
        </w:rPr>
        <w:drawing>
          <wp:inline distT="0" distB="0" distL="0" distR="0" wp14:anchorId="3961AB65" wp14:editId="58DE6CF0">
            <wp:extent cx="5486400" cy="2228306"/>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28306"/>
                    </a:xfrm>
                    <a:prstGeom prst="rect">
                      <a:avLst/>
                    </a:prstGeom>
                  </pic:spPr>
                </pic:pic>
              </a:graphicData>
            </a:graphic>
          </wp:inline>
        </w:drawing>
      </w:r>
    </w:p>
    <w:p w14:paraId="68061544" w14:textId="23B9A752" w:rsidR="00350A07" w:rsidRDefault="00350A07" w:rsidP="00350A07">
      <w:pPr>
        <w:rPr>
          <w:b/>
          <w:bCs/>
          <w:color w:val="4F81BD" w:themeColor="accent1"/>
          <w:sz w:val="18"/>
          <w:szCs w:val="18"/>
        </w:rPr>
      </w:pPr>
    </w:p>
    <w:p w14:paraId="23B0B586" w14:textId="1D46DD37" w:rsidR="00350A07" w:rsidRDefault="00350A07" w:rsidP="00350A07">
      <w:pPr>
        <w:pStyle w:val="Heading3"/>
      </w:pPr>
      <w:bookmarkStart w:id="7" w:name="_Toc474326237"/>
      <w:r>
        <w:t>General Parameters</w:t>
      </w:r>
      <w:bookmarkEnd w:id="7"/>
    </w:p>
    <w:p w14:paraId="062DA402" w14:textId="77777777" w:rsidR="00350A07" w:rsidRPr="00045C84" w:rsidRDefault="00350A07" w:rsidP="00350A07">
      <w:pPr>
        <w:pStyle w:val="BodyParagraph"/>
        <w:rPr>
          <w:rFonts w:asciiTheme="majorHAnsi" w:hAnsiTheme="majorHAnsi"/>
        </w:rPr>
      </w:pPr>
      <w:r w:rsidRPr="00045C84">
        <w:rPr>
          <w:rFonts w:asciiTheme="majorHAnsi" w:hAnsiTheme="majorHAnsi"/>
        </w:rPr>
        <w:t>The model space was separated into three travel sheds to determine peak and off-peak directions used in the reversible lane calculations:</w:t>
      </w:r>
    </w:p>
    <w:p w14:paraId="1FF98645" w14:textId="77777777" w:rsidR="00350A07" w:rsidRPr="00045C84" w:rsidRDefault="00350A07" w:rsidP="00350A07">
      <w:pPr>
        <w:pStyle w:val="ListBullet"/>
        <w:rPr>
          <w:rFonts w:asciiTheme="majorHAnsi" w:hAnsiTheme="majorHAnsi"/>
        </w:rPr>
      </w:pPr>
      <w:r w:rsidRPr="00045C84">
        <w:rPr>
          <w:rFonts w:asciiTheme="majorHAnsi" w:hAnsiTheme="majorHAnsi"/>
        </w:rPr>
        <w:t>Ogden Travel Shed.</w:t>
      </w:r>
    </w:p>
    <w:p w14:paraId="42A0B89E" w14:textId="77777777" w:rsidR="00350A07" w:rsidRPr="00045C84" w:rsidRDefault="00350A07" w:rsidP="00350A07">
      <w:pPr>
        <w:pStyle w:val="ListBullet"/>
        <w:rPr>
          <w:rFonts w:asciiTheme="majorHAnsi" w:hAnsiTheme="majorHAnsi"/>
        </w:rPr>
      </w:pPr>
      <w:r w:rsidRPr="00045C84">
        <w:rPr>
          <w:rFonts w:asciiTheme="majorHAnsi" w:hAnsiTheme="majorHAnsi"/>
        </w:rPr>
        <w:t>Salt Lake Travel Shed.</w:t>
      </w:r>
    </w:p>
    <w:p w14:paraId="2AD75E0A" w14:textId="77777777" w:rsidR="00350A07" w:rsidRPr="00045C84" w:rsidRDefault="00350A07" w:rsidP="00350A07">
      <w:pPr>
        <w:pStyle w:val="ListBullet"/>
        <w:rPr>
          <w:rFonts w:asciiTheme="majorHAnsi" w:hAnsiTheme="majorHAnsi"/>
        </w:rPr>
      </w:pPr>
      <w:r w:rsidRPr="00045C84">
        <w:rPr>
          <w:rFonts w:asciiTheme="majorHAnsi" w:hAnsiTheme="majorHAnsi"/>
        </w:rPr>
        <w:t>Provo Travel Shed.</w:t>
      </w:r>
    </w:p>
    <w:p w14:paraId="233F7AE7" w14:textId="77777777" w:rsidR="00350A07" w:rsidRPr="00045C84" w:rsidRDefault="00350A07" w:rsidP="00350A07">
      <w:pPr>
        <w:pStyle w:val="BodyParagraph"/>
        <w:rPr>
          <w:rFonts w:asciiTheme="majorHAnsi" w:hAnsiTheme="majorHAnsi"/>
        </w:rPr>
      </w:pPr>
      <w:r w:rsidRPr="00045C84">
        <w:rPr>
          <w:rFonts w:asciiTheme="majorHAnsi" w:hAnsiTheme="majorHAnsi"/>
        </w:rPr>
        <w:t>Each travel shed is identified by a horizontal line representing the threshold between the different travel sheds. A center point of each travel shed was then identified for determining the inbound or outbound directional sense of the links:</w:t>
      </w:r>
    </w:p>
    <w:p w14:paraId="555ABE84" w14:textId="77777777" w:rsidR="00350A07" w:rsidRPr="00045C84" w:rsidRDefault="00350A07" w:rsidP="00350A07">
      <w:pPr>
        <w:pStyle w:val="ListBullet"/>
        <w:rPr>
          <w:rFonts w:asciiTheme="majorHAnsi" w:hAnsiTheme="majorHAnsi"/>
        </w:rPr>
      </w:pPr>
      <w:r w:rsidRPr="00045C84">
        <w:rPr>
          <w:rFonts w:asciiTheme="majorHAnsi" w:hAnsiTheme="majorHAnsi"/>
        </w:rPr>
        <w:t>Center of Ogden Travel Shed: 24th Street and Washington Avenue.</w:t>
      </w:r>
    </w:p>
    <w:p w14:paraId="154BBC8D" w14:textId="77777777" w:rsidR="00350A07" w:rsidRPr="00045C84" w:rsidRDefault="00350A07" w:rsidP="00350A07">
      <w:pPr>
        <w:pStyle w:val="ListBullet"/>
        <w:rPr>
          <w:rFonts w:asciiTheme="majorHAnsi" w:hAnsiTheme="majorHAnsi"/>
        </w:rPr>
      </w:pPr>
      <w:r w:rsidRPr="00045C84">
        <w:rPr>
          <w:rFonts w:asciiTheme="majorHAnsi" w:hAnsiTheme="majorHAnsi"/>
        </w:rPr>
        <w:t>Center of Salt Lake Travel Shed: West Temple and South Temple.</w:t>
      </w:r>
    </w:p>
    <w:p w14:paraId="158D2499" w14:textId="77777777" w:rsidR="00350A07" w:rsidRPr="00045C84" w:rsidRDefault="00350A07" w:rsidP="00350A07">
      <w:pPr>
        <w:pStyle w:val="ListBullet"/>
        <w:rPr>
          <w:rFonts w:asciiTheme="majorHAnsi" w:hAnsiTheme="majorHAnsi"/>
        </w:rPr>
      </w:pPr>
      <w:r w:rsidRPr="00045C84">
        <w:rPr>
          <w:rFonts w:asciiTheme="majorHAnsi" w:hAnsiTheme="majorHAnsi"/>
        </w:rPr>
        <w:t>Center of Provo Travel Shed: University Parkway and University Avenue.</w:t>
      </w:r>
    </w:p>
    <w:p w14:paraId="62C1BDF9" w14:textId="39132417" w:rsidR="00350A07" w:rsidRPr="00045C84" w:rsidRDefault="00D0624A" w:rsidP="00350A07">
      <w:pPr>
        <w:pStyle w:val="BodyParagraph"/>
        <w:rPr>
          <w:rFonts w:asciiTheme="majorHAnsi" w:hAnsiTheme="majorHAnsi"/>
        </w:rPr>
      </w:pPr>
      <w:r>
        <w:rPr>
          <w:rFonts w:asciiTheme="majorHAnsi" w:hAnsiTheme="majorHAnsi"/>
        </w:rPr>
        <w:t xml:space="preserve">Figure 39 </w:t>
      </w:r>
      <w:r w:rsidR="00350A07" w:rsidRPr="00045C84">
        <w:rPr>
          <w:rFonts w:asciiTheme="majorHAnsi" w:hAnsiTheme="majorHAnsi"/>
        </w:rPr>
        <w:t>shows the variables added to the “0GeneralParameters.block” file for identifying travel sheds and inbound/outbound direction.</w:t>
      </w:r>
    </w:p>
    <w:p w14:paraId="3AEA2DEA" w14:textId="77777777" w:rsidR="00D41FD2" w:rsidRDefault="00D41FD2" w:rsidP="00350A07">
      <w:pPr>
        <w:rPr>
          <w:b/>
          <w:bCs/>
          <w:color w:val="4F81BD" w:themeColor="accent1"/>
          <w:sz w:val="18"/>
          <w:szCs w:val="18"/>
        </w:rPr>
      </w:pPr>
      <w:bookmarkStart w:id="8" w:name="_Ref471311382"/>
      <w:bookmarkStart w:id="9" w:name="_Toc474326298"/>
    </w:p>
    <w:bookmarkEnd w:id="8"/>
    <w:p w14:paraId="21FF4D01" w14:textId="56D95C73" w:rsidR="00350A07" w:rsidRPr="00D0624A" w:rsidRDefault="00D0624A" w:rsidP="00D0624A">
      <w:pPr>
        <w:pStyle w:val="Heading4"/>
      </w:pPr>
      <w:r>
        <w:t xml:space="preserve">Figure 39: </w:t>
      </w:r>
      <w:r w:rsidR="00350A07" w:rsidRPr="00D0624A">
        <w:t>Variables for Establishing Travel Sheds and Inbound/Outbound Direction</w:t>
      </w:r>
      <w:bookmarkEnd w:id="9"/>
    </w:p>
    <w:p w14:paraId="59B48614" w14:textId="77777777" w:rsidR="00350A07" w:rsidRDefault="00350A07" w:rsidP="00350A07">
      <w:pPr>
        <w:rPr>
          <w:b/>
          <w:bCs/>
          <w:color w:val="4F81BD" w:themeColor="accent1"/>
          <w:sz w:val="18"/>
          <w:szCs w:val="18"/>
        </w:rPr>
      </w:pPr>
    </w:p>
    <w:p w14:paraId="1C8DC7AF" w14:textId="4974B341" w:rsidR="00350A07" w:rsidRDefault="00191B1C" w:rsidP="00350A07">
      <w:pPr>
        <w:rPr>
          <w:b/>
          <w:bCs/>
          <w:color w:val="4F81BD" w:themeColor="accent1"/>
          <w:sz w:val="18"/>
          <w:szCs w:val="18"/>
        </w:rPr>
      </w:pPr>
      <w:r>
        <w:rPr>
          <w:noProof/>
        </w:rPr>
        <w:lastRenderedPageBreak/>
        <w:drawing>
          <wp:inline distT="0" distB="0" distL="0" distR="0" wp14:anchorId="1D0D91CB" wp14:editId="2C9ECFAC">
            <wp:extent cx="2945773" cy="29622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53"/>
                    <a:stretch/>
                  </pic:blipFill>
                  <pic:spPr bwMode="auto">
                    <a:xfrm>
                      <a:off x="0" y="0"/>
                      <a:ext cx="2951235" cy="2967768"/>
                    </a:xfrm>
                    <a:prstGeom prst="rect">
                      <a:avLst/>
                    </a:prstGeom>
                    <a:ln>
                      <a:noFill/>
                    </a:ln>
                    <a:extLst>
                      <a:ext uri="{53640926-AAD7-44D8-BBD7-CCE9431645EC}">
                        <a14:shadowObscured xmlns:a14="http://schemas.microsoft.com/office/drawing/2010/main"/>
                      </a:ext>
                    </a:extLst>
                  </pic:spPr>
                </pic:pic>
              </a:graphicData>
            </a:graphic>
          </wp:inline>
        </w:drawing>
      </w:r>
    </w:p>
    <w:p w14:paraId="6391B26E" w14:textId="77777777" w:rsidR="00191B1C" w:rsidRDefault="00191B1C" w:rsidP="00350A07">
      <w:pPr>
        <w:rPr>
          <w:b/>
          <w:bCs/>
          <w:color w:val="4F81BD" w:themeColor="accent1"/>
          <w:sz w:val="18"/>
          <w:szCs w:val="18"/>
        </w:rPr>
      </w:pPr>
    </w:p>
    <w:p w14:paraId="67770199" w14:textId="77777777" w:rsidR="00191B1C" w:rsidRDefault="00191B1C" w:rsidP="00350A07">
      <w:pPr>
        <w:rPr>
          <w:b/>
          <w:bCs/>
          <w:color w:val="4F81BD" w:themeColor="accent1"/>
          <w:sz w:val="18"/>
          <w:szCs w:val="18"/>
        </w:rPr>
      </w:pPr>
    </w:p>
    <w:p w14:paraId="309AD0EB" w14:textId="77777777" w:rsidR="00191B1C" w:rsidRDefault="00191B1C" w:rsidP="00191B1C">
      <w:pPr>
        <w:pStyle w:val="Heading3"/>
      </w:pPr>
      <w:bookmarkStart w:id="10" w:name="_Toc474326238"/>
      <w:r>
        <w:t>Network Processor Script Edits</w:t>
      </w:r>
      <w:bookmarkEnd w:id="10"/>
    </w:p>
    <w:p w14:paraId="3B8E8680" w14:textId="50493B28" w:rsidR="00191B1C" w:rsidRPr="00045C84" w:rsidRDefault="00350A07" w:rsidP="00191B1C">
      <w:pPr>
        <w:pStyle w:val="BodyParagraph"/>
        <w:rPr>
          <w:rFonts w:asciiTheme="majorHAnsi" w:hAnsiTheme="majorHAnsi"/>
        </w:rPr>
      </w:pPr>
      <w:r w:rsidRPr="00045C84">
        <w:rPr>
          <w:rFonts w:asciiTheme="majorHAnsi" w:hAnsiTheme="majorHAnsi"/>
        </w:rPr>
        <w:t>To</w:t>
      </w:r>
      <w:r w:rsidR="00191B1C" w:rsidRPr="00045C84">
        <w:rPr>
          <w:rFonts w:asciiTheme="majorHAnsi" w:hAnsiTheme="majorHAnsi"/>
        </w:rPr>
        <w:t xml:space="preserve"> The highway network processing script (“0_InputProcessing\</w:t>
      </w:r>
      <w:proofErr w:type="spellStart"/>
      <w:r w:rsidR="00191B1C" w:rsidRPr="00045C84">
        <w:rPr>
          <w:rFonts w:asciiTheme="majorHAnsi" w:hAnsiTheme="majorHAnsi"/>
        </w:rPr>
        <w:t>c_NetworkProcessing</w:t>
      </w:r>
      <w:proofErr w:type="spellEnd"/>
      <w:r w:rsidR="00191B1C" w:rsidRPr="00045C84">
        <w:rPr>
          <w:rFonts w:asciiTheme="majorHAnsi" w:hAnsiTheme="majorHAnsi"/>
        </w:rPr>
        <w:t>\1_NetProcessor.s”) was modified to include the following link variables:</w:t>
      </w:r>
    </w:p>
    <w:p w14:paraId="65CAA6E7" w14:textId="77777777" w:rsidR="00191B1C" w:rsidRPr="00045C84" w:rsidRDefault="00191B1C" w:rsidP="00191B1C">
      <w:pPr>
        <w:pStyle w:val="ListBullet"/>
        <w:rPr>
          <w:rFonts w:asciiTheme="majorHAnsi" w:hAnsiTheme="majorHAnsi"/>
        </w:rPr>
      </w:pPr>
      <w:r w:rsidRPr="00045C84">
        <w:rPr>
          <w:rFonts w:asciiTheme="majorHAnsi" w:hAnsiTheme="majorHAnsi"/>
          <w:b/>
        </w:rPr>
        <w:t>ANGLE</w:t>
      </w:r>
      <w:r w:rsidRPr="00045C84">
        <w:rPr>
          <w:rFonts w:asciiTheme="majorHAnsi" w:hAnsiTheme="majorHAnsi"/>
        </w:rPr>
        <w:t>: Stores the angle of a highway link in degrees using the start of the link and true north as a reference (angle uses a counter-clockwise orientation).</w:t>
      </w:r>
    </w:p>
    <w:p w14:paraId="2A71D3EC" w14:textId="77777777" w:rsidR="00191B1C" w:rsidRPr="00045C84" w:rsidRDefault="00191B1C" w:rsidP="00191B1C">
      <w:pPr>
        <w:pStyle w:val="ListBullet"/>
        <w:rPr>
          <w:rFonts w:asciiTheme="majorHAnsi" w:hAnsiTheme="majorHAnsi"/>
        </w:rPr>
      </w:pPr>
      <w:r w:rsidRPr="00045C84">
        <w:rPr>
          <w:rFonts w:asciiTheme="majorHAnsi" w:hAnsiTheme="majorHAnsi"/>
          <w:b/>
        </w:rPr>
        <w:t>DIRECTION</w:t>
      </w:r>
      <w:r w:rsidRPr="00045C84">
        <w:rPr>
          <w:rFonts w:asciiTheme="majorHAnsi" w:hAnsiTheme="majorHAnsi"/>
        </w:rPr>
        <w:t>: Stores the direction of a link: NB, WB, SB or EB:</w:t>
      </w:r>
    </w:p>
    <w:p w14:paraId="6BDBBCB4" w14:textId="77777777" w:rsidR="00191B1C" w:rsidRPr="00045C84" w:rsidRDefault="00191B1C" w:rsidP="00191B1C">
      <w:pPr>
        <w:pStyle w:val="ListBullet2"/>
        <w:rPr>
          <w:rFonts w:asciiTheme="majorHAnsi" w:hAnsiTheme="majorHAnsi"/>
        </w:rPr>
      </w:pPr>
      <w:r w:rsidRPr="00045C84">
        <w:rPr>
          <w:rFonts w:asciiTheme="majorHAnsi" w:hAnsiTheme="majorHAnsi"/>
        </w:rPr>
        <w:t>NB: &lt;=45 degrees and &gt;315 degrees.</w:t>
      </w:r>
    </w:p>
    <w:p w14:paraId="67E33987" w14:textId="77777777" w:rsidR="00191B1C" w:rsidRPr="00045C84" w:rsidRDefault="00191B1C" w:rsidP="00191B1C">
      <w:pPr>
        <w:pStyle w:val="ListBullet2"/>
        <w:rPr>
          <w:rFonts w:asciiTheme="majorHAnsi" w:hAnsiTheme="majorHAnsi"/>
        </w:rPr>
      </w:pPr>
      <w:r w:rsidRPr="00045C84">
        <w:rPr>
          <w:rFonts w:asciiTheme="majorHAnsi" w:hAnsiTheme="majorHAnsi"/>
        </w:rPr>
        <w:t>WB: &gt;45 degrees and &lt;=135 degrees.</w:t>
      </w:r>
    </w:p>
    <w:p w14:paraId="1322DEDD" w14:textId="77777777" w:rsidR="00191B1C" w:rsidRPr="00045C84" w:rsidRDefault="00191B1C" w:rsidP="00191B1C">
      <w:pPr>
        <w:pStyle w:val="ListBullet2"/>
        <w:rPr>
          <w:rFonts w:asciiTheme="majorHAnsi" w:hAnsiTheme="majorHAnsi"/>
        </w:rPr>
      </w:pPr>
      <w:r w:rsidRPr="00045C84">
        <w:rPr>
          <w:rFonts w:asciiTheme="majorHAnsi" w:hAnsiTheme="majorHAnsi"/>
        </w:rPr>
        <w:t>SB: &gt;135 degrees and &lt;=225 degrees.</w:t>
      </w:r>
    </w:p>
    <w:p w14:paraId="3BCC9090" w14:textId="77777777" w:rsidR="00191B1C" w:rsidRPr="00045C84" w:rsidRDefault="00191B1C" w:rsidP="00191B1C">
      <w:pPr>
        <w:pStyle w:val="ListBullet2"/>
        <w:rPr>
          <w:rFonts w:asciiTheme="majorHAnsi" w:hAnsiTheme="majorHAnsi"/>
        </w:rPr>
      </w:pPr>
      <w:r w:rsidRPr="00045C84">
        <w:rPr>
          <w:rFonts w:asciiTheme="majorHAnsi" w:hAnsiTheme="majorHAnsi"/>
        </w:rPr>
        <w:t>EB: &gt;225 degrees and &lt;=315 degrees.</w:t>
      </w:r>
    </w:p>
    <w:p w14:paraId="31D2BAB5" w14:textId="77777777" w:rsidR="00191B1C" w:rsidRPr="00045C84" w:rsidRDefault="00191B1C" w:rsidP="00191B1C">
      <w:pPr>
        <w:pStyle w:val="ListBullet"/>
        <w:rPr>
          <w:rFonts w:asciiTheme="majorHAnsi" w:hAnsiTheme="majorHAnsi"/>
        </w:rPr>
      </w:pPr>
      <w:r w:rsidRPr="00045C84">
        <w:rPr>
          <w:rFonts w:asciiTheme="majorHAnsi" w:hAnsiTheme="majorHAnsi"/>
          <w:b/>
        </w:rPr>
        <w:t>IB_OB</w:t>
      </w:r>
      <w:r w:rsidRPr="00045C84">
        <w:rPr>
          <w:rFonts w:asciiTheme="majorHAnsi" w:hAnsiTheme="majorHAnsi"/>
        </w:rPr>
        <w:t>: Stores the directional sense of the link relative to the travel shed center point:</w:t>
      </w:r>
    </w:p>
    <w:p w14:paraId="7C5175C9" w14:textId="77777777" w:rsidR="00191B1C" w:rsidRPr="00045C84" w:rsidRDefault="00191B1C" w:rsidP="00191B1C">
      <w:pPr>
        <w:pStyle w:val="ListBullet2"/>
        <w:rPr>
          <w:rFonts w:asciiTheme="majorHAnsi" w:hAnsiTheme="majorHAnsi"/>
        </w:rPr>
      </w:pPr>
      <w:r w:rsidRPr="00045C84">
        <w:rPr>
          <w:rFonts w:asciiTheme="majorHAnsi" w:hAnsiTheme="majorHAnsi"/>
        </w:rPr>
        <w:t>IB: Inbound.</w:t>
      </w:r>
    </w:p>
    <w:p w14:paraId="5C209D86" w14:textId="77777777" w:rsidR="00191B1C" w:rsidRPr="00045C84" w:rsidRDefault="00191B1C" w:rsidP="00191B1C">
      <w:pPr>
        <w:pStyle w:val="ListBullet2"/>
        <w:rPr>
          <w:rFonts w:asciiTheme="majorHAnsi" w:hAnsiTheme="majorHAnsi"/>
        </w:rPr>
      </w:pPr>
      <w:r w:rsidRPr="00045C84">
        <w:rPr>
          <w:rFonts w:asciiTheme="majorHAnsi" w:hAnsiTheme="majorHAnsi"/>
        </w:rPr>
        <w:t>OB: Outbound.</w:t>
      </w:r>
    </w:p>
    <w:p w14:paraId="6A48011B" w14:textId="77777777" w:rsidR="00191B1C" w:rsidRPr="00045C84" w:rsidRDefault="00191B1C" w:rsidP="00191B1C">
      <w:pPr>
        <w:pStyle w:val="ListBullet"/>
        <w:rPr>
          <w:rFonts w:asciiTheme="majorHAnsi" w:hAnsiTheme="majorHAnsi"/>
        </w:rPr>
      </w:pPr>
      <w:proofErr w:type="spellStart"/>
      <w:r w:rsidRPr="00045C84">
        <w:rPr>
          <w:rFonts w:asciiTheme="majorHAnsi" w:hAnsiTheme="majorHAnsi"/>
          <w:b/>
        </w:rPr>
        <w:t>PkDirPrd</w:t>
      </w:r>
      <w:proofErr w:type="spellEnd"/>
      <w:r w:rsidRPr="00045C84">
        <w:rPr>
          <w:rFonts w:asciiTheme="majorHAnsi" w:hAnsiTheme="majorHAnsi"/>
        </w:rPr>
        <w:t>: Stores the time period of the peak direction:</w:t>
      </w:r>
    </w:p>
    <w:p w14:paraId="675F6A6F" w14:textId="77777777" w:rsidR="00191B1C" w:rsidRPr="00045C84" w:rsidRDefault="00191B1C" w:rsidP="00191B1C">
      <w:pPr>
        <w:pStyle w:val="ListBullet2"/>
        <w:rPr>
          <w:rFonts w:asciiTheme="majorHAnsi" w:hAnsiTheme="majorHAnsi"/>
        </w:rPr>
      </w:pPr>
      <w:r w:rsidRPr="00045C84">
        <w:rPr>
          <w:rFonts w:asciiTheme="majorHAnsi" w:hAnsiTheme="majorHAnsi"/>
        </w:rPr>
        <w:t>1: Peak direction is inbound in AM period.</w:t>
      </w:r>
    </w:p>
    <w:p w14:paraId="5283074E" w14:textId="77777777" w:rsidR="00191B1C" w:rsidRPr="00045C84" w:rsidRDefault="00191B1C" w:rsidP="00191B1C">
      <w:pPr>
        <w:pStyle w:val="ListBullet2"/>
        <w:rPr>
          <w:rFonts w:asciiTheme="majorHAnsi" w:hAnsiTheme="majorHAnsi"/>
        </w:rPr>
      </w:pPr>
      <w:r w:rsidRPr="00045C84">
        <w:rPr>
          <w:rFonts w:asciiTheme="majorHAnsi" w:hAnsiTheme="majorHAnsi"/>
        </w:rPr>
        <w:t>3: Peak direction is outbound in PM period.</w:t>
      </w:r>
    </w:p>
    <w:p w14:paraId="07BC1328" w14:textId="77777777" w:rsidR="00191B1C" w:rsidRPr="00045C84" w:rsidRDefault="00191B1C" w:rsidP="00191B1C">
      <w:pPr>
        <w:pStyle w:val="ListBullet"/>
        <w:rPr>
          <w:rFonts w:asciiTheme="majorHAnsi" w:hAnsiTheme="majorHAnsi"/>
        </w:rPr>
      </w:pPr>
      <w:proofErr w:type="spellStart"/>
      <w:r w:rsidRPr="00045C84">
        <w:rPr>
          <w:rFonts w:asciiTheme="majorHAnsi" w:hAnsiTheme="majorHAnsi"/>
          <w:b/>
        </w:rPr>
        <w:t>Rel_Ln</w:t>
      </w:r>
      <w:proofErr w:type="spellEnd"/>
      <w:r w:rsidRPr="00045C84">
        <w:rPr>
          <w:rFonts w:asciiTheme="majorHAnsi" w:hAnsiTheme="majorHAnsi"/>
        </w:rPr>
        <w:t>: Stores the value of the reliability lane field from the scenario field in the master network.</w:t>
      </w:r>
    </w:p>
    <w:p w14:paraId="55379483" w14:textId="576D82AC" w:rsidR="00191B1C" w:rsidRPr="00045C84" w:rsidRDefault="00191B1C" w:rsidP="00191B1C">
      <w:pPr>
        <w:pStyle w:val="BodyParagraph"/>
        <w:rPr>
          <w:rFonts w:asciiTheme="majorHAnsi" w:hAnsiTheme="majorHAnsi"/>
        </w:rPr>
      </w:pPr>
      <w:r w:rsidRPr="00045C84">
        <w:rPr>
          <w:rFonts w:asciiTheme="majorHAnsi" w:hAnsiTheme="majorHAnsi"/>
        </w:rPr>
        <w:lastRenderedPageBreak/>
        <w:t xml:space="preserve">The AdHOVCap1H link variable was also modified in the network processing script. This variable already exists and is used in the distribution model to determine the extra capacity on a link due to the presence of a HOV/HOT lane on freeways. The script was modified to expand the calculation to include arterials and freeways based on the code shown in </w:t>
      </w:r>
      <w:r w:rsidR="008F2AFB">
        <w:rPr>
          <w:rFonts w:asciiTheme="majorHAnsi" w:hAnsiTheme="majorHAnsi"/>
        </w:rPr>
        <w:t xml:space="preserve">Figure 40. </w:t>
      </w:r>
    </w:p>
    <w:p w14:paraId="1F966579" w14:textId="34D2F543" w:rsidR="00191B1C" w:rsidRDefault="00191B1C" w:rsidP="008F2AFB">
      <w:pPr>
        <w:pStyle w:val="Heading4"/>
      </w:pPr>
      <w:bookmarkStart w:id="11" w:name="_Ref471311896"/>
      <w:bookmarkStart w:id="12" w:name="_Toc474326299"/>
      <w:r>
        <w:t xml:space="preserve">Figure </w:t>
      </w:r>
      <w:bookmarkEnd w:id="11"/>
      <w:r w:rsidR="003C465C">
        <w:t>40</w:t>
      </w:r>
      <w:r>
        <w:t>: Calculating Arterial Managed Lane Capacity for the Distribution Model Code</w:t>
      </w:r>
      <w:bookmarkEnd w:id="12"/>
    </w:p>
    <w:p w14:paraId="246F5802" w14:textId="1CEE74B9" w:rsidR="00191B1C" w:rsidRDefault="007B7C5F" w:rsidP="00191B1C">
      <w:pPr>
        <w:pStyle w:val="BodyParagraph"/>
      </w:pPr>
      <w:r>
        <w:rPr>
          <w:noProof/>
        </w:rPr>
        <w:drawing>
          <wp:inline distT="0" distB="0" distL="0" distR="0" wp14:anchorId="4CB4A4D6" wp14:editId="003E39E2">
            <wp:extent cx="594360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6150"/>
                    </a:xfrm>
                    <a:prstGeom prst="rect">
                      <a:avLst/>
                    </a:prstGeom>
                  </pic:spPr>
                </pic:pic>
              </a:graphicData>
            </a:graphic>
          </wp:inline>
        </w:drawing>
      </w:r>
    </w:p>
    <w:p w14:paraId="3A6A560B" w14:textId="3351EF28" w:rsidR="00191B1C" w:rsidRPr="00045C84" w:rsidRDefault="00191B1C" w:rsidP="00191B1C">
      <w:pPr>
        <w:pStyle w:val="BodyParagraph"/>
        <w:rPr>
          <w:rFonts w:asciiTheme="majorHAnsi" w:hAnsiTheme="majorHAnsi"/>
        </w:rPr>
      </w:pPr>
      <w:r w:rsidRPr="00045C84">
        <w:rPr>
          <w:rFonts w:asciiTheme="majorHAnsi" w:hAnsiTheme="majorHAnsi"/>
        </w:rPr>
        <w:t>The arterial managed lane, one-hour capacity is determined by multiplying 65% of the normal capacity of the arterial link by the number of managed lanes. (This does not change the value of the link’s capacity field, Cap1hr1ln, calculated earlier in the script.) The model assumes that the HOV/HOT lane will be managed to a LOS C or higher, which has been roughly set for the travel model at 65% of the regular capacity.</w:t>
      </w:r>
      <w:r w:rsidR="007B7C5F">
        <w:rPr>
          <w:rFonts w:asciiTheme="majorHAnsi" w:hAnsiTheme="majorHAnsi"/>
        </w:rPr>
        <w:t xml:space="preserve"> </w:t>
      </w:r>
      <w:r w:rsidR="007C59A9">
        <w:rPr>
          <w:rFonts w:asciiTheme="majorHAnsi" w:hAnsiTheme="majorHAnsi"/>
        </w:rPr>
        <w:t>For arterial managed lanes with select grade-separated intersections, the model assumes the facility receives a 20% increase in capacity and free flow speed.</w:t>
      </w:r>
    </w:p>
    <w:p w14:paraId="1B8C375A" w14:textId="77777777" w:rsidR="00191B1C" w:rsidRDefault="00191B1C" w:rsidP="00191B1C">
      <w:pPr>
        <w:pStyle w:val="Heading3"/>
      </w:pPr>
      <w:bookmarkStart w:id="13" w:name="_Toc474326239"/>
      <w:r>
        <w:t>Distribution Script Edits</w:t>
      </w:r>
      <w:bookmarkEnd w:id="13"/>
    </w:p>
    <w:p w14:paraId="09291D77" w14:textId="023E6409" w:rsidR="00191B1C" w:rsidRPr="00B41EF8" w:rsidRDefault="00191B1C" w:rsidP="00191B1C">
      <w:pPr>
        <w:pStyle w:val="BodyParagraph"/>
        <w:rPr>
          <w:rFonts w:asciiTheme="majorHAnsi" w:hAnsiTheme="majorHAnsi"/>
        </w:rPr>
      </w:pPr>
      <w:r w:rsidRPr="00B41EF8">
        <w:rPr>
          <w:rFonts w:asciiTheme="majorHAnsi" w:hAnsiTheme="majorHAnsi"/>
        </w:rPr>
        <w:t xml:space="preserve">The distribution model adds the managed lane capacity in the “4pd_mainbody_distribution.block” file. The model calculates the extra capacity by multiplying the one-hour capacity calculated in the network processing script by the number of hours in each period and stores these into link-working variables. The model then evaluates if the managed lane is reversible (i.e., </w:t>
      </w:r>
      <w:proofErr w:type="spellStart"/>
      <w:r w:rsidRPr="00B41EF8">
        <w:rPr>
          <w:rFonts w:asciiTheme="majorHAnsi" w:hAnsiTheme="majorHAnsi"/>
        </w:rPr>
        <w:t>Rel_Ln</w:t>
      </w:r>
      <w:proofErr w:type="spellEnd"/>
      <w:r w:rsidR="003F5F00">
        <w:rPr>
          <w:rFonts w:asciiTheme="majorHAnsi" w:hAnsiTheme="majorHAnsi"/>
        </w:rPr>
        <w:t>=</w:t>
      </w:r>
      <w:r w:rsidRPr="00B41EF8">
        <w:rPr>
          <w:rFonts w:asciiTheme="majorHAnsi" w:hAnsiTheme="majorHAnsi"/>
        </w:rPr>
        <w:t xml:space="preserve">11-19). If the link contains a reversible lane, then the managed lane capacity is added in the peak direction only (inbound peak directions are AM and EV periods, outbound peak directions are MD and PM periods). If the reversible lane is on a freeway, then off-peak direction links are excluded from the path choice. </w:t>
      </w:r>
      <w:r w:rsidR="008F2AFB">
        <w:rPr>
          <w:rFonts w:asciiTheme="majorHAnsi" w:hAnsiTheme="majorHAnsi"/>
        </w:rPr>
        <w:t xml:space="preserve">Figure 41 </w:t>
      </w:r>
      <w:r w:rsidRPr="00B41EF8">
        <w:rPr>
          <w:rFonts w:asciiTheme="majorHAnsi" w:hAnsiTheme="majorHAnsi"/>
        </w:rPr>
        <w:t>shows the code block containing the capacity edits.</w:t>
      </w:r>
    </w:p>
    <w:p w14:paraId="0AA9EF53" w14:textId="77777777" w:rsidR="00D41FD2" w:rsidRDefault="00D41FD2" w:rsidP="00191B1C">
      <w:pPr>
        <w:pStyle w:val="Caption"/>
      </w:pPr>
      <w:bookmarkStart w:id="14" w:name="_Ref471312018"/>
      <w:bookmarkStart w:id="15" w:name="_Toc474326300"/>
    </w:p>
    <w:p w14:paraId="344EE792" w14:textId="77777777" w:rsidR="00D41FD2" w:rsidRDefault="00D41FD2" w:rsidP="00191B1C">
      <w:pPr>
        <w:pStyle w:val="Caption"/>
      </w:pPr>
    </w:p>
    <w:p w14:paraId="52168A27" w14:textId="77777777" w:rsidR="00D41FD2" w:rsidRDefault="00D41FD2" w:rsidP="00191B1C">
      <w:pPr>
        <w:pStyle w:val="Caption"/>
      </w:pPr>
    </w:p>
    <w:p w14:paraId="45BEEA43" w14:textId="77777777" w:rsidR="00D41FD2" w:rsidRDefault="00D41FD2" w:rsidP="00191B1C">
      <w:pPr>
        <w:pStyle w:val="Caption"/>
      </w:pPr>
    </w:p>
    <w:p w14:paraId="482DDBFD" w14:textId="77777777" w:rsidR="00D41FD2" w:rsidRDefault="00D41FD2" w:rsidP="00191B1C">
      <w:pPr>
        <w:pStyle w:val="Caption"/>
      </w:pPr>
    </w:p>
    <w:p w14:paraId="225D55F9" w14:textId="77777777" w:rsidR="00D41FD2" w:rsidRDefault="00D41FD2" w:rsidP="00191B1C">
      <w:pPr>
        <w:pStyle w:val="Caption"/>
      </w:pPr>
    </w:p>
    <w:p w14:paraId="71B7FBDC" w14:textId="77777777" w:rsidR="00D41FD2" w:rsidRDefault="00D41FD2" w:rsidP="00191B1C">
      <w:pPr>
        <w:pStyle w:val="Caption"/>
      </w:pPr>
    </w:p>
    <w:bookmarkEnd w:id="14"/>
    <w:p w14:paraId="2CC1172F" w14:textId="40350ED6" w:rsidR="00191B1C" w:rsidRDefault="008F2AFB" w:rsidP="008F2AFB">
      <w:pPr>
        <w:pStyle w:val="Heading4"/>
      </w:pPr>
      <w:r>
        <w:t xml:space="preserve">Figure 41: </w:t>
      </w:r>
      <w:r w:rsidR="00191B1C">
        <w:t xml:space="preserve"> Adding Managed Lane Capacity in the Distribution Model Code</w:t>
      </w:r>
      <w:bookmarkEnd w:id="15"/>
    </w:p>
    <w:p w14:paraId="5E8FFC79" w14:textId="30ABAE80" w:rsidR="00191B1C" w:rsidRDefault="00191B1C" w:rsidP="00191B1C">
      <w:pPr>
        <w:pStyle w:val="BodyParagraph"/>
      </w:pPr>
      <w:r>
        <w:rPr>
          <w:noProof/>
        </w:rPr>
        <w:drawing>
          <wp:inline distT="0" distB="0" distL="0" distR="0" wp14:anchorId="45523E44" wp14:editId="1E034CA5">
            <wp:extent cx="5486400" cy="3783623"/>
            <wp:effectExtent l="0" t="0" r="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783623"/>
                    </a:xfrm>
                    <a:prstGeom prst="rect">
                      <a:avLst/>
                    </a:prstGeom>
                  </pic:spPr>
                </pic:pic>
              </a:graphicData>
            </a:graphic>
          </wp:inline>
        </w:drawing>
      </w:r>
    </w:p>
    <w:p w14:paraId="7FA00E95" w14:textId="77777777" w:rsidR="00191B1C" w:rsidRDefault="00191B1C" w:rsidP="00191B1C">
      <w:pPr>
        <w:pStyle w:val="BodyParagraph"/>
      </w:pPr>
    </w:p>
    <w:p w14:paraId="1118D6C9" w14:textId="77777777" w:rsidR="00191B1C" w:rsidRDefault="00191B1C" w:rsidP="00191B1C">
      <w:pPr>
        <w:pStyle w:val="Heading3"/>
      </w:pPr>
      <w:bookmarkStart w:id="16" w:name="_Toc474326240"/>
      <w:r>
        <w:t>Mode Choice Script Edits</w:t>
      </w:r>
      <w:bookmarkEnd w:id="16"/>
    </w:p>
    <w:p w14:paraId="69837B59" w14:textId="77777777" w:rsidR="00191B1C" w:rsidRPr="00B41EF8" w:rsidRDefault="00191B1C" w:rsidP="00191B1C">
      <w:pPr>
        <w:pStyle w:val="BodyParagraph"/>
        <w:rPr>
          <w:rFonts w:asciiTheme="majorHAnsi" w:hAnsiTheme="majorHAnsi"/>
        </w:rPr>
      </w:pPr>
      <w:r w:rsidRPr="00B41EF8">
        <w:rPr>
          <w:rFonts w:asciiTheme="majorHAnsi" w:hAnsiTheme="majorHAnsi"/>
        </w:rPr>
        <w:t>Significant changes were made to the auto skim script, “03_Skim_auto.s,” in the mode choice section of the model. The script was rewritten to expressly account for travel times on managed lane facilities. The script estimates travel times and distances between zones along different possible paths: general-purpose lanes, HOV, HOT, and toll facilities. Travel times and distances are then used later in calculating the mode of each trip.</w:t>
      </w:r>
    </w:p>
    <w:p w14:paraId="741FF619" w14:textId="77777777" w:rsidR="00191B1C" w:rsidRPr="00B41EF8" w:rsidRDefault="00191B1C" w:rsidP="00191B1C">
      <w:pPr>
        <w:pStyle w:val="BodyParagraph"/>
        <w:rPr>
          <w:rFonts w:asciiTheme="majorHAnsi" w:hAnsiTheme="majorHAnsi"/>
        </w:rPr>
      </w:pPr>
      <w:r w:rsidRPr="00B41EF8">
        <w:rPr>
          <w:rFonts w:asciiTheme="majorHAnsi" w:hAnsiTheme="majorHAnsi"/>
        </w:rPr>
        <w:t>Travel times on arterial managed lanes were set using a similar pattern to freeway managed lane travel times:</w:t>
      </w:r>
    </w:p>
    <w:p w14:paraId="09310516" w14:textId="77777777" w:rsidR="00191B1C" w:rsidRPr="00B41EF8" w:rsidRDefault="00191B1C" w:rsidP="00191B1C">
      <w:pPr>
        <w:pStyle w:val="ListBullet"/>
        <w:rPr>
          <w:rFonts w:asciiTheme="majorHAnsi" w:hAnsiTheme="majorHAnsi"/>
        </w:rPr>
      </w:pPr>
      <w:r w:rsidRPr="00B41EF8">
        <w:rPr>
          <w:rFonts w:asciiTheme="majorHAnsi" w:hAnsiTheme="majorHAnsi"/>
        </w:rPr>
        <w:t>Off-peak travel times (based on MD period) are assumed to be 98% of free flow speed.</w:t>
      </w:r>
    </w:p>
    <w:p w14:paraId="389CD4F7" w14:textId="77777777" w:rsidR="00191B1C" w:rsidRPr="00B41EF8" w:rsidRDefault="00191B1C" w:rsidP="00191B1C">
      <w:pPr>
        <w:pStyle w:val="ListBullet"/>
        <w:rPr>
          <w:rFonts w:asciiTheme="majorHAnsi" w:hAnsiTheme="majorHAnsi"/>
        </w:rPr>
      </w:pPr>
      <w:r w:rsidRPr="00B41EF8">
        <w:rPr>
          <w:rFonts w:asciiTheme="majorHAnsi" w:hAnsiTheme="majorHAnsi"/>
        </w:rPr>
        <w:lastRenderedPageBreak/>
        <w:t>AM and PM peak travel times are assumed to be 85% of free flow speed (or approximately LOS C).</w:t>
      </w:r>
    </w:p>
    <w:p w14:paraId="73A2D581" w14:textId="77777777" w:rsidR="00191B1C" w:rsidRPr="00B41EF8" w:rsidRDefault="00191B1C" w:rsidP="00191B1C">
      <w:pPr>
        <w:pStyle w:val="BodyParagraph"/>
        <w:rPr>
          <w:rFonts w:asciiTheme="majorHAnsi" w:hAnsiTheme="majorHAnsi"/>
        </w:rPr>
      </w:pPr>
      <w:r w:rsidRPr="00B41EF8">
        <w:rPr>
          <w:rFonts w:asciiTheme="majorHAnsi" w:hAnsiTheme="majorHAnsi"/>
        </w:rPr>
        <w:t>For reversible lanes, travel times are only considered in the peak direction. Off-peak direction travel times are set to a high value; these will not be considered viable paths in the path builder.</w:t>
      </w:r>
    </w:p>
    <w:p w14:paraId="7F6F2C5F" w14:textId="77777777" w:rsidR="00191B1C" w:rsidRDefault="00191B1C" w:rsidP="00191B1C">
      <w:pPr>
        <w:pStyle w:val="Heading3"/>
      </w:pPr>
      <w:bookmarkStart w:id="17" w:name="_Toc474326241"/>
      <w:r>
        <w:t>Assignment Script Edits</w:t>
      </w:r>
      <w:bookmarkEnd w:id="17"/>
    </w:p>
    <w:p w14:paraId="02166EDB" w14:textId="33CEB8DD" w:rsidR="00D41FD2" w:rsidRDefault="00191B1C" w:rsidP="00D41FD2">
      <w:pPr>
        <w:pStyle w:val="BodyParagraph"/>
        <w:rPr>
          <w:rFonts w:asciiTheme="majorHAnsi" w:hAnsiTheme="majorHAnsi"/>
        </w:rPr>
      </w:pPr>
      <w:r w:rsidRPr="00B41EF8">
        <w:rPr>
          <w:rFonts w:asciiTheme="majorHAnsi" w:hAnsiTheme="majorHAnsi"/>
        </w:rPr>
        <w:t>The final assignment script was edited, like distribution and mode choice, to account for reliability lanes. The script accounts for the presence of a reliability lane by adjusting the capacity. If a link is coded as a reliability lane on an arterial, then the model increases the link’s capacity using the same method as the distribution script. For both arterials and freeways coded as reversible lanes, the model adds capacity in the peak direction only. The capacity on arterials is added only in memory. The model does not report the added capacity onto the network links.</w:t>
      </w:r>
      <w:bookmarkStart w:id="18" w:name="_Toc474326242"/>
    </w:p>
    <w:bookmarkEnd w:id="18"/>
    <w:p w14:paraId="05B26884" w14:textId="77777777" w:rsidR="00D41FD2" w:rsidRDefault="00D41FD2" w:rsidP="00191B1C">
      <w:pPr>
        <w:pStyle w:val="BodyParagraph"/>
      </w:pPr>
    </w:p>
    <w:p w14:paraId="386707B4" w14:textId="77777777" w:rsidR="00503092" w:rsidRDefault="00503092" w:rsidP="00191B1C">
      <w:pPr>
        <w:pStyle w:val="BodyParagraph"/>
      </w:pPr>
    </w:p>
    <w:sectPr w:rsidR="00503092" w:rsidSect="00437928">
      <w:headerReference w:type="even" r:id="rId12"/>
      <w:headerReference w:type="default" r:id="rId13"/>
      <w:footerReference w:type="even" r:id="rId14"/>
      <w:footerReference w:type="default" r:id="rId15"/>
      <w:headerReference w:type="first" r:id="rId16"/>
      <w:footerReference w:type="first" r:id="rId17"/>
      <w:pgSz w:w="12240" w:h="15840"/>
      <w:pgMar w:top="2258"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3B132" w14:textId="77777777" w:rsidR="000C35EA" w:rsidRDefault="000C35EA" w:rsidP="00014B5F">
      <w:r>
        <w:separator/>
      </w:r>
    </w:p>
  </w:endnote>
  <w:endnote w:type="continuationSeparator" w:id="0">
    <w:p w14:paraId="526921FF" w14:textId="77777777" w:rsidR="000C35EA" w:rsidRDefault="000C35EA" w:rsidP="0001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yriad Pro">
    <w:altName w:val="Corbel"/>
    <w:panose1 w:val="00000000000000000000"/>
    <w:charset w:val="00"/>
    <w:family w:val="swiss"/>
    <w:notTrueType/>
    <w:pitch w:val="variable"/>
    <w:sig w:usb0="20000287" w:usb1="00000001" w:usb2="00000000" w:usb3="00000000" w:csb0="000001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221C" w14:textId="77777777" w:rsidR="006214A4" w:rsidRDefault="00621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6360" w14:textId="1A0BA37F" w:rsidR="006214A4" w:rsidRDefault="006214A4" w:rsidP="00F95972">
    <w:pPr>
      <w:pStyle w:val="Footer"/>
      <w:jc w:val="right"/>
    </w:pPr>
    <w:r>
      <w:fldChar w:fldCharType="begin"/>
    </w:r>
    <w:r>
      <w:instrText xml:space="preserve"> PAGE   \* MERGEFORMAT </w:instrText>
    </w:r>
    <w:r>
      <w:fldChar w:fldCharType="separate"/>
    </w:r>
    <w:r w:rsidR="002C2BAE">
      <w:rPr>
        <w:noProof/>
      </w:rPr>
      <w:t>60</w:t>
    </w:r>
    <w:r>
      <w:rPr>
        <w:noProof/>
      </w:rPr>
      <w:fldChar w:fldCharType="end"/>
    </w:r>
    <w:r>
      <w:rPr>
        <w:noProof/>
      </w:rPr>
      <w:drawing>
        <wp:anchor distT="0" distB="0" distL="114300" distR="114300" simplePos="0" relativeHeight="251655680" behindDoc="1" locked="0" layoutInCell="1" allowOverlap="1" wp14:anchorId="53A0F404" wp14:editId="60BE0D66">
          <wp:simplePos x="0" y="0"/>
          <wp:positionH relativeFrom="column">
            <wp:posOffset>-904875</wp:posOffset>
          </wp:positionH>
          <wp:positionV relativeFrom="paragraph">
            <wp:posOffset>-139065</wp:posOffset>
          </wp:positionV>
          <wp:extent cx="5362575" cy="555843"/>
          <wp:effectExtent l="0" t="0" r="0" b="0"/>
          <wp:wrapNone/>
          <wp:docPr id="6" name="Picture 6" descr="Macintosh HD:Users:erico:Desktop:partn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co:Desktop:partne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2575" cy="55584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103D9" w14:textId="77777777" w:rsidR="006214A4" w:rsidRDefault="00621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4FC0B" w14:textId="77777777" w:rsidR="000C35EA" w:rsidRDefault="000C35EA" w:rsidP="00014B5F">
      <w:r>
        <w:separator/>
      </w:r>
    </w:p>
  </w:footnote>
  <w:footnote w:type="continuationSeparator" w:id="0">
    <w:p w14:paraId="3FD0C335" w14:textId="77777777" w:rsidR="000C35EA" w:rsidRDefault="000C35EA" w:rsidP="00014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A97A" w14:textId="77777777" w:rsidR="006214A4" w:rsidRDefault="00621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A41E8" w14:textId="30296456" w:rsidR="006214A4" w:rsidRDefault="006214A4">
    <w:pPr>
      <w:pStyle w:val="Header"/>
    </w:pPr>
    <w:r w:rsidRPr="00014B5F">
      <w:rPr>
        <w:noProof/>
      </w:rPr>
      <w:drawing>
        <wp:anchor distT="0" distB="0" distL="114300" distR="114300" simplePos="0" relativeHeight="251656704" behindDoc="1" locked="0" layoutInCell="1" allowOverlap="1" wp14:anchorId="0B4BA5A4" wp14:editId="701E4098">
          <wp:simplePos x="0" y="0"/>
          <wp:positionH relativeFrom="column">
            <wp:posOffset>4158615</wp:posOffset>
          </wp:positionH>
          <wp:positionV relativeFrom="paragraph">
            <wp:posOffset>-278221</wp:posOffset>
          </wp:positionV>
          <wp:extent cx="2030091" cy="1257300"/>
          <wp:effectExtent l="0" t="0" r="0" b="0"/>
          <wp:wrapNone/>
          <wp:docPr id="4" name="Picture 4" descr="6561_2_UDOT_FR_Project_Identity_V1 copy-1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6561_2_UDOT_FR_Project_Identity_V1 copy-17.eps"/>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0091" cy="1257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B9A8" w14:textId="77777777" w:rsidR="006214A4" w:rsidRDefault="00621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B90"/>
    <w:multiLevelType w:val="hybridMultilevel"/>
    <w:tmpl w:val="9E58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AD5"/>
    <w:multiLevelType w:val="hybridMultilevel"/>
    <w:tmpl w:val="9576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2454"/>
    <w:multiLevelType w:val="multilevel"/>
    <w:tmpl w:val="CBB0B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866012"/>
    <w:multiLevelType w:val="multilevel"/>
    <w:tmpl w:val="30720122"/>
    <w:styleLink w:val="ListBullets"/>
    <w:lvl w:ilvl="0">
      <w:start w:val="1"/>
      <w:numFmt w:val="bullet"/>
      <w:pStyle w:val="ListBullet"/>
      <w:lvlText w:val=""/>
      <w:lvlJc w:val="left"/>
      <w:pPr>
        <w:ind w:left="648" w:hanging="360"/>
      </w:pPr>
      <w:rPr>
        <w:rFonts w:ascii="Symbol" w:hAnsi="Symbol" w:hint="default"/>
        <w:color w:val="000000" w:themeColor="text1"/>
      </w:rPr>
    </w:lvl>
    <w:lvl w:ilvl="1">
      <w:start w:val="1"/>
      <w:numFmt w:val="bullet"/>
      <w:pStyle w:val="ListBullet2"/>
      <w:lvlText w:val="−"/>
      <w:lvlJc w:val="left"/>
      <w:pPr>
        <w:ind w:left="1224" w:hanging="432"/>
      </w:pPr>
      <w:rPr>
        <w:rFonts w:ascii="Garamond" w:hAnsi="Garamond" w:hint="default"/>
        <w:color w:val="000000" w:themeColor="text1"/>
      </w:rPr>
    </w:lvl>
    <w:lvl w:ilvl="2">
      <w:start w:val="1"/>
      <w:numFmt w:val="bullet"/>
      <w:pStyle w:val="ListBullet3"/>
      <w:lvlText w:val="○"/>
      <w:lvlJc w:val="left"/>
      <w:pPr>
        <w:tabs>
          <w:tab w:val="num" w:pos="1800"/>
        </w:tabs>
        <w:ind w:left="1728" w:hanging="360"/>
      </w:pPr>
      <w:rPr>
        <w:rFonts w:ascii="Garamond" w:hAnsi="Garamond" w:hint="default"/>
        <w:color w:val="000000" w:themeColor="text1"/>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CB06DFD"/>
    <w:multiLevelType w:val="hybridMultilevel"/>
    <w:tmpl w:val="BC7A1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B3031"/>
    <w:multiLevelType w:val="hybridMultilevel"/>
    <w:tmpl w:val="7914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32C26"/>
    <w:multiLevelType w:val="hybridMultilevel"/>
    <w:tmpl w:val="F1783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B42A5"/>
    <w:multiLevelType w:val="hybridMultilevel"/>
    <w:tmpl w:val="F6304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4F95"/>
    <w:multiLevelType w:val="hybridMultilevel"/>
    <w:tmpl w:val="B8A6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319CF"/>
    <w:multiLevelType w:val="hybridMultilevel"/>
    <w:tmpl w:val="A31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E13C5"/>
    <w:multiLevelType w:val="hybridMultilevel"/>
    <w:tmpl w:val="220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94947"/>
    <w:multiLevelType w:val="hybridMultilevel"/>
    <w:tmpl w:val="A8682C0E"/>
    <w:lvl w:ilvl="0" w:tplc="8BF6C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83D8F"/>
    <w:multiLevelType w:val="hybridMultilevel"/>
    <w:tmpl w:val="C91A8D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181344A0"/>
    <w:multiLevelType w:val="hybridMultilevel"/>
    <w:tmpl w:val="053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04318"/>
    <w:multiLevelType w:val="hybridMultilevel"/>
    <w:tmpl w:val="4F8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C5CCE"/>
    <w:multiLevelType w:val="hybridMultilevel"/>
    <w:tmpl w:val="45F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A1593"/>
    <w:multiLevelType w:val="hybridMultilevel"/>
    <w:tmpl w:val="D9C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361D1"/>
    <w:multiLevelType w:val="hybridMultilevel"/>
    <w:tmpl w:val="C5F6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47746"/>
    <w:multiLevelType w:val="hybridMultilevel"/>
    <w:tmpl w:val="9E1AB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1260E"/>
    <w:multiLevelType w:val="hybridMultilevel"/>
    <w:tmpl w:val="2958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15CCE"/>
    <w:multiLevelType w:val="hybridMultilevel"/>
    <w:tmpl w:val="0F8E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B1660B"/>
    <w:multiLevelType w:val="hybridMultilevel"/>
    <w:tmpl w:val="E59C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42B8C"/>
    <w:multiLevelType w:val="hybridMultilevel"/>
    <w:tmpl w:val="9400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E0BB6"/>
    <w:multiLevelType w:val="hybridMultilevel"/>
    <w:tmpl w:val="F39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0F55AC"/>
    <w:multiLevelType w:val="hybridMultilevel"/>
    <w:tmpl w:val="FCE6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DF0162"/>
    <w:multiLevelType w:val="hybridMultilevel"/>
    <w:tmpl w:val="7BA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F815E7"/>
    <w:multiLevelType w:val="hybridMultilevel"/>
    <w:tmpl w:val="F578C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DE0F15"/>
    <w:multiLevelType w:val="hybridMultilevel"/>
    <w:tmpl w:val="BBE0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C7F73"/>
    <w:multiLevelType w:val="hybridMultilevel"/>
    <w:tmpl w:val="586E09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40F37EC3"/>
    <w:multiLevelType w:val="hybridMultilevel"/>
    <w:tmpl w:val="B494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F03"/>
    <w:multiLevelType w:val="hybridMultilevel"/>
    <w:tmpl w:val="1DCA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5F3CB5"/>
    <w:multiLevelType w:val="hybridMultilevel"/>
    <w:tmpl w:val="3EA47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C915C1"/>
    <w:multiLevelType w:val="hybridMultilevel"/>
    <w:tmpl w:val="A1B05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439FE"/>
    <w:multiLevelType w:val="hybridMultilevel"/>
    <w:tmpl w:val="79147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A651A"/>
    <w:multiLevelType w:val="hybridMultilevel"/>
    <w:tmpl w:val="D834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A6E70"/>
    <w:multiLevelType w:val="hybridMultilevel"/>
    <w:tmpl w:val="2BEA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15B66"/>
    <w:multiLevelType w:val="hybridMultilevel"/>
    <w:tmpl w:val="5630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002C3"/>
    <w:multiLevelType w:val="hybridMultilevel"/>
    <w:tmpl w:val="2D06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A90EB6"/>
    <w:multiLevelType w:val="hybridMultilevel"/>
    <w:tmpl w:val="2AB0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CB0184"/>
    <w:multiLevelType w:val="hybridMultilevel"/>
    <w:tmpl w:val="8ADA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EB13F9"/>
    <w:multiLevelType w:val="hybridMultilevel"/>
    <w:tmpl w:val="E520869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1" w15:restartNumberingAfterBreak="0">
    <w:nsid w:val="76AD2AA7"/>
    <w:multiLevelType w:val="hybridMultilevel"/>
    <w:tmpl w:val="1842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86182"/>
    <w:multiLevelType w:val="hybridMultilevel"/>
    <w:tmpl w:val="C754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65E10"/>
    <w:multiLevelType w:val="hybridMultilevel"/>
    <w:tmpl w:val="CBF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0"/>
  </w:num>
  <w:num w:numId="4">
    <w:abstractNumId w:val="26"/>
  </w:num>
  <w:num w:numId="5">
    <w:abstractNumId w:val="39"/>
  </w:num>
  <w:num w:numId="6">
    <w:abstractNumId w:val="9"/>
  </w:num>
  <w:num w:numId="7">
    <w:abstractNumId w:val="33"/>
  </w:num>
  <w:num w:numId="8">
    <w:abstractNumId w:val="20"/>
  </w:num>
  <w:num w:numId="9">
    <w:abstractNumId w:val="40"/>
  </w:num>
  <w:num w:numId="10">
    <w:abstractNumId w:val="5"/>
  </w:num>
  <w:num w:numId="11">
    <w:abstractNumId w:val="41"/>
  </w:num>
  <w:num w:numId="12">
    <w:abstractNumId w:val="8"/>
  </w:num>
  <w:num w:numId="13">
    <w:abstractNumId w:val="29"/>
  </w:num>
  <w:num w:numId="14">
    <w:abstractNumId w:val="25"/>
  </w:num>
  <w:num w:numId="15">
    <w:abstractNumId w:val="34"/>
  </w:num>
  <w:num w:numId="16">
    <w:abstractNumId w:val="11"/>
  </w:num>
  <w:num w:numId="17">
    <w:abstractNumId w:val="23"/>
  </w:num>
  <w:num w:numId="18">
    <w:abstractNumId w:val="30"/>
  </w:num>
  <w:num w:numId="19">
    <w:abstractNumId w:val="6"/>
  </w:num>
  <w:num w:numId="20">
    <w:abstractNumId w:val="16"/>
  </w:num>
  <w:num w:numId="21">
    <w:abstractNumId w:val="4"/>
  </w:num>
  <w:num w:numId="22">
    <w:abstractNumId w:val="28"/>
  </w:num>
  <w:num w:numId="23">
    <w:abstractNumId w:val="10"/>
  </w:num>
  <w:num w:numId="24">
    <w:abstractNumId w:val="43"/>
  </w:num>
  <w:num w:numId="25">
    <w:abstractNumId w:val="1"/>
  </w:num>
  <w:num w:numId="26">
    <w:abstractNumId w:val="27"/>
  </w:num>
  <w:num w:numId="27">
    <w:abstractNumId w:val="13"/>
  </w:num>
  <w:num w:numId="28">
    <w:abstractNumId w:val="38"/>
  </w:num>
  <w:num w:numId="29">
    <w:abstractNumId w:val="21"/>
  </w:num>
  <w:num w:numId="30">
    <w:abstractNumId w:val="15"/>
  </w:num>
  <w:num w:numId="31">
    <w:abstractNumId w:val="14"/>
  </w:num>
  <w:num w:numId="32">
    <w:abstractNumId w:val="31"/>
  </w:num>
  <w:num w:numId="33">
    <w:abstractNumId w:val="7"/>
  </w:num>
  <w:num w:numId="34">
    <w:abstractNumId w:val="18"/>
  </w:num>
  <w:num w:numId="35">
    <w:abstractNumId w:val="17"/>
  </w:num>
  <w:num w:numId="36">
    <w:abstractNumId w:val="24"/>
  </w:num>
  <w:num w:numId="37">
    <w:abstractNumId w:val="19"/>
  </w:num>
  <w:num w:numId="38">
    <w:abstractNumId w:val="42"/>
  </w:num>
  <w:num w:numId="39">
    <w:abstractNumId w:val="12"/>
  </w:num>
  <w:num w:numId="40">
    <w:abstractNumId w:val="37"/>
  </w:num>
  <w:num w:numId="41">
    <w:abstractNumId w:val="3"/>
  </w:num>
  <w:num w:numId="42">
    <w:abstractNumId w:val="35"/>
  </w:num>
  <w:num w:numId="43">
    <w:abstractNumId w:val="22"/>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5F"/>
    <w:rsid w:val="0000152B"/>
    <w:rsid w:val="00004A09"/>
    <w:rsid w:val="000066C8"/>
    <w:rsid w:val="00014110"/>
    <w:rsid w:val="00014B5F"/>
    <w:rsid w:val="00017C4C"/>
    <w:rsid w:val="00017DD0"/>
    <w:rsid w:val="000257B2"/>
    <w:rsid w:val="0002607D"/>
    <w:rsid w:val="00026196"/>
    <w:rsid w:val="00026899"/>
    <w:rsid w:val="00036FC0"/>
    <w:rsid w:val="0004481B"/>
    <w:rsid w:val="00045C84"/>
    <w:rsid w:val="00055732"/>
    <w:rsid w:val="00055A47"/>
    <w:rsid w:val="00057954"/>
    <w:rsid w:val="00060B40"/>
    <w:rsid w:val="00065B5B"/>
    <w:rsid w:val="00067153"/>
    <w:rsid w:val="00070BCA"/>
    <w:rsid w:val="00070EE7"/>
    <w:rsid w:val="000746C6"/>
    <w:rsid w:val="0007555E"/>
    <w:rsid w:val="00075E9B"/>
    <w:rsid w:val="00080B7A"/>
    <w:rsid w:val="000816E6"/>
    <w:rsid w:val="00081811"/>
    <w:rsid w:val="00092813"/>
    <w:rsid w:val="00094FAB"/>
    <w:rsid w:val="000A2170"/>
    <w:rsid w:val="000A348E"/>
    <w:rsid w:val="000B0CC6"/>
    <w:rsid w:val="000B2796"/>
    <w:rsid w:val="000B3268"/>
    <w:rsid w:val="000C35EA"/>
    <w:rsid w:val="000C4552"/>
    <w:rsid w:val="000C4FB3"/>
    <w:rsid w:val="000C5EB6"/>
    <w:rsid w:val="000D6F74"/>
    <w:rsid w:val="000E576F"/>
    <w:rsid w:val="000E7B70"/>
    <w:rsid w:val="000F745A"/>
    <w:rsid w:val="000F74DE"/>
    <w:rsid w:val="001113AB"/>
    <w:rsid w:val="00113E69"/>
    <w:rsid w:val="00114781"/>
    <w:rsid w:val="00116B1A"/>
    <w:rsid w:val="00123857"/>
    <w:rsid w:val="00127A38"/>
    <w:rsid w:val="001377B4"/>
    <w:rsid w:val="001439F9"/>
    <w:rsid w:val="001475B9"/>
    <w:rsid w:val="0016216B"/>
    <w:rsid w:val="0016238C"/>
    <w:rsid w:val="00173ECF"/>
    <w:rsid w:val="00176260"/>
    <w:rsid w:val="00176784"/>
    <w:rsid w:val="00180B8A"/>
    <w:rsid w:val="00182352"/>
    <w:rsid w:val="001848FB"/>
    <w:rsid w:val="001873AF"/>
    <w:rsid w:val="001909E3"/>
    <w:rsid w:val="00191B1C"/>
    <w:rsid w:val="001A50BF"/>
    <w:rsid w:val="001B409C"/>
    <w:rsid w:val="001B56D2"/>
    <w:rsid w:val="001B6BF9"/>
    <w:rsid w:val="001C0C41"/>
    <w:rsid w:val="001C0CC4"/>
    <w:rsid w:val="001C11EE"/>
    <w:rsid w:val="001C14F4"/>
    <w:rsid w:val="001C2BE2"/>
    <w:rsid w:val="001C5246"/>
    <w:rsid w:val="001C627A"/>
    <w:rsid w:val="001D0FC7"/>
    <w:rsid w:val="001D4DEE"/>
    <w:rsid w:val="001E0428"/>
    <w:rsid w:val="001F44FD"/>
    <w:rsid w:val="001F48BF"/>
    <w:rsid w:val="001F548A"/>
    <w:rsid w:val="00201A4C"/>
    <w:rsid w:val="00202BE5"/>
    <w:rsid w:val="002077BD"/>
    <w:rsid w:val="0021255D"/>
    <w:rsid w:val="002158B8"/>
    <w:rsid w:val="002175FB"/>
    <w:rsid w:val="00217E99"/>
    <w:rsid w:val="00220DB8"/>
    <w:rsid w:val="00222963"/>
    <w:rsid w:val="00226081"/>
    <w:rsid w:val="002342BE"/>
    <w:rsid w:val="002359A4"/>
    <w:rsid w:val="00247AEA"/>
    <w:rsid w:val="00253763"/>
    <w:rsid w:val="00264511"/>
    <w:rsid w:val="002679FE"/>
    <w:rsid w:val="00273164"/>
    <w:rsid w:val="002806D3"/>
    <w:rsid w:val="00280F68"/>
    <w:rsid w:val="00281CDC"/>
    <w:rsid w:val="00283663"/>
    <w:rsid w:val="00286259"/>
    <w:rsid w:val="00286549"/>
    <w:rsid w:val="002876B9"/>
    <w:rsid w:val="002A00DA"/>
    <w:rsid w:val="002A5A07"/>
    <w:rsid w:val="002A663C"/>
    <w:rsid w:val="002B08BE"/>
    <w:rsid w:val="002B7559"/>
    <w:rsid w:val="002C2BAE"/>
    <w:rsid w:val="002C2D95"/>
    <w:rsid w:val="002C2F67"/>
    <w:rsid w:val="002C4DCB"/>
    <w:rsid w:val="002D6152"/>
    <w:rsid w:val="002F2783"/>
    <w:rsid w:val="002F3661"/>
    <w:rsid w:val="002F3A8F"/>
    <w:rsid w:val="002F715B"/>
    <w:rsid w:val="00304451"/>
    <w:rsid w:val="00306744"/>
    <w:rsid w:val="00307649"/>
    <w:rsid w:val="0031107F"/>
    <w:rsid w:val="003154FE"/>
    <w:rsid w:val="003279E5"/>
    <w:rsid w:val="003329AB"/>
    <w:rsid w:val="003333D7"/>
    <w:rsid w:val="00335994"/>
    <w:rsid w:val="00344BD8"/>
    <w:rsid w:val="00350A07"/>
    <w:rsid w:val="00350E6C"/>
    <w:rsid w:val="003512C9"/>
    <w:rsid w:val="003543C1"/>
    <w:rsid w:val="00356DEA"/>
    <w:rsid w:val="003647B3"/>
    <w:rsid w:val="0037291C"/>
    <w:rsid w:val="003737EC"/>
    <w:rsid w:val="00376F03"/>
    <w:rsid w:val="00382D97"/>
    <w:rsid w:val="00390E16"/>
    <w:rsid w:val="00392C98"/>
    <w:rsid w:val="003938B2"/>
    <w:rsid w:val="00395887"/>
    <w:rsid w:val="003958E9"/>
    <w:rsid w:val="003A371F"/>
    <w:rsid w:val="003A41F2"/>
    <w:rsid w:val="003B1113"/>
    <w:rsid w:val="003C465C"/>
    <w:rsid w:val="003D123A"/>
    <w:rsid w:val="003D18FF"/>
    <w:rsid w:val="003D2780"/>
    <w:rsid w:val="003D40A1"/>
    <w:rsid w:val="003D6ECC"/>
    <w:rsid w:val="003E5832"/>
    <w:rsid w:val="003F1336"/>
    <w:rsid w:val="003F4BC2"/>
    <w:rsid w:val="003F5F00"/>
    <w:rsid w:val="00403F7F"/>
    <w:rsid w:val="00420BF3"/>
    <w:rsid w:val="00423564"/>
    <w:rsid w:val="0043074F"/>
    <w:rsid w:val="00437928"/>
    <w:rsid w:val="004407BB"/>
    <w:rsid w:val="00450F70"/>
    <w:rsid w:val="00460FB8"/>
    <w:rsid w:val="004632C1"/>
    <w:rsid w:val="004669FC"/>
    <w:rsid w:val="004735DD"/>
    <w:rsid w:val="004921F5"/>
    <w:rsid w:val="00492980"/>
    <w:rsid w:val="004A5ADB"/>
    <w:rsid w:val="004A6F8B"/>
    <w:rsid w:val="004B3E7E"/>
    <w:rsid w:val="004B4C56"/>
    <w:rsid w:val="004B7AA6"/>
    <w:rsid w:val="004B7B61"/>
    <w:rsid w:val="004C4FBB"/>
    <w:rsid w:val="004D1E9B"/>
    <w:rsid w:val="004D42CA"/>
    <w:rsid w:val="004E1568"/>
    <w:rsid w:val="004E178E"/>
    <w:rsid w:val="004F0B75"/>
    <w:rsid w:val="004F3B15"/>
    <w:rsid w:val="00503092"/>
    <w:rsid w:val="005203C0"/>
    <w:rsid w:val="00521265"/>
    <w:rsid w:val="00521612"/>
    <w:rsid w:val="00522758"/>
    <w:rsid w:val="00527571"/>
    <w:rsid w:val="0053022F"/>
    <w:rsid w:val="005322CC"/>
    <w:rsid w:val="005327EE"/>
    <w:rsid w:val="005356FF"/>
    <w:rsid w:val="0054083C"/>
    <w:rsid w:val="005505A3"/>
    <w:rsid w:val="005505BD"/>
    <w:rsid w:val="00552759"/>
    <w:rsid w:val="00554125"/>
    <w:rsid w:val="00580B15"/>
    <w:rsid w:val="00581280"/>
    <w:rsid w:val="00587ED9"/>
    <w:rsid w:val="005A4674"/>
    <w:rsid w:val="005A63A9"/>
    <w:rsid w:val="005B428B"/>
    <w:rsid w:val="005B4306"/>
    <w:rsid w:val="005C1988"/>
    <w:rsid w:val="005C6332"/>
    <w:rsid w:val="005D0D3C"/>
    <w:rsid w:val="005D0FA2"/>
    <w:rsid w:val="005D62C6"/>
    <w:rsid w:val="005E0507"/>
    <w:rsid w:val="005E13D5"/>
    <w:rsid w:val="005E495C"/>
    <w:rsid w:val="005E5AE8"/>
    <w:rsid w:val="005E609D"/>
    <w:rsid w:val="005F23BA"/>
    <w:rsid w:val="005F5DA5"/>
    <w:rsid w:val="005F6C2C"/>
    <w:rsid w:val="005F7155"/>
    <w:rsid w:val="005F7C05"/>
    <w:rsid w:val="00602A71"/>
    <w:rsid w:val="006074D2"/>
    <w:rsid w:val="00610C0D"/>
    <w:rsid w:val="00614712"/>
    <w:rsid w:val="00614E0D"/>
    <w:rsid w:val="00616740"/>
    <w:rsid w:val="006214A4"/>
    <w:rsid w:val="00642865"/>
    <w:rsid w:val="00643E94"/>
    <w:rsid w:val="00644345"/>
    <w:rsid w:val="006500B6"/>
    <w:rsid w:val="00650E2F"/>
    <w:rsid w:val="006570EF"/>
    <w:rsid w:val="00663CE6"/>
    <w:rsid w:val="00666BA0"/>
    <w:rsid w:val="00673025"/>
    <w:rsid w:val="0067539B"/>
    <w:rsid w:val="006862AD"/>
    <w:rsid w:val="006A731E"/>
    <w:rsid w:val="006B0F92"/>
    <w:rsid w:val="006C0D05"/>
    <w:rsid w:val="006C3DC5"/>
    <w:rsid w:val="006C4F22"/>
    <w:rsid w:val="006C5C1F"/>
    <w:rsid w:val="006C61F6"/>
    <w:rsid w:val="006D38D8"/>
    <w:rsid w:val="006D520E"/>
    <w:rsid w:val="006F03E2"/>
    <w:rsid w:val="006F06F8"/>
    <w:rsid w:val="007010D4"/>
    <w:rsid w:val="00701E1A"/>
    <w:rsid w:val="00710E3D"/>
    <w:rsid w:val="0071139C"/>
    <w:rsid w:val="00712FC7"/>
    <w:rsid w:val="007151F2"/>
    <w:rsid w:val="0071570A"/>
    <w:rsid w:val="00720AF0"/>
    <w:rsid w:val="00721B64"/>
    <w:rsid w:val="0072339D"/>
    <w:rsid w:val="00736EB8"/>
    <w:rsid w:val="00740CE6"/>
    <w:rsid w:val="0074284E"/>
    <w:rsid w:val="00745695"/>
    <w:rsid w:val="0076268F"/>
    <w:rsid w:val="007631B6"/>
    <w:rsid w:val="00774268"/>
    <w:rsid w:val="0077459E"/>
    <w:rsid w:val="00774D72"/>
    <w:rsid w:val="00776340"/>
    <w:rsid w:val="00776AAD"/>
    <w:rsid w:val="007773BC"/>
    <w:rsid w:val="00777DAA"/>
    <w:rsid w:val="00784F9D"/>
    <w:rsid w:val="00787855"/>
    <w:rsid w:val="007A41B2"/>
    <w:rsid w:val="007A5521"/>
    <w:rsid w:val="007B47E0"/>
    <w:rsid w:val="007B54B7"/>
    <w:rsid w:val="007B6F7E"/>
    <w:rsid w:val="007B7C5F"/>
    <w:rsid w:val="007C057E"/>
    <w:rsid w:val="007C228C"/>
    <w:rsid w:val="007C553E"/>
    <w:rsid w:val="007C59A9"/>
    <w:rsid w:val="007C5FC3"/>
    <w:rsid w:val="007C64DB"/>
    <w:rsid w:val="007D2B47"/>
    <w:rsid w:val="007D3999"/>
    <w:rsid w:val="007D6B6E"/>
    <w:rsid w:val="007E229A"/>
    <w:rsid w:val="007F2414"/>
    <w:rsid w:val="007F3A39"/>
    <w:rsid w:val="007F3D3A"/>
    <w:rsid w:val="008125AD"/>
    <w:rsid w:val="00812E60"/>
    <w:rsid w:val="00842230"/>
    <w:rsid w:val="008503E6"/>
    <w:rsid w:val="008530CF"/>
    <w:rsid w:val="00866AEA"/>
    <w:rsid w:val="00870B0C"/>
    <w:rsid w:val="0088218D"/>
    <w:rsid w:val="00886089"/>
    <w:rsid w:val="008866C8"/>
    <w:rsid w:val="008874E9"/>
    <w:rsid w:val="008935E7"/>
    <w:rsid w:val="008A1DAA"/>
    <w:rsid w:val="008B00B8"/>
    <w:rsid w:val="008B4E72"/>
    <w:rsid w:val="008B52E2"/>
    <w:rsid w:val="008B75B5"/>
    <w:rsid w:val="008C3ECF"/>
    <w:rsid w:val="008D323A"/>
    <w:rsid w:val="008D673A"/>
    <w:rsid w:val="008E7C4E"/>
    <w:rsid w:val="008F1EC0"/>
    <w:rsid w:val="008F2AFB"/>
    <w:rsid w:val="008F3BDB"/>
    <w:rsid w:val="008F6A7C"/>
    <w:rsid w:val="00910307"/>
    <w:rsid w:val="0091365A"/>
    <w:rsid w:val="00916AA8"/>
    <w:rsid w:val="00921990"/>
    <w:rsid w:val="009257D9"/>
    <w:rsid w:val="00926F67"/>
    <w:rsid w:val="00930157"/>
    <w:rsid w:val="00931708"/>
    <w:rsid w:val="0093411B"/>
    <w:rsid w:val="00940D66"/>
    <w:rsid w:val="00942EE2"/>
    <w:rsid w:val="009452B4"/>
    <w:rsid w:val="0095117B"/>
    <w:rsid w:val="0095335D"/>
    <w:rsid w:val="00963114"/>
    <w:rsid w:val="00965B15"/>
    <w:rsid w:val="00973344"/>
    <w:rsid w:val="00991071"/>
    <w:rsid w:val="00992587"/>
    <w:rsid w:val="009A3023"/>
    <w:rsid w:val="009A3746"/>
    <w:rsid w:val="009A45C8"/>
    <w:rsid w:val="009A5A60"/>
    <w:rsid w:val="009A6317"/>
    <w:rsid w:val="009B5D0E"/>
    <w:rsid w:val="009C1CF8"/>
    <w:rsid w:val="009E0F16"/>
    <w:rsid w:val="009E4C0B"/>
    <w:rsid w:val="009E7DAB"/>
    <w:rsid w:val="009F0775"/>
    <w:rsid w:val="009F1B9B"/>
    <w:rsid w:val="00A15DFD"/>
    <w:rsid w:val="00A21CA5"/>
    <w:rsid w:val="00A35669"/>
    <w:rsid w:val="00A51B1F"/>
    <w:rsid w:val="00A51D4D"/>
    <w:rsid w:val="00A5578C"/>
    <w:rsid w:val="00A64E00"/>
    <w:rsid w:val="00A711A8"/>
    <w:rsid w:val="00A722E8"/>
    <w:rsid w:val="00A7679B"/>
    <w:rsid w:val="00A76B06"/>
    <w:rsid w:val="00A8268A"/>
    <w:rsid w:val="00A9131F"/>
    <w:rsid w:val="00A978F5"/>
    <w:rsid w:val="00AA50D5"/>
    <w:rsid w:val="00AA55FF"/>
    <w:rsid w:val="00AA6FFE"/>
    <w:rsid w:val="00AB59F7"/>
    <w:rsid w:val="00AC1871"/>
    <w:rsid w:val="00AC1B5A"/>
    <w:rsid w:val="00AC25AA"/>
    <w:rsid w:val="00AC5948"/>
    <w:rsid w:val="00AE0DF0"/>
    <w:rsid w:val="00AE6E78"/>
    <w:rsid w:val="00AF17C4"/>
    <w:rsid w:val="00AF3F57"/>
    <w:rsid w:val="00AF4251"/>
    <w:rsid w:val="00AF655B"/>
    <w:rsid w:val="00B07E77"/>
    <w:rsid w:val="00B16C00"/>
    <w:rsid w:val="00B25F54"/>
    <w:rsid w:val="00B35DD6"/>
    <w:rsid w:val="00B3799F"/>
    <w:rsid w:val="00B40A27"/>
    <w:rsid w:val="00B40A34"/>
    <w:rsid w:val="00B41EF8"/>
    <w:rsid w:val="00B43022"/>
    <w:rsid w:val="00B43E08"/>
    <w:rsid w:val="00B46603"/>
    <w:rsid w:val="00B52636"/>
    <w:rsid w:val="00B526CB"/>
    <w:rsid w:val="00B627D4"/>
    <w:rsid w:val="00B80780"/>
    <w:rsid w:val="00B85A32"/>
    <w:rsid w:val="00B91393"/>
    <w:rsid w:val="00B96015"/>
    <w:rsid w:val="00BA0A32"/>
    <w:rsid w:val="00BA2FF4"/>
    <w:rsid w:val="00BA3149"/>
    <w:rsid w:val="00BA67FF"/>
    <w:rsid w:val="00BB1EFB"/>
    <w:rsid w:val="00BB3344"/>
    <w:rsid w:val="00BB5533"/>
    <w:rsid w:val="00BB5E9C"/>
    <w:rsid w:val="00BB6121"/>
    <w:rsid w:val="00BC35B8"/>
    <w:rsid w:val="00BD0371"/>
    <w:rsid w:val="00BD3DA4"/>
    <w:rsid w:val="00BD43E4"/>
    <w:rsid w:val="00BE23FF"/>
    <w:rsid w:val="00BE28ED"/>
    <w:rsid w:val="00BF19C8"/>
    <w:rsid w:val="00BF2BF4"/>
    <w:rsid w:val="00BF55B6"/>
    <w:rsid w:val="00BF6A8B"/>
    <w:rsid w:val="00C0170C"/>
    <w:rsid w:val="00C04AED"/>
    <w:rsid w:val="00C1116E"/>
    <w:rsid w:val="00C31F77"/>
    <w:rsid w:val="00C34441"/>
    <w:rsid w:val="00C404FE"/>
    <w:rsid w:val="00C42AE4"/>
    <w:rsid w:val="00C42DC0"/>
    <w:rsid w:val="00C5279F"/>
    <w:rsid w:val="00C5553E"/>
    <w:rsid w:val="00C56733"/>
    <w:rsid w:val="00C60D03"/>
    <w:rsid w:val="00C652FD"/>
    <w:rsid w:val="00C707A8"/>
    <w:rsid w:val="00C71E7A"/>
    <w:rsid w:val="00C806B5"/>
    <w:rsid w:val="00C87165"/>
    <w:rsid w:val="00C8724E"/>
    <w:rsid w:val="00C87A3E"/>
    <w:rsid w:val="00C94C0B"/>
    <w:rsid w:val="00C969B1"/>
    <w:rsid w:val="00CA3829"/>
    <w:rsid w:val="00CA65EB"/>
    <w:rsid w:val="00CB2A87"/>
    <w:rsid w:val="00CB5E2B"/>
    <w:rsid w:val="00CC3649"/>
    <w:rsid w:val="00CD46E9"/>
    <w:rsid w:val="00CD6B89"/>
    <w:rsid w:val="00CF524D"/>
    <w:rsid w:val="00CF5CBB"/>
    <w:rsid w:val="00D05AA9"/>
    <w:rsid w:val="00D0624A"/>
    <w:rsid w:val="00D0661B"/>
    <w:rsid w:val="00D13417"/>
    <w:rsid w:val="00D231A0"/>
    <w:rsid w:val="00D24D8C"/>
    <w:rsid w:val="00D27F0E"/>
    <w:rsid w:val="00D30688"/>
    <w:rsid w:val="00D30712"/>
    <w:rsid w:val="00D34A06"/>
    <w:rsid w:val="00D36A49"/>
    <w:rsid w:val="00D41FD2"/>
    <w:rsid w:val="00D46ABC"/>
    <w:rsid w:val="00D56967"/>
    <w:rsid w:val="00D615E7"/>
    <w:rsid w:val="00D709ED"/>
    <w:rsid w:val="00D7108E"/>
    <w:rsid w:val="00D769EC"/>
    <w:rsid w:val="00D7746A"/>
    <w:rsid w:val="00D84964"/>
    <w:rsid w:val="00D90718"/>
    <w:rsid w:val="00D923B8"/>
    <w:rsid w:val="00D928D1"/>
    <w:rsid w:val="00D968DF"/>
    <w:rsid w:val="00DA2493"/>
    <w:rsid w:val="00DA4FCF"/>
    <w:rsid w:val="00DA76D8"/>
    <w:rsid w:val="00DB3B46"/>
    <w:rsid w:val="00DB3B89"/>
    <w:rsid w:val="00DC029B"/>
    <w:rsid w:val="00DC4340"/>
    <w:rsid w:val="00DC77C9"/>
    <w:rsid w:val="00DD39E9"/>
    <w:rsid w:val="00DD6742"/>
    <w:rsid w:val="00DE261B"/>
    <w:rsid w:val="00DE272B"/>
    <w:rsid w:val="00DF4C44"/>
    <w:rsid w:val="00DF72C9"/>
    <w:rsid w:val="00E00476"/>
    <w:rsid w:val="00E13EEE"/>
    <w:rsid w:val="00E208B0"/>
    <w:rsid w:val="00E21DD1"/>
    <w:rsid w:val="00E21EFE"/>
    <w:rsid w:val="00E23C1C"/>
    <w:rsid w:val="00E23EB4"/>
    <w:rsid w:val="00E27BAF"/>
    <w:rsid w:val="00E43F94"/>
    <w:rsid w:val="00E663B8"/>
    <w:rsid w:val="00E67858"/>
    <w:rsid w:val="00E71FA5"/>
    <w:rsid w:val="00E83D52"/>
    <w:rsid w:val="00E85751"/>
    <w:rsid w:val="00E8792D"/>
    <w:rsid w:val="00E9087D"/>
    <w:rsid w:val="00E91A34"/>
    <w:rsid w:val="00E953AA"/>
    <w:rsid w:val="00EA33AF"/>
    <w:rsid w:val="00EB04A4"/>
    <w:rsid w:val="00EB27E1"/>
    <w:rsid w:val="00EB3659"/>
    <w:rsid w:val="00EB55ED"/>
    <w:rsid w:val="00ED056B"/>
    <w:rsid w:val="00ED356F"/>
    <w:rsid w:val="00ED3F32"/>
    <w:rsid w:val="00ED683D"/>
    <w:rsid w:val="00EE17D1"/>
    <w:rsid w:val="00EE4DAD"/>
    <w:rsid w:val="00EE70B2"/>
    <w:rsid w:val="00EE7D5F"/>
    <w:rsid w:val="00EF125A"/>
    <w:rsid w:val="00EF4642"/>
    <w:rsid w:val="00EF6721"/>
    <w:rsid w:val="00EF6E4F"/>
    <w:rsid w:val="00F00218"/>
    <w:rsid w:val="00F04D96"/>
    <w:rsid w:val="00F05E52"/>
    <w:rsid w:val="00F11E25"/>
    <w:rsid w:val="00F15603"/>
    <w:rsid w:val="00F202A6"/>
    <w:rsid w:val="00F24E8B"/>
    <w:rsid w:val="00F254E5"/>
    <w:rsid w:val="00F31CA5"/>
    <w:rsid w:val="00F32B6D"/>
    <w:rsid w:val="00F407DB"/>
    <w:rsid w:val="00F449B4"/>
    <w:rsid w:val="00F52FC3"/>
    <w:rsid w:val="00F56A52"/>
    <w:rsid w:val="00F617CC"/>
    <w:rsid w:val="00F711BE"/>
    <w:rsid w:val="00F73CE7"/>
    <w:rsid w:val="00F80DCA"/>
    <w:rsid w:val="00F82E81"/>
    <w:rsid w:val="00F83979"/>
    <w:rsid w:val="00F913AE"/>
    <w:rsid w:val="00F94F27"/>
    <w:rsid w:val="00F95972"/>
    <w:rsid w:val="00FA0482"/>
    <w:rsid w:val="00FA05D0"/>
    <w:rsid w:val="00FA4BA2"/>
    <w:rsid w:val="00FA4BE7"/>
    <w:rsid w:val="00FB0F69"/>
    <w:rsid w:val="00FB5676"/>
    <w:rsid w:val="00FB5F2F"/>
    <w:rsid w:val="00FC7B3D"/>
    <w:rsid w:val="00FD04EC"/>
    <w:rsid w:val="00FD14AF"/>
    <w:rsid w:val="00FD21FA"/>
    <w:rsid w:val="00FD2625"/>
    <w:rsid w:val="00FD3BDF"/>
    <w:rsid w:val="00FE018A"/>
    <w:rsid w:val="00FE2415"/>
    <w:rsid w:val="00FE7975"/>
    <w:rsid w:val="00FF00DE"/>
    <w:rsid w:val="00FF0B5C"/>
    <w:rsid w:val="00FF2E6F"/>
    <w:rsid w:val="00FF4421"/>
    <w:rsid w:val="00FF49C6"/>
    <w:rsid w:val="00FF4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85317"/>
  <w15:docId w15:val="{3535F70E-3F32-4481-A942-1C69C91C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121"/>
    <w:rPr>
      <w:rFonts w:ascii="Calibri" w:hAnsi="Calibri"/>
      <w:sz w:val="22"/>
    </w:rPr>
  </w:style>
  <w:style w:type="paragraph" w:styleId="Heading1">
    <w:name w:val="heading 1"/>
    <w:basedOn w:val="Normal"/>
    <w:next w:val="Normal"/>
    <w:link w:val="Heading1Char"/>
    <w:uiPriority w:val="9"/>
    <w:qFormat/>
    <w:rsid w:val="00F94F27"/>
    <w:pPr>
      <w:keepNext/>
      <w:keepLines/>
      <w:spacing w:before="480"/>
      <w:outlineLvl w:val="0"/>
    </w:pPr>
    <w:rPr>
      <w:rFonts w:ascii="Arial" w:eastAsiaTheme="majorEastAsia" w:hAnsi="Arial" w:cstheme="majorBidi"/>
      <w:b/>
      <w:bCs/>
      <w:color w:val="587388"/>
      <w:sz w:val="36"/>
      <w:szCs w:val="28"/>
    </w:rPr>
  </w:style>
  <w:style w:type="paragraph" w:styleId="Heading2">
    <w:name w:val="heading 2"/>
    <w:basedOn w:val="Normal"/>
    <w:next w:val="Normal"/>
    <w:link w:val="Heading2Char"/>
    <w:uiPriority w:val="9"/>
    <w:unhideWhenUsed/>
    <w:qFormat/>
    <w:rsid w:val="00DC029B"/>
    <w:pPr>
      <w:keepNext/>
      <w:keepLines/>
      <w:spacing w:before="200"/>
      <w:outlineLvl w:val="1"/>
    </w:pPr>
    <w:rPr>
      <w:rFonts w:ascii="Myriad Pro" w:eastAsiaTheme="majorEastAsia" w:hAnsi="Myriad Pro" w:cstheme="majorBidi"/>
      <w:b/>
      <w:bCs/>
      <w:color w:val="587388"/>
      <w:sz w:val="26"/>
      <w:szCs w:val="26"/>
    </w:rPr>
  </w:style>
  <w:style w:type="paragraph" w:styleId="Heading3">
    <w:name w:val="heading 3"/>
    <w:basedOn w:val="Normal"/>
    <w:next w:val="Normal"/>
    <w:link w:val="Heading3Char"/>
    <w:uiPriority w:val="9"/>
    <w:unhideWhenUsed/>
    <w:qFormat/>
    <w:rsid w:val="00F839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397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6A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B5F"/>
    <w:rPr>
      <w:rFonts w:ascii="Lucida Grande" w:hAnsi="Lucida Grande" w:cs="Lucida Grande"/>
      <w:sz w:val="18"/>
      <w:szCs w:val="18"/>
    </w:rPr>
  </w:style>
  <w:style w:type="paragraph" w:styleId="Header">
    <w:name w:val="header"/>
    <w:basedOn w:val="Normal"/>
    <w:link w:val="HeaderChar"/>
    <w:uiPriority w:val="99"/>
    <w:unhideWhenUsed/>
    <w:rsid w:val="00014B5F"/>
    <w:pPr>
      <w:tabs>
        <w:tab w:val="center" w:pos="4320"/>
        <w:tab w:val="right" w:pos="8640"/>
      </w:tabs>
    </w:pPr>
  </w:style>
  <w:style w:type="character" w:customStyle="1" w:styleId="HeaderChar">
    <w:name w:val="Header Char"/>
    <w:basedOn w:val="DefaultParagraphFont"/>
    <w:link w:val="Header"/>
    <w:uiPriority w:val="99"/>
    <w:rsid w:val="00014B5F"/>
  </w:style>
  <w:style w:type="paragraph" w:styleId="Footer">
    <w:name w:val="footer"/>
    <w:basedOn w:val="Normal"/>
    <w:link w:val="FooterChar"/>
    <w:uiPriority w:val="99"/>
    <w:unhideWhenUsed/>
    <w:rsid w:val="00014B5F"/>
    <w:pPr>
      <w:tabs>
        <w:tab w:val="center" w:pos="4320"/>
        <w:tab w:val="right" w:pos="8640"/>
      </w:tabs>
    </w:pPr>
  </w:style>
  <w:style w:type="character" w:customStyle="1" w:styleId="FooterChar">
    <w:name w:val="Footer Char"/>
    <w:basedOn w:val="DefaultParagraphFont"/>
    <w:link w:val="Footer"/>
    <w:uiPriority w:val="99"/>
    <w:rsid w:val="00014B5F"/>
  </w:style>
  <w:style w:type="paragraph" w:styleId="PlainText">
    <w:name w:val="Plain Text"/>
    <w:basedOn w:val="Normal"/>
    <w:link w:val="PlainTextChar"/>
    <w:uiPriority w:val="99"/>
    <w:unhideWhenUsed/>
    <w:rsid w:val="007B47E0"/>
    <w:rPr>
      <w:rFonts w:eastAsiaTheme="minorHAnsi" w:cs="Times New Roman"/>
      <w:color w:val="262626"/>
    </w:rPr>
  </w:style>
  <w:style w:type="character" w:customStyle="1" w:styleId="PlainTextChar">
    <w:name w:val="Plain Text Char"/>
    <w:basedOn w:val="DefaultParagraphFont"/>
    <w:link w:val="PlainText"/>
    <w:uiPriority w:val="99"/>
    <w:rsid w:val="007B47E0"/>
    <w:rPr>
      <w:rFonts w:ascii="Calibri" w:eastAsiaTheme="minorHAnsi" w:hAnsi="Calibri" w:cs="Times New Roman"/>
      <w:color w:val="262626"/>
    </w:rPr>
  </w:style>
  <w:style w:type="paragraph" w:styleId="NormalWeb">
    <w:name w:val="Normal (Web)"/>
    <w:basedOn w:val="Normal"/>
    <w:uiPriority w:val="99"/>
    <w:unhideWhenUsed/>
    <w:rsid w:val="00437928"/>
    <w:pPr>
      <w:spacing w:before="100" w:beforeAutospacing="1" w:after="100" w:afterAutospacing="1"/>
    </w:pPr>
    <w:rPr>
      <w:rFonts w:ascii="Times New Roman" w:hAnsi="Times New Roman" w:cs="Times New Roman"/>
    </w:rPr>
  </w:style>
  <w:style w:type="table" w:styleId="TableGrid">
    <w:name w:val="Table Grid"/>
    <w:basedOn w:val="TableNormal"/>
    <w:uiPriority w:val="59"/>
    <w:rsid w:val="00437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029B"/>
    <w:pPr>
      <w:spacing w:after="300"/>
      <w:contextualSpacing/>
    </w:pPr>
    <w:rPr>
      <w:rFonts w:ascii="Myriad Pro" w:eastAsiaTheme="majorEastAsia" w:hAnsi="Myriad Pro" w:cstheme="majorBidi"/>
      <w:color w:val="587388"/>
      <w:spacing w:val="5"/>
      <w:kern w:val="28"/>
      <w:sz w:val="52"/>
      <w:szCs w:val="52"/>
    </w:rPr>
  </w:style>
  <w:style w:type="character" w:customStyle="1" w:styleId="TitleChar">
    <w:name w:val="Title Char"/>
    <w:basedOn w:val="DefaultParagraphFont"/>
    <w:link w:val="Title"/>
    <w:uiPriority w:val="10"/>
    <w:rsid w:val="00DC029B"/>
    <w:rPr>
      <w:rFonts w:ascii="Myriad Pro" w:eastAsiaTheme="majorEastAsia" w:hAnsi="Myriad Pro" w:cstheme="majorBidi"/>
      <w:color w:val="587388"/>
      <w:spacing w:val="5"/>
      <w:kern w:val="28"/>
      <w:sz w:val="52"/>
      <w:szCs w:val="52"/>
    </w:rPr>
  </w:style>
  <w:style w:type="character" w:customStyle="1" w:styleId="Heading1Char">
    <w:name w:val="Heading 1 Char"/>
    <w:basedOn w:val="DefaultParagraphFont"/>
    <w:link w:val="Heading1"/>
    <w:uiPriority w:val="9"/>
    <w:rsid w:val="00F94F27"/>
    <w:rPr>
      <w:rFonts w:ascii="Arial" w:eastAsiaTheme="majorEastAsia" w:hAnsi="Arial" w:cstheme="majorBidi"/>
      <w:b/>
      <w:bCs/>
      <w:color w:val="587388"/>
      <w:sz w:val="36"/>
      <w:szCs w:val="28"/>
    </w:rPr>
  </w:style>
  <w:style w:type="character" w:customStyle="1" w:styleId="Heading2Char">
    <w:name w:val="Heading 2 Char"/>
    <w:basedOn w:val="DefaultParagraphFont"/>
    <w:link w:val="Heading2"/>
    <w:uiPriority w:val="9"/>
    <w:rsid w:val="00DC029B"/>
    <w:rPr>
      <w:rFonts w:ascii="Myriad Pro" w:eastAsiaTheme="majorEastAsia" w:hAnsi="Myriad Pro" w:cstheme="majorBidi"/>
      <w:b/>
      <w:bCs/>
      <w:color w:val="587388"/>
      <w:sz w:val="26"/>
      <w:szCs w:val="26"/>
    </w:rPr>
  </w:style>
  <w:style w:type="table" w:styleId="LightShading-Accent1">
    <w:name w:val="Light Shading Accent 1"/>
    <w:basedOn w:val="TableNormal"/>
    <w:uiPriority w:val="60"/>
    <w:rsid w:val="00DC02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839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3979"/>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631B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nhideWhenUsed/>
    <w:rsid w:val="00C42DC0"/>
    <w:rPr>
      <w:sz w:val="16"/>
      <w:szCs w:val="16"/>
    </w:rPr>
  </w:style>
  <w:style w:type="paragraph" w:styleId="CommentText">
    <w:name w:val="annotation text"/>
    <w:basedOn w:val="Normal"/>
    <w:link w:val="CommentTextChar"/>
    <w:unhideWhenUsed/>
    <w:rsid w:val="00C42DC0"/>
    <w:rPr>
      <w:sz w:val="20"/>
      <w:szCs w:val="20"/>
    </w:rPr>
  </w:style>
  <w:style w:type="character" w:customStyle="1" w:styleId="CommentTextChar">
    <w:name w:val="Comment Text Char"/>
    <w:basedOn w:val="DefaultParagraphFont"/>
    <w:link w:val="CommentText"/>
    <w:rsid w:val="00C42DC0"/>
    <w:rPr>
      <w:sz w:val="20"/>
      <w:szCs w:val="20"/>
    </w:rPr>
  </w:style>
  <w:style w:type="paragraph" w:styleId="CommentSubject">
    <w:name w:val="annotation subject"/>
    <w:basedOn w:val="CommentText"/>
    <w:next w:val="CommentText"/>
    <w:link w:val="CommentSubjectChar"/>
    <w:uiPriority w:val="99"/>
    <w:semiHidden/>
    <w:unhideWhenUsed/>
    <w:rsid w:val="00C42DC0"/>
    <w:rPr>
      <w:b/>
      <w:bCs/>
    </w:rPr>
  </w:style>
  <w:style w:type="character" w:customStyle="1" w:styleId="CommentSubjectChar">
    <w:name w:val="Comment Subject Char"/>
    <w:basedOn w:val="CommentTextChar"/>
    <w:link w:val="CommentSubject"/>
    <w:uiPriority w:val="99"/>
    <w:semiHidden/>
    <w:rsid w:val="00C42DC0"/>
    <w:rPr>
      <w:b/>
      <w:bCs/>
      <w:sz w:val="20"/>
      <w:szCs w:val="20"/>
    </w:rPr>
  </w:style>
  <w:style w:type="table" w:styleId="LightGrid-Accent3">
    <w:name w:val="Light Grid Accent 3"/>
    <w:basedOn w:val="TableNormal"/>
    <w:uiPriority w:val="62"/>
    <w:rsid w:val="002806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2806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2806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2806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uiPriority w:val="67"/>
    <w:rsid w:val="002806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2806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uiPriority w:val="1"/>
    <w:qFormat/>
    <w:rsid w:val="00BB6121"/>
    <w:rPr>
      <w:rFonts w:ascii="Calibri" w:hAnsi="Calibri"/>
      <w:sz w:val="22"/>
    </w:rPr>
  </w:style>
  <w:style w:type="paragraph" w:styleId="ListParagraph">
    <w:name w:val="List Paragraph"/>
    <w:basedOn w:val="Normal"/>
    <w:link w:val="ListParagraphChar"/>
    <w:uiPriority w:val="34"/>
    <w:qFormat/>
    <w:rsid w:val="00AC5948"/>
    <w:pPr>
      <w:ind w:left="720"/>
      <w:contextualSpacing/>
    </w:pPr>
  </w:style>
  <w:style w:type="character" w:styleId="Hyperlink">
    <w:name w:val="Hyperlink"/>
    <w:basedOn w:val="DefaultParagraphFont"/>
    <w:uiPriority w:val="99"/>
    <w:unhideWhenUsed/>
    <w:rsid w:val="00527571"/>
    <w:rPr>
      <w:color w:val="0000FF" w:themeColor="hyperlink"/>
      <w:u w:val="single"/>
    </w:rPr>
  </w:style>
  <w:style w:type="paragraph" w:styleId="Caption">
    <w:name w:val="caption"/>
    <w:basedOn w:val="Normal"/>
    <w:next w:val="Normal"/>
    <w:link w:val="CaptionChar"/>
    <w:uiPriority w:val="35"/>
    <w:unhideWhenUsed/>
    <w:qFormat/>
    <w:rsid w:val="00C60D03"/>
    <w:pPr>
      <w:spacing w:after="200"/>
    </w:pPr>
    <w:rPr>
      <w:b/>
      <w:bCs/>
      <w:color w:val="4F81BD" w:themeColor="accent1"/>
      <w:sz w:val="18"/>
      <w:szCs w:val="18"/>
    </w:rPr>
  </w:style>
  <w:style w:type="paragraph" w:styleId="FootnoteText">
    <w:name w:val="footnote text"/>
    <w:basedOn w:val="Normal"/>
    <w:link w:val="FootnoteTextChar"/>
    <w:uiPriority w:val="99"/>
    <w:rsid w:val="00587ED9"/>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587ED9"/>
    <w:rPr>
      <w:rFonts w:ascii="Times New Roman" w:eastAsia="Times New Roman" w:hAnsi="Times New Roman" w:cs="Times New Roman"/>
      <w:sz w:val="20"/>
      <w:szCs w:val="20"/>
    </w:rPr>
  </w:style>
  <w:style w:type="character" w:styleId="FootnoteReference">
    <w:name w:val="footnote reference"/>
    <w:uiPriority w:val="99"/>
    <w:rsid w:val="00587ED9"/>
    <w:rPr>
      <w:vertAlign w:val="superscript"/>
    </w:rPr>
  </w:style>
  <w:style w:type="table" w:customStyle="1" w:styleId="FPStandardTable">
    <w:name w:val="FP Standard Table"/>
    <w:basedOn w:val="TableNormal"/>
    <w:uiPriority w:val="99"/>
    <w:qFormat/>
    <w:rsid w:val="00587ED9"/>
    <w:rPr>
      <w:rFonts w:ascii="Segoe UI" w:eastAsia="Times New Roman" w:hAnsi="Segoe UI" w:cs="Times New Roman"/>
      <w:sz w:val="20"/>
      <w:szCs w:val="20"/>
    </w:rPr>
    <w:tblPr>
      <w:tblStyleRowBandSize w:val="1"/>
      <w:tblStyleColBandSize w:val="1"/>
      <w:tblCellSpacing w:w="21" w:type="dxa"/>
      <w:tblCellMar>
        <w:top w:w="72" w:type="dxa"/>
        <w:left w:w="72" w:type="dxa"/>
        <w:bottom w:w="72" w:type="dxa"/>
        <w:right w:w="72" w:type="dxa"/>
      </w:tblCellMar>
    </w:tblPr>
    <w:trPr>
      <w:cantSplit/>
      <w:tblCellSpacing w:w="21" w:type="dxa"/>
    </w:trPr>
    <w:tcPr>
      <w:shd w:val="clear" w:color="auto" w:fill="auto"/>
      <w:vAlign w:val="center"/>
    </w:tcPr>
    <w:tblStylePr w:type="band2Horz">
      <w:tblPr/>
      <w:tcPr>
        <w:shd w:val="clear" w:color="auto" w:fill="EAF1DD"/>
      </w:tcPr>
    </w:tblStylePr>
  </w:style>
  <w:style w:type="paragraph" w:styleId="Bibliography">
    <w:name w:val="Bibliography"/>
    <w:basedOn w:val="Normal"/>
    <w:next w:val="Normal"/>
    <w:uiPriority w:val="37"/>
    <w:unhideWhenUsed/>
    <w:rsid w:val="00587ED9"/>
    <w:rPr>
      <w:rFonts w:ascii="Times New Roman" w:eastAsia="Times New Roman" w:hAnsi="Times New Roman" w:cs="Times New Roman"/>
      <w:sz w:val="24"/>
    </w:rPr>
  </w:style>
  <w:style w:type="table" w:customStyle="1" w:styleId="PlainTable11">
    <w:name w:val="Plain Table 11"/>
    <w:basedOn w:val="TableNormal"/>
    <w:uiPriority w:val="41"/>
    <w:rsid w:val="00A76B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8F6A7C"/>
    <w:rPr>
      <w:rFonts w:asciiTheme="majorHAnsi" w:eastAsiaTheme="majorEastAsia" w:hAnsiTheme="majorHAnsi" w:cstheme="majorBidi"/>
      <w:color w:val="243F60" w:themeColor="accent1" w:themeShade="7F"/>
      <w:sz w:val="22"/>
    </w:rPr>
  </w:style>
  <w:style w:type="character" w:styleId="IntenseEmphasis">
    <w:name w:val="Intense Emphasis"/>
    <w:basedOn w:val="DefaultParagraphFont"/>
    <w:uiPriority w:val="21"/>
    <w:qFormat/>
    <w:rsid w:val="001C14F4"/>
    <w:rPr>
      <w:i/>
      <w:iCs/>
      <w:color w:val="4F81BD" w:themeColor="accent1"/>
    </w:rPr>
  </w:style>
  <w:style w:type="table" w:styleId="GridTable4-Accent1">
    <w:name w:val="Grid Table 4 Accent 1"/>
    <w:basedOn w:val="TableNormal"/>
    <w:uiPriority w:val="49"/>
    <w:rsid w:val="003154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ptionChar">
    <w:name w:val="Caption Char"/>
    <w:basedOn w:val="DefaultParagraphFont"/>
    <w:link w:val="Caption"/>
    <w:uiPriority w:val="35"/>
    <w:rsid w:val="00FE7975"/>
    <w:rPr>
      <w:rFonts w:ascii="Calibri" w:hAnsi="Calibri"/>
      <w:b/>
      <w:bCs/>
      <w:color w:val="4F81BD" w:themeColor="accent1"/>
      <w:sz w:val="18"/>
      <w:szCs w:val="18"/>
    </w:rPr>
  </w:style>
  <w:style w:type="table" w:styleId="GridTable5Dark-Accent1">
    <w:name w:val="Grid Table 5 Dark Accent 1"/>
    <w:basedOn w:val="TableNormal"/>
    <w:uiPriority w:val="50"/>
    <w:rsid w:val="006753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Bullet">
    <w:name w:val="List Bullet"/>
    <w:basedOn w:val="Normal"/>
    <w:uiPriority w:val="99"/>
    <w:rsid w:val="003543C1"/>
    <w:pPr>
      <w:numPr>
        <w:numId w:val="41"/>
      </w:numPr>
      <w:spacing w:after="120" w:line="300" w:lineRule="atLeast"/>
      <w:contextualSpacing/>
    </w:pPr>
    <w:rPr>
      <w:rFonts w:ascii="Garamond" w:eastAsiaTheme="minorHAnsi" w:hAnsi="Garamond"/>
      <w:color w:val="000000" w:themeColor="text1"/>
      <w:szCs w:val="22"/>
    </w:rPr>
  </w:style>
  <w:style w:type="paragraph" w:styleId="ListBullet2">
    <w:name w:val="List Bullet 2"/>
    <w:basedOn w:val="Normal"/>
    <w:uiPriority w:val="99"/>
    <w:rsid w:val="003543C1"/>
    <w:pPr>
      <w:numPr>
        <w:ilvl w:val="1"/>
        <w:numId w:val="41"/>
      </w:numPr>
      <w:spacing w:after="120" w:line="300" w:lineRule="atLeast"/>
      <w:contextualSpacing/>
    </w:pPr>
    <w:rPr>
      <w:rFonts w:ascii="Garamond" w:eastAsiaTheme="minorHAnsi" w:hAnsi="Garamond"/>
      <w:color w:val="000000" w:themeColor="text1"/>
      <w:szCs w:val="22"/>
    </w:rPr>
  </w:style>
  <w:style w:type="paragraph" w:styleId="ListBullet3">
    <w:name w:val="List Bullet 3"/>
    <w:basedOn w:val="Normal"/>
    <w:uiPriority w:val="99"/>
    <w:rsid w:val="003543C1"/>
    <w:pPr>
      <w:numPr>
        <w:ilvl w:val="2"/>
        <w:numId w:val="41"/>
      </w:numPr>
      <w:spacing w:after="120" w:line="300" w:lineRule="atLeast"/>
      <w:contextualSpacing/>
    </w:pPr>
    <w:rPr>
      <w:rFonts w:ascii="Garamond" w:eastAsiaTheme="minorHAnsi" w:hAnsi="Garamond"/>
      <w:color w:val="000000" w:themeColor="text1"/>
      <w:szCs w:val="22"/>
    </w:rPr>
  </w:style>
  <w:style w:type="numbering" w:customStyle="1" w:styleId="ListBullets">
    <w:name w:val="ListBullets"/>
    <w:uiPriority w:val="99"/>
    <w:rsid w:val="003543C1"/>
    <w:pPr>
      <w:numPr>
        <w:numId w:val="41"/>
      </w:numPr>
    </w:pPr>
  </w:style>
  <w:style w:type="paragraph" w:customStyle="1" w:styleId="BodyParagraph">
    <w:name w:val="Body Paragraph"/>
    <w:basedOn w:val="Normal"/>
    <w:link w:val="BodyParagraphChar"/>
    <w:qFormat/>
    <w:rsid w:val="003543C1"/>
    <w:pPr>
      <w:spacing w:before="120" w:after="120" w:line="300" w:lineRule="atLeast"/>
    </w:pPr>
    <w:rPr>
      <w:rFonts w:ascii="Garamond" w:eastAsiaTheme="minorHAnsi" w:hAnsi="Garamond"/>
      <w:color w:val="000000" w:themeColor="text1"/>
      <w:szCs w:val="22"/>
    </w:rPr>
  </w:style>
  <w:style w:type="character" w:customStyle="1" w:styleId="BodyParagraphChar">
    <w:name w:val="Body Paragraph Char"/>
    <w:basedOn w:val="DefaultParagraphFont"/>
    <w:link w:val="BodyParagraph"/>
    <w:rsid w:val="003543C1"/>
    <w:rPr>
      <w:rFonts w:ascii="Garamond" w:eastAsiaTheme="minorHAnsi" w:hAnsi="Garamond"/>
      <w:color w:val="000000" w:themeColor="text1"/>
      <w:sz w:val="22"/>
      <w:szCs w:val="22"/>
    </w:rPr>
  </w:style>
  <w:style w:type="character" w:customStyle="1" w:styleId="ListParagraphChar">
    <w:name w:val="List Paragraph Char"/>
    <w:basedOn w:val="DefaultParagraphFont"/>
    <w:link w:val="ListParagraph"/>
    <w:uiPriority w:val="34"/>
    <w:rsid w:val="00503092"/>
    <w:rPr>
      <w:rFonts w:ascii="Calibri" w:hAnsi="Calibri"/>
      <w:sz w:val="22"/>
    </w:rPr>
  </w:style>
  <w:style w:type="character" w:styleId="BookTitle">
    <w:name w:val="Book Title"/>
    <w:basedOn w:val="DefaultParagraphFont"/>
    <w:uiPriority w:val="33"/>
    <w:qFormat/>
    <w:rsid w:val="00B16C0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479">
      <w:bodyDiv w:val="1"/>
      <w:marLeft w:val="0"/>
      <w:marRight w:val="0"/>
      <w:marTop w:val="0"/>
      <w:marBottom w:val="0"/>
      <w:divBdr>
        <w:top w:val="none" w:sz="0" w:space="0" w:color="auto"/>
        <w:left w:val="none" w:sz="0" w:space="0" w:color="auto"/>
        <w:bottom w:val="none" w:sz="0" w:space="0" w:color="auto"/>
        <w:right w:val="none" w:sz="0" w:space="0" w:color="auto"/>
      </w:divBdr>
    </w:div>
    <w:div w:id="168906878">
      <w:bodyDiv w:val="1"/>
      <w:marLeft w:val="0"/>
      <w:marRight w:val="0"/>
      <w:marTop w:val="0"/>
      <w:marBottom w:val="0"/>
      <w:divBdr>
        <w:top w:val="none" w:sz="0" w:space="0" w:color="auto"/>
        <w:left w:val="none" w:sz="0" w:space="0" w:color="auto"/>
        <w:bottom w:val="none" w:sz="0" w:space="0" w:color="auto"/>
        <w:right w:val="none" w:sz="0" w:space="0" w:color="auto"/>
      </w:divBdr>
    </w:div>
    <w:div w:id="179971699">
      <w:bodyDiv w:val="1"/>
      <w:marLeft w:val="0"/>
      <w:marRight w:val="0"/>
      <w:marTop w:val="0"/>
      <w:marBottom w:val="0"/>
      <w:divBdr>
        <w:top w:val="none" w:sz="0" w:space="0" w:color="auto"/>
        <w:left w:val="none" w:sz="0" w:space="0" w:color="auto"/>
        <w:bottom w:val="none" w:sz="0" w:space="0" w:color="auto"/>
        <w:right w:val="none" w:sz="0" w:space="0" w:color="auto"/>
      </w:divBdr>
    </w:div>
    <w:div w:id="336422352">
      <w:bodyDiv w:val="1"/>
      <w:marLeft w:val="0"/>
      <w:marRight w:val="0"/>
      <w:marTop w:val="0"/>
      <w:marBottom w:val="0"/>
      <w:divBdr>
        <w:top w:val="none" w:sz="0" w:space="0" w:color="auto"/>
        <w:left w:val="none" w:sz="0" w:space="0" w:color="auto"/>
        <w:bottom w:val="none" w:sz="0" w:space="0" w:color="auto"/>
        <w:right w:val="none" w:sz="0" w:space="0" w:color="auto"/>
      </w:divBdr>
    </w:div>
    <w:div w:id="368385586">
      <w:bodyDiv w:val="1"/>
      <w:marLeft w:val="0"/>
      <w:marRight w:val="0"/>
      <w:marTop w:val="0"/>
      <w:marBottom w:val="0"/>
      <w:divBdr>
        <w:top w:val="none" w:sz="0" w:space="0" w:color="auto"/>
        <w:left w:val="none" w:sz="0" w:space="0" w:color="auto"/>
        <w:bottom w:val="none" w:sz="0" w:space="0" w:color="auto"/>
        <w:right w:val="none" w:sz="0" w:space="0" w:color="auto"/>
      </w:divBdr>
    </w:div>
    <w:div w:id="407506226">
      <w:bodyDiv w:val="1"/>
      <w:marLeft w:val="0"/>
      <w:marRight w:val="0"/>
      <w:marTop w:val="0"/>
      <w:marBottom w:val="0"/>
      <w:divBdr>
        <w:top w:val="none" w:sz="0" w:space="0" w:color="auto"/>
        <w:left w:val="none" w:sz="0" w:space="0" w:color="auto"/>
        <w:bottom w:val="none" w:sz="0" w:space="0" w:color="auto"/>
        <w:right w:val="none" w:sz="0" w:space="0" w:color="auto"/>
      </w:divBdr>
    </w:div>
    <w:div w:id="427430534">
      <w:bodyDiv w:val="1"/>
      <w:marLeft w:val="0"/>
      <w:marRight w:val="0"/>
      <w:marTop w:val="0"/>
      <w:marBottom w:val="0"/>
      <w:divBdr>
        <w:top w:val="none" w:sz="0" w:space="0" w:color="auto"/>
        <w:left w:val="none" w:sz="0" w:space="0" w:color="auto"/>
        <w:bottom w:val="none" w:sz="0" w:space="0" w:color="auto"/>
        <w:right w:val="none" w:sz="0" w:space="0" w:color="auto"/>
      </w:divBdr>
    </w:div>
    <w:div w:id="475995339">
      <w:bodyDiv w:val="1"/>
      <w:marLeft w:val="0"/>
      <w:marRight w:val="0"/>
      <w:marTop w:val="0"/>
      <w:marBottom w:val="0"/>
      <w:divBdr>
        <w:top w:val="none" w:sz="0" w:space="0" w:color="auto"/>
        <w:left w:val="none" w:sz="0" w:space="0" w:color="auto"/>
        <w:bottom w:val="none" w:sz="0" w:space="0" w:color="auto"/>
        <w:right w:val="none" w:sz="0" w:space="0" w:color="auto"/>
      </w:divBdr>
    </w:div>
    <w:div w:id="590965453">
      <w:bodyDiv w:val="1"/>
      <w:marLeft w:val="0"/>
      <w:marRight w:val="0"/>
      <w:marTop w:val="0"/>
      <w:marBottom w:val="0"/>
      <w:divBdr>
        <w:top w:val="none" w:sz="0" w:space="0" w:color="auto"/>
        <w:left w:val="none" w:sz="0" w:space="0" w:color="auto"/>
        <w:bottom w:val="none" w:sz="0" w:space="0" w:color="auto"/>
        <w:right w:val="none" w:sz="0" w:space="0" w:color="auto"/>
      </w:divBdr>
    </w:div>
    <w:div w:id="667102506">
      <w:bodyDiv w:val="1"/>
      <w:marLeft w:val="0"/>
      <w:marRight w:val="0"/>
      <w:marTop w:val="0"/>
      <w:marBottom w:val="0"/>
      <w:divBdr>
        <w:top w:val="none" w:sz="0" w:space="0" w:color="auto"/>
        <w:left w:val="none" w:sz="0" w:space="0" w:color="auto"/>
        <w:bottom w:val="none" w:sz="0" w:space="0" w:color="auto"/>
        <w:right w:val="none" w:sz="0" w:space="0" w:color="auto"/>
      </w:divBdr>
    </w:div>
    <w:div w:id="788741067">
      <w:bodyDiv w:val="1"/>
      <w:marLeft w:val="0"/>
      <w:marRight w:val="0"/>
      <w:marTop w:val="0"/>
      <w:marBottom w:val="0"/>
      <w:divBdr>
        <w:top w:val="none" w:sz="0" w:space="0" w:color="auto"/>
        <w:left w:val="none" w:sz="0" w:space="0" w:color="auto"/>
        <w:bottom w:val="none" w:sz="0" w:space="0" w:color="auto"/>
        <w:right w:val="none" w:sz="0" w:space="0" w:color="auto"/>
      </w:divBdr>
    </w:div>
    <w:div w:id="979529536">
      <w:bodyDiv w:val="1"/>
      <w:marLeft w:val="0"/>
      <w:marRight w:val="0"/>
      <w:marTop w:val="0"/>
      <w:marBottom w:val="0"/>
      <w:divBdr>
        <w:top w:val="none" w:sz="0" w:space="0" w:color="auto"/>
        <w:left w:val="none" w:sz="0" w:space="0" w:color="auto"/>
        <w:bottom w:val="none" w:sz="0" w:space="0" w:color="auto"/>
        <w:right w:val="none" w:sz="0" w:space="0" w:color="auto"/>
      </w:divBdr>
    </w:div>
    <w:div w:id="982737797">
      <w:bodyDiv w:val="1"/>
      <w:marLeft w:val="0"/>
      <w:marRight w:val="0"/>
      <w:marTop w:val="0"/>
      <w:marBottom w:val="0"/>
      <w:divBdr>
        <w:top w:val="none" w:sz="0" w:space="0" w:color="auto"/>
        <w:left w:val="none" w:sz="0" w:space="0" w:color="auto"/>
        <w:bottom w:val="none" w:sz="0" w:space="0" w:color="auto"/>
        <w:right w:val="none" w:sz="0" w:space="0" w:color="auto"/>
      </w:divBdr>
    </w:div>
    <w:div w:id="1177766850">
      <w:bodyDiv w:val="1"/>
      <w:marLeft w:val="0"/>
      <w:marRight w:val="0"/>
      <w:marTop w:val="0"/>
      <w:marBottom w:val="0"/>
      <w:divBdr>
        <w:top w:val="none" w:sz="0" w:space="0" w:color="auto"/>
        <w:left w:val="none" w:sz="0" w:space="0" w:color="auto"/>
        <w:bottom w:val="none" w:sz="0" w:space="0" w:color="auto"/>
        <w:right w:val="none" w:sz="0" w:space="0" w:color="auto"/>
      </w:divBdr>
    </w:div>
    <w:div w:id="1209102752">
      <w:bodyDiv w:val="1"/>
      <w:marLeft w:val="0"/>
      <w:marRight w:val="0"/>
      <w:marTop w:val="0"/>
      <w:marBottom w:val="0"/>
      <w:divBdr>
        <w:top w:val="none" w:sz="0" w:space="0" w:color="auto"/>
        <w:left w:val="none" w:sz="0" w:space="0" w:color="auto"/>
        <w:bottom w:val="none" w:sz="0" w:space="0" w:color="auto"/>
        <w:right w:val="none" w:sz="0" w:space="0" w:color="auto"/>
      </w:divBdr>
    </w:div>
    <w:div w:id="1371150251">
      <w:bodyDiv w:val="1"/>
      <w:marLeft w:val="0"/>
      <w:marRight w:val="0"/>
      <w:marTop w:val="0"/>
      <w:marBottom w:val="0"/>
      <w:divBdr>
        <w:top w:val="none" w:sz="0" w:space="0" w:color="auto"/>
        <w:left w:val="none" w:sz="0" w:space="0" w:color="auto"/>
        <w:bottom w:val="none" w:sz="0" w:space="0" w:color="auto"/>
        <w:right w:val="none" w:sz="0" w:space="0" w:color="auto"/>
      </w:divBdr>
    </w:div>
    <w:div w:id="1482693449">
      <w:bodyDiv w:val="1"/>
      <w:marLeft w:val="0"/>
      <w:marRight w:val="0"/>
      <w:marTop w:val="0"/>
      <w:marBottom w:val="0"/>
      <w:divBdr>
        <w:top w:val="none" w:sz="0" w:space="0" w:color="auto"/>
        <w:left w:val="none" w:sz="0" w:space="0" w:color="auto"/>
        <w:bottom w:val="none" w:sz="0" w:space="0" w:color="auto"/>
        <w:right w:val="none" w:sz="0" w:space="0" w:color="auto"/>
      </w:divBdr>
    </w:div>
    <w:div w:id="1546136455">
      <w:bodyDiv w:val="1"/>
      <w:marLeft w:val="0"/>
      <w:marRight w:val="0"/>
      <w:marTop w:val="0"/>
      <w:marBottom w:val="0"/>
      <w:divBdr>
        <w:top w:val="none" w:sz="0" w:space="0" w:color="auto"/>
        <w:left w:val="none" w:sz="0" w:space="0" w:color="auto"/>
        <w:bottom w:val="none" w:sz="0" w:space="0" w:color="auto"/>
        <w:right w:val="none" w:sz="0" w:space="0" w:color="auto"/>
      </w:divBdr>
    </w:div>
    <w:div w:id="1584679118">
      <w:bodyDiv w:val="1"/>
      <w:marLeft w:val="0"/>
      <w:marRight w:val="0"/>
      <w:marTop w:val="0"/>
      <w:marBottom w:val="0"/>
      <w:divBdr>
        <w:top w:val="none" w:sz="0" w:space="0" w:color="auto"/>
        <w:left w:val="none" w:sz="0" w:space="0" w:color="auto"/>
        <w:bottom w:val="none" w:sz="0" w:space="0" w:color="auto"/>
        <w:right w:val="none" w:sz="0" w:space="0" w:color="auto"/>
      </w:divBdr>
    </w:div>
    <w:div w:id="1775251154">
      <w:bodyDiv w:val="1"/>
      <w:marLeft w:val="0"/>
      <w:marRight w:val="0"/>
      <w:marTop w:val="0"/>
      <w:marBottom w:val="0"/>
      <w:divBdr>
        <w:top w:val="none" w:sz="0" w:space="0" w:color="auto"/>
        <w:left w:val="none" w:sz="0" w:space="0" w:color="auto"/>
        <w:bottom w:val="none" w:sz="0" w:space="0" w:color="auto"/>
        <w:right w:val="none" w:sz="0" w:space="0" w:color="auto"/>
      </w:divBdr>
    </w:div>
    <w:div w:id="1842506828">
      <w:bodyDiv w:val="1"/>
      <w:marLeft w:val="0"/>
      <w:marRight w:val="0"/>
      <w:marTop w:val="0"/>
      <w:marBottom w:val="0"/>
      <w:divBdr>
        <w:top w:val="none" w:sz="0" w:space="0" w:color="auto"/>
        <w:left w:val="none" w:sz="0" w:space="0" w:color="auto"/>
        <w:bottom w:val="none" w:sz="0" w:space="0" w:color="auto"/>
        <w:right w:val="none" w:sz="0" w:space="0" w:color="auto"/>
      </w:divBdr>
    </w:div>
    <w:div w:id="1909614517">
      <w:bodyDiv w:val="1"/>
      <w:marLeft w:val="0"/>
      <w:marRight w:val="0"/>
      <w:marTop w:val="0"/>
      <w:marBottom w:val="0"/>
      <w:divBdr>
        <w:top w:val="none" w:sz="0" w:space="0" w:color="auto"/>
        <w:left w:val="none" w:sz="0" w:space="0" w:color="auto"/>
        <w:bottom w:val="none" w:sz="0" w:space="0" w:color="auto"/>
        <w:right w:val="none" w:sz="0" w:space="0" w:color="auto"/>
      </w:divBdr>
    </w:div>
    <w:div w:id="1948074451">
      <w:bodyDiv w:val="1"/>
      <w:marLeft w:val="0"/>
      <w:marRight w:val="0"/>
      <w:marTop w:val="0"/>
      <w:marBottom w:val="0"/>
      <w:divBdr>
        <w:top w:val="none" w:sz="0" w:space="0" w:color="auto"/>
        <w:left w:val="none" w:sz="0" w:space="0" w:color="auto"/>
        <w:bottom w:val="none" w:sz="0" w:space="0" w:color="auto"/>
        <w:right w:val="none" w:sz="0" w:space="0" w:color="auto"/>
      </w:divBdr>
    </w:div>
    <w:div w:id="1964457812">
      <w:bodyDiv w:val="1"/>
      <w:marLeft w:val="0"/>
      <w:marRight w:val="0"/>
      <w:marTop w:val="0"/>
      <w:marBottom w:val="0"/>
      <w:divBdr>
        <w:top w:val="none" w:sz="0" w:space="0" w:color="auto"/>
        <w:left w:val="none" w:sz="0" w:space="0" w:color="auto"/>
        <w:bottom w:val="none" w:sz="0" w:space="0" w:color="auto"/>
        <w:right w:val="none" w:sz="0" w:space="0" w:color="auto"/>
      </w:divBdr>
    </w:div>
    <w:div w:id="1967464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KPM12</b:Tag>
    <b:SourceType>Report</b:SourceType>
    <b:Guid>{C91CE431-0327-4794-BD64-C122978D8121}</b:Guid>
    <b:Title>Self-Driving Cars: The Next Revolution</b:Title>
    <b:Year>2012</b:Year>
    <b:Author>
      <b:Author>
        <b:Corporate>KPMG &amp; CAR</b:Corporate>
      </b:Author>
    </b:Author>
    <b:Publisher>KPMG</b:Publisher>
    <b:City>Deleware</b:City>
    <b:RefOrder>1</b:RefOrder>
  </b:Source>
  <b:Source>
    <b:Tag>Jes11</b:Tag>
    <b:SourceType>JournalArticle</b:SourceType>
    <b:Guid>{6465BBEC-C097-47FF-A874-5AAB55AC078F}</b:Guid>
    <b:Title>Crash Avoidance Potential of Four Passanger Vehicle Technologies</b:Title>
    <b:Year>2011</b:Year>
    <b:Author>
      <b:Author>
        <b:NameList>
          <b:Person>
            <b:Last>Jermakian</b:Last>
            <b:First>Jessica</b:First>
            <b:Middle>S.</b:Middle>
          </b:Person>
        </b:NameList>
      </b:Author>
    </b:Author>
    <b:JournalName>Accident Analysis and Prevention</b:JournalName>
    <b:Pages>732-740</b:Pages>
    <b:RefOrder>2</b:RefOrder>
  </b:Source>
  <b:Source>
    <b:Tag>IHS15</b:Tag>
    <b:SourceType>InternetSite</b:SourceType>
    <b:Guid>{FC058F36-FF7C-4D33-8250-6A9C37D9C6B3}</b:Guid>
    <b:Author>
      <b:Author>
        <b:Corporate>IHS Automotive</b:Corporate>
      </b:Author>
    </b:Author>
    <b:Title>press.ihs.com</b:Title>
    <b:Year>2015</b:Year>
    <b:InternetSiteTitle>IHS Automotive</b:InternetSiteTitle>
    <b:Month>July</b:Month>
    <b:Day>29</b:Day>
    <b:URL>http://press.ihs.com/press-release/automotive/average-age-light-vehicles-us-rises-slightly-2015-115-years-ihs-reports</b:URL>
    <b:RefOrder>3</b:RefOrder>
  </b:Source>
  <b:Source>
    <b:Tag>AAA11</b:Tag>
    <b:SourceType>Report</b:SourceType>
    <b:Guid>{1230D935-3238-4231-839F-1B6AD79703D7}</b:Guid>
    <b:Title>Impact of Speed and Pedestrian's Risk of Severe Injury or Death</b:Title>
    <b:Year>2011</b:Year>
    <b:Author>
      <b:Author>
        <b:Corporate>AAA Foundation for Traffic Safety</b:Corporate>
      </b:Author>
    </b:Author>
    <b:Publisher>AAA</b:Publisher>
    <b:City>Washington DC</b:City>
    <b:RefOrder>4</b:RefOrder>
  </b:Source>
  <b:Source>
    <b:Tag>Elv09</b:Tag>
    <b:SourceType>Report</b:SourceType>
    <b:Guid>{1DBD3BBD-BFC9-4851-B157-5258CAA25E68}</b:Guid>
    <b:Title>The Power Model of the Relationship Between Speed and Road Safety</b:Title>
    <b:Year>2009</b:Year>
    <b:Publisher>Institute of Transport Economics: Norwegian Centre for Transport Research</b:Publisher>
    <b:City>Oslo, Norway</b:City>
    <b:Author>
      <b:Author>
        <b:NameList>
          <b:Person>
            <b:Last>Elvik</b:Last>
            <b:First>Rune</b:First>
          </b:Person>
        </b:NameList>
      </b:Author>
    </b:Author>
    <b:JournalName>Institute of Transport Economics: No</b:JournalName>
    <b:RefOrder>5</b:RefOrder>
  </b:Source>
</b:Sources>
</file>

<file path=customXml/itemProps1.xml><?xml version="1.0" encoding="utf-8"?>
<ds:datastoreItem xmlns:ds="http://schemas.openxmlformats.org/officeDocument/2006/customXml" ds:itemID="{33F67500-6CC6-47DF-8FBA-FDCCA888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PPBH</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Penna Powers</dc:creator>
  <cp:lastModifiedBy>Chad Worthen</cp:lastModifiedBy>
  <cp:revision>3</cp:revision>
  <cp:lastPrinted>2017-04-18T16:38:00Z</cp:lastPrinted>
  <dcterms:created xsi:type="dcterms:W3CDTF">2021-01-05T21:44:00Z</dcterms:created>
  <dcterms:modified xsi:type="dcterms:W3CDTF">2021-01-05T21:45:00Z</dcterms:modified>
</cp:coreProperties>
</file>