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optimisers under the chain-ladder start</w:t>
      </w:r>
    </w:p>
    <w:p>
      <w:pPr>
        <w:pStyle w:val="Subtitle"/>
      </w:pPr>
      <w:r>
        <w:t xml:space="preserve">Validation loss, reserve stability and training length by optimiser</w:t>
      </w:r>
    </w:p>
    <w:p>
      <w:pPr>
        <w:pStyle w:val="Author"/>
      </w:pPr>
      <w:r>
        <w:t xml:space="preserve">Prepared for Francis</w:t>
      </w:r>
    </w:p>
    <w:p>
      <w:pPr>
        <w:pStyle w:val="Date"/>
      </w:pPr>
      <w:r>
        <w:t xml:space="preserve">4 October 2026</w:t>
      </w:r>
    </w:p>
    <w:p>
      <w:pPr>
        <w:pStyle w:val="FirstParagraph"/>
      </w:pPr>
      <w:r>
        <w:t xml:space="preserve">Neural network chain ladder on the SynthETIC portfolio with the chain-ladder start (training</w:t>
      </w:r>
      <w:r>
        <w:t xml:space="preserve"> </w:t>
      </w:r>
      <w:r>
        <w:rPr>
          <w:rStyle w:val="VerbatimChar"/>
        </w:rPr>
        <w:t xml:space="preserve">cl_start</w:t>
      </w:r>
      <w:r>
        <w:t xml:space="preserve">), 20 seeds per optimiser. Amounts are in millions. The validation loss is summed over the 19 development periods; the homogeneous chain ladder (the start of every network) scores 15 247.9. The bias is the reserve averaged over the 20 seeds less the true outstanding payments of 9 626.8, in percent of the latter; Mack’s chain ladder on the same triangle has a bias of -1.53%.</w:t>
      </w:r>
    </w:p>
    <w:bookmarkStart w:id="9" w:name="one-hidden-layer-of-20-neurons"/>
    <w:p>
      <w:pPr>
        <w:pStyle w:val="Heading2"/>
      </w:pPr>
      <w:r>
        <w:t xml:space="preserve">One hidden layer of 20 neurons</w:t>
      </w:r>
    </w:p>
    <w:tbl>
      <w:tblPr>
        <w:tblStyle w:val="Table"/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firstRow="1" w:lastRow="0" w:firstColumn="0" w:lastColumn="0" w:noHBand="0" w:noVBand="0" w:val="0020"/>
      </w:tblPr>
      <w:tblGrid>
        <w:gridCol w:w="1060"/>
        <w:gridCol w:w="1020"/>
        <w:gridCol w:w="1020"/>
        <w:gridCol w:w="1020"/>
        <w:gridCol w:w="1020"/>
        <w:gridCol w:w="1400"/>
        <w:gridCol w:w="1020"/>
        <w:gridCol w:w="1020"/>
        <w:gridCol w:w="1058"/>
      </w:tblGrid>
      <w:tr>
        <w:trPr>
          <w:tblHeader w:val="on"/>
        </w:trPr>
        <w:tc>
          <w:tcPr>
            <w:tcW w:w="1060" w:type="dxa"/>
            <w:vAlign w:val="center"/>
          </w:tcPr>
          <w:p>
            <w:pPr>
              <w:pStyle w:val="Compact"/>
              <w:jc w:val="center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Optimiser</w:t>
            </w:r>
          </w:p>
        </w:tc>
        <w:tc>
          <w:tcPr>
            <w:tcW w:w="1020" w:type="dxa"/>
            <w:vAlign w:val="center"/>
          </w:tcPr>
          <w:p>
            <w:pPr>
              <w:pStyle w:val="Compact"/>
              <w:jc w:val="center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Mean validation loss</w:t>
            </w:r>
          </w:p>
        </w:tc>
        <w:tc>
          <w:tcPr>
            <w:tcW w:w="1020" w:type="dxa"/>
            <w:vAlign w:val="center"/>
          </w:tcPr>
          <w:p>
            <w:pPr>
              <w:pStyle w:val="Compact"/>
              <w:jc w:val="center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Sample standard deviation of validation loss</w:t>
            </w:r>
          </w:p>
        </w:tc>
        <w:tc>
          <w:tcPr>
            <w:tcW w:w="1020" w:type="dxa"/>
            <w:vAlign w:val="center"/>
          </w:tcPr>
          <w:p>
            <w:pPr>
              <w:pStyle w:val="Compact"/>
              <w:jc w:val="center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Minimum validation loss</w:t>
            </w:r>
          </w:p>
        </w:tc>
        <w:tc>
          <w:tcPr>
            <w:tcW w:w="1020" w:type="dxa"/>
            <w:vAlign w:val="center"/>
          </w:tcPr>
          <w:p>
            <w:pPr>
              <w:pStyle w:val="Compact"/>
              <w:jc w:val="center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Maximum validation loss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center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Proportion below the homogeneous chain ladder</w:t>
            </w:r>
          </w:p>
        </w:tc>
        <w:tc>
          <w:tcPr>
            <w:tcW w:w="1020" w:type="dxa"/>
            <w:vAlign w:val="center"/>
          </w:tcPr>
          <w:p>
            <w:pPr>
              <w:pStyle w:val="Compact"/>
              <w:jc w:val="center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Sample standard deviation of reserves (millions)</w:t>
            </w:r>
          </w:p>
        </w:tc>
        <w:tc>
          <w:tcPr>
            <w:tcW w:w="1020" w:type="dxa"/>
            <w:vAlign w:val="center"/>
          </w:tcPr>
          <w:p>
            <w:pPr>
              <w:pStyle w:val="Compact"/>
              <w:jc w:val="center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Bias of mean reserve (% of true reserve)</w:t>
            </w:r>
          </w:p>
        </w:tc>
        <w:tc>
          <w:tcPr>
            <w:tcW w:w="1058" w:type="dxa"/>
            <w:vAlign w:val="center"/>
          </w:tcPr>
          <w:p>
            <w:pPr>
              <w:pStyle w:val="Compact"/>
              <w:jc w:val="center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Steps used per run</w:t>
            </w:r>
          </w:p>
        </w:tc>
      </w:tr>
      <w:tr>
        <w:tc>
          <w:tcPr>
            <w:tcW w:w="1060" w:type="dxa"/>
            <w:vAlign w:val="center"/>
          </w:tcPr>
          <w:p>
            <w:pPr>
              <w:pStyle w:val="Compact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SGD</w:t>
            </w:r>
          </w:p>
        </w:tc>
        <w:tc>
          <w:tcPr>
            <w:tcW w:w="10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15 223.0</w:t>
            </w:r>
          </w:p>
        </w:tc>
        <w:tc>
          <w:tcPr>
            <w:tcW w:w="10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2.9</w:t>
            </w:r>
          </w:p>
        </w:tc>
        <w:tc>
          <w:tcPr>
            <w:tcW w:w="10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15 217.7</w:t>
            </w:r>
          </w:p>
        </w:tc>
        <w:tc>
          <w:tcPr>
            <w:tcW w:w="10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15 227.4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0.16%</w:t>
            </w:r>
          </w:p>
        </w:tc>
        <w:tc>
          <w:tcPr>
            <w:tcW w:w="10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20.6</w:t>
            </w:r>
          </w:p>
        </w:tc>
        <w:tc>
          <w:tcPr>
            <w:tcW w:w="10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-0.63%</w:t>
            </w:r>
          </w:p>
        </w:tc>
        <w:tc>
          <w:tcPr>
            <w:tcW w:w="1058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4 535</w:t>
            </w:r>
          </w:p>
        </w:tc>
      </w:tr>
      <w:tr>
        <w:tc>
          <w:tcPr>
            <w:tcW w:w="1060" w:type="dxa"/>
            <w:vAlign w:val="center"/>
          </w:tcPr>
          <w:p>
            <w:pPr>
              <w:pStyle w:val="Compact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Momentum SGD</w:t>
            </w:r>
          </w:p>
        </w:tc>
        <w:tc>
          <w:tcPr>
            <w:tcW w:w="10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15 217.2</w:t>
            </w:r>
          </w:p>
        </w:tc>
        <w:tc>
          <w:tcPr>
            <w:tcW w:w="10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3.6</w:t>
            </w:r>
          </w:p>
        </w:tc>
        <w:tc>
          <w:tcPr>
            <w:tcW w:w="10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15 212.7</w:t>
            </w:r>
          </w:p>
        </w:tc>
        <w:tc>
          <w:tcPr>
            <w:tcW w:w="10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15 227.4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0.20%</w:t>
            </w:r>
          </w:p>
        </w:tc>
        <w:tc>
          <w:tcPr>
            <w:tcW w:w="10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24.4</w:t>
            </w:r>
          </w:p>
        </w:tc>
        <w:tc>
          <w:tcPr>
            <w:tcW w:w="10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-0.90%</w:t>
            </w:r>
          </w:p>
        </w:tc>
        <w:tc>
          <w:tcPr>
            <w:tcW w:w="1058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2 274</w:t>
            </w:r>
          </w:p>
        </w:tc>
      </w:tr>
      <w:tr>
        <w:tc>
          <w:tcPr>
            <w:tcW w:w="1060" w:type="dxa"/>
            <w:vAlign w:val="center"/>
          </w:tcPr>
          <w:p>
            <w:pPr>
              <w:pStyle w:val="Compact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RMSprop</w:t>
            </w:r>
          </w:p>
        </w:tc>
        <w:tc>
          <w:tcPr>
            <w:tcW w:w="10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15 212.3</w:t>
            </w:r>
          </w:p>
        </w:tc>
        <w:tc>
          <w:tcPr>
            <w:tcW w:w="10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1.6</w:t>
            </w:r>
          </w:p>
        </w:tc>
        <w:tc>
          <w:tcPr>
            <w:tcW w:w="10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15 209.9</w:t>
            </w:r>
          </w:p>
        </w:tc>
        <w:tc>
          <w:tcPr>
            <w:tcW w:w="10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15 215.3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0.23%</w:t>
            </w:r>
          </w:p>
        </w:tc>
        <w:tc>
          <w:tcPr>
            <w:tcW w:w="10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137.7</w:t>
            </w:r>
          </w:p>
        </w:tc>
        <w:tc>
          <w:tcPr>
            <w:tcW w:w="10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-1.04%</w:t>
            </w:r>
          </w:p>
        </w:tc>
        <w:tc>
          <w:tcPr>
            <w:tcW w:w="1058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808</w:t>
            </w:r>
          </w:p>
        </w:tc>
      </w:tr>
      <w:tr>
        <w:tc>
          <w:tcPr>
            <w:tcW w:w="1060" w:type="dxa"/>
            <w:vAlign w:val="center"/>
          </w:tcPr>
          <w:p>
            <w:pPr>
              <w:pStyle w:val="Compact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Adam</w:t>
            </w:r>
          </w:p>
        </w:tc>
        <w:tc>
          <w:tcPr>
            <w:tcW w:w="10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15 213.0</w:t>
            </w:r>
          </w:p>
        </w:tc>
        <w:tc>
          <w:tcPr>
            <w:tcW w:w="10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1.9</w:t>
            </w:r>
          </w:p>
        </w:tc>
        <w:tc>
          <w:tcPr>
            <w:tcW w:w="10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15 208.1</w:t>
            </w:r>
          </w:p>
        </w:tc>
        <w:tc>
          <w:tcPr>
            <w:tcW w:w="10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15 215.9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0.23%</w:t>
            </w:r>
          </w:p>
        </w:tc>
        <w:tc>
          <w:tcPr>
            <w:tcW w:w="10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46.4</w:t>
            </w:r>
          </w:p>
        </w:tc>
        <w:tc>
          <w:tcPr>
            <w:tcW w:w="10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-1.00%</w:t>
            </w:r>
          </w:p>
        </w:tc>
        <w:tc>
          <w:tcPr>
            <w:tcW w:w="1058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405</w:t>
            </w:r>
          </w:p>
        </w:tc>
      </w:tr>
      <w:tr>
        <w:tc>
          <w:tcPr>
            <w:tcW w:w="1060" w:type="dxa"/>
            <w:vAlign w:val="center"/>
          </w:tcPr>
          <w:p>
            <w:pPr>
              <w:pStyle w:val="Compact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Nadam</w:t>
            </w:r>
          </w:p>
        </w:tc>
        <w:tc>
          <w:tcPr>
            <w:tcW w:w="10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15 213.0</w:t>
            </w:r>
          </w:p>
        </w:tc>
        <w:tc>
          <w:tcPr>
            <w:tcW w:w="10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2.0</w:t>
            </w:r>
          </w:p>
        </w:tc>
        <w:tc>
          <w:tcPr>
            <w:tcW w:w="10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15 207.9</w:t>
            </w:r>
          </w:p>
        </w:tc>
        <w:tc>
          <w:tcPr>
            <w:tcW w:w="10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15 215.9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0.23%</w:t>
            </w:r>
          </w:p>
        </w:tc>
        <w:tc>
          <w:tcPr>
            <w:tcW w:w="10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73.1</w:t>
            </w:r>
          </w:p>
        </w:tc>
        <w:tc>
          <w:tcPr>
            <w:tcW w:w="10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-1.03%</w:t>
            </w:r>
          </w:p>
        </w:tc>
        <w:tc>
          <w:tcPr>
            <w:tcW w:w="1058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491</w:t>
            </w:r>
          </w:p>
        </w:tc>
      </w:tr>
    </w:tbl>
    <w:bookmarkEnd w:id="9"/>
    <w:bookmarkStart w:id="10" w:name="X712f86adb0f4d7bab4ae7f668270936e9000ad6"/>
    <w:p>
      <w:pPr>
        <w:pStyle w:val="Heading2"/>
      </w:pPr>
      <w:r>
        <w:t xml:space="preserve">Three hidden layers of 20, 20 and 15 neurons</w:t>
      </w:r>
    </w:p>
    <w:tbl>
      <w:tblPr>
        <w:tblStyle w:val="Table"/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firstRow="1" w:lastRow="0" w:firstColumn="0" w:lastColumn="0" w:noHBand="0" w:noVBand="0" w:val="0020"/>
      </w:tblPr>
      <w:tblGrid>
        <w:gridCol w:w="1060"/>
        <w:gridCol w:w="1020"/>
        <w:gridCol w:w="1020"/>
        <w:gridCol w:w="1020"/>
        <w:gridCol w:w="1020"/>
        <w:gridCol w:w="1400"/>
        <w:gridCol w:w="1020"/>
        <w:gridCol w:w="1020"/>
        <w:gridCol w:w="1058"/>
      </w:tblGrid>
      <w:tr>
        <w:trPr>
          <w:tblHeader w:val="on"/>
        </w:trPr>
        <w:tc>
          <w:tcPr>
            <w:tcW w:w="1060" w:type="dxa"/>
            <w:vAlign w:val="center"/>
          </w:tcPr>
          <w:p>
            <w:pPr>
              <w:pStyle w:val="Compact"/>
              <w:jc w:val="center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Optimiser</w:t>
            </w:r>
          </w:p>
        </w:tc>
        <w:tc>
          <w:tcPr>
            <w:tcW w:w="1020" w:type="dxa"/>
            <w:vAlign w:val="center"/>
          </w:tcPr>
          <w:p>
            <w:pPr>
              <w:pStyle w:val="Compact"/>
              <w:jc w:val="center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Mean validation loss</w:t>
            </w:r>
          </w:p>
        </w:tc>
        <w:tc>
          <w:tcPr>
            <w:tcW w:w="1020" w:type="dxa"/>
            <w:vAlign w:val="center"/>
          </w:tcPr>
          <w:p>
            <w:pPr>
              <w:pStyle w:val="Compact"/>
              <w:jc w:val="center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Sample standard deviation of validation loss</w:t>
            </w:r>
          </w:p>
        </w:tc>
        <w:tc>
          <w:tcPr>
            <w:tcW w:w="1020" w:type="dxa"/>
            <w:vAlign w:val="center"/>
          </w:tcPr>
          <w:p>
            <w:pPr>
              <w:pStyle w:val="Compact"/>
              <w:jc w:val="center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Minimum validation loss</w:t>
            </w:r>
          </w:p>
        </w:tc>
        <w:tc>
          <w:tcPr>
            <w:tcW w:w="1020" w:type="dxa"/>
            <w:vAlign w:val="center"/>
          </w:tcPr>
          <w:p>
            <w:pPr>
              <w:pStyle w:val="Compact"/>
              <w:jc w:val="center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Maximum validation loss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center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Proportion below the homogeneous chain ladder</w:t>
            </w:r>
          </w:p>
        </w:tc>
        <w:tc>
          <w:tcPr>
            <w:tcW w:w="1020" w:type="dxa"/>
            <w:vAlign w:val="center"/>
          </w:tcPr>
          <w:p>
            <w:pPr>
              <w:pStyle w:val="Compact"/>
              <w:jc w:val="center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Sample standard deviation of reserves (millions)</w:t>
            </w:r>
          </w:p>
        </w:tc>
        <w:tc>
          <w:tcPr>
            <w:tcW w:w="1020" w:type="dxa"/>
            <w:vAlign w:val="center"/>
          </w:tcPr>
          <w:p>
            <w:pPr>
              <w:pStyle w:val="Compact"/>
              <w:jc w:val="center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Bias of mean reserve (% of true reserve)</w:t>
            </w:r>
          </w:p>
        </w:tc>
        <w:tc>
          <w:tcPr>
            <w:tcW w:w="1058" w:type="dxa"/>
            <w:vAlign w:val="center"/>
          </w:tcPr>
          <w:p>
            <w:pPr>
              <w:pStyle w:val="Compact"/>
              <w:jc w:val="center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Steps used per run</w:t>
            </w:r>
          </w:p>
        </w:tc>
      </w:tr>
      <w:tr>
        <w:tc>
          <w:tcPr>
            <w:tcW w:w="1060" w:type="dxa"/>
            <w:vAlign w:val="center"/>
          </w:tcPr>
          <w:p>
            <w:pPr>
              <w:pStyle w:val="Compact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SGD</w:t>
            </w:r>
          </w:p>
        </w:tc>
        <w:tc>
          <w:tcPr>
            <w:tcW w:w="10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15 228.2</w:t>
            </w:r>
          </w:p>
        </w:tc>
        <w:tc>
          <w:tcPr>
            <w:tcW w:w="10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6.4</w:t>
            </w:r>
          </w:p>
        </w:tc>
        <w:tc>
          <w:tcPr>
            <w:tcW w:w="10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15 211.2</w:t>
            </w:r>
          </w:p>
        </w:tc>
        <w:tc>
          <w:tcPr>
            <w:tcW w:w="10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15 237.1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0.13%</w:t>
            </w:r>
          </w:p>
        </w:tc>
        <w:tc>
          <w:tcPr>
            <w:tcW w:w="10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23.0</w:t>
            </w:r>
          </w:p>
        </w:tc>
        <w:tc>
          <w:tcPr>
            <w:tcW w:w="10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-0.93%</w:t>
            </w:r>
          </w:p>
        </w:tc>
        <w:tc>
          <w:tcPr>
            <w:tcW w:w="1058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4 475</w:t>
            </w:r>
          </w:p>
        </w:tc>
      </w:tr>
      <w:tr>
        <w:tc>
          <w:tcPr>
            <w:tcW w:w="1060" w:type="dxa"/>
            <w:vAlign w:val="center"/>
          </w:tcPr>
          <w:p>
            <w:pPr>
              <w:pStyle w:val="Compact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Momentum SGD</w:t>
            </w:r>
          </w:p>
        </w:tc>
        <w:tc>
          <w:tcPr>
            <w:tcW w:w="10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15 218.8</w:t>
            </w:r>
          </w:p>
        </w:tc>
        <w:tc>
          <w:tcPr>
            <w:tcW w:w="10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8.4</w:t>
            </w:r>
          </w:p>
        </w:tc>
        <w:tc>
          <w:tcPr>
            <w:tcW w:w="10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15 196.9</w:t>
            </w:r>
          </w:p>
        </w:tc>
        <w:tc>
          <w:tcPr>
            <w:tcW w:w="10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15 234.8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0.19%</w:t>
            </w:r>
          </w:p>
        </w:tc>
        <w:tc>
          <w:tcPr>
            <w:tcW w:w="10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29.6</w:t>
            </w:r>
          </w:p>
        </w:tc>
        <w:tc>
          <w:tcPr>
            <w:tcW w:w="10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-1.15%</w:t>
            </w:r>
          </w:p>
        </w:tc>
        <w:tc>
          <w:tcPr>
            <w:tcW w:w="1058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2 640</w:t>
            </w:r>
          </w:p>
        </w:tc>
      </w:tr>
      <w:tr>
        <w:tc>
          <w:tcPr>
            <w:tcW w:w="1060" w:type="dxa"/>
            <w:vAlign w:val="center"/>
          </w:tcPr>
          <w:p>
            <w:pPr>
              <w:pStyle w:val="Compact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RMSprop</w:t>
            </w:r>
          </w:p>
        </w:tc>
        <w:tc>
          <w:tcPr>
            <w:tcW w:w="10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15 209.0</w:t>
            </w:r>
          </w:p>
        </w:tc>
        <w:tc>
          <w:tcPr>
            <w:tcW w:w="10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4.1</w:t>
            </w:r>
          </w:p>
        </w:tc>
        <w:tc>
          <w:tcPr>
            <w:tcW w:w="10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15 201.7</w:t>
            </w:r>
          </w:p>
        </w:tc>
        <w:tc>
          <w:tcPr>
            <w:tcW w:w="10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15 215.5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0.26%</w:t>
            </w:r>
          </w:p>
        </w:tc>
        <w:tc>
          <w:tcPr>
            <w:tcW w:w="10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144.9</w:t>
            </w:r>
          </w:p>
        </w:tc>
        <w:tc>
          <w:tcPr>
            <w:tcW w:w="10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-2.19%</w:t>
            </w:r>
          </w:p>
        </w:tc>
        <w:tc>
          <w:tcPr>
            <w:tcW w:w="1058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709</w:t>
            </w:r>
          </w:p>
        </w:tc>
      </w:tr>
      <w:tr>
        <w:tc>
          <w:tcPr>
            <w:tcW w:w="1060" w:type="dxa"/>
            <w:vAlign w:val="center"/>
          </w:tcPr>
          <w:p>
            <w:pPr>
              <w:pStyle w:val="Compact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Adam</w:t>
            </w:r>
          </w:p>
        </w:tc>
        <w:tc>
          <w:tcPr>
            <w:tcW w:w="10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15 210.9</w:t>
            </w:r>
          </w:p>
        </w:tc>
        <w:tc>
          <w:tcPr>
            <w:tcW w:w="10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3.6</w:t>
            </w:r>
          </w:p>
        </w:tc>
        <w:tc>
          <w:tcPr>
            <w:tcW w:w="10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15 201.8</w:t>
            </w:r>
          </w:p>
        </w:tc>
        <w:tc>
          <w:tcPr>
            <w:tcW w:w="10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15 217.9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0.24%</w:t>
            </w:r>
          </w:p>
        </w:tc>
        <w:tc>
          <w:tcPr>
            <w:tcW w:w="10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55.3</w:t>
            </w:r>
          </w:p>
        </w:tc>
        <w:tc>
          <w:tcPr>
            <w:tcW w:w="10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-1.38%</w:t>
            </w:r>
          </w:p>
        </w:tc>
        <w:tc>
          <w:tcPr>
            <w:tcW w:w="1058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377</w:t>
            </w:r>
          </w:p>
        </w:tc>
      </w:tr>
      <w:tr>
        <w:tc>
          <w:tcPr>
            <w:tcW w:w="1060" w:type="dxa"/>
            <w:vAlign w:val="center"/>
          </w:tcPr>
          <w:p>
            <w:pPr>
              <w:pStyle w:val="Compact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Nadam</w:t>
            </w:r>
          </w:p>
        </w:tc>
        <w:tc>
          <w:tcPr>
            <w:tcW w:w="10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15 210.7</w:t>
            </w:r>
          </w:p>
        </w:tc>
        <w:tc>
          <w:tcPr>
            <w:tcW w:w="10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3.2</w:t>
            </w:r>
          </w:p>
        </w:tc>
        <w:tc>
          <w:tcPr>
            <w:tcW w:w="10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15 202.9</w:t>
            </w:r>
          </w:p>
        </w:tc>
        <w:tc>
          <w:tcPr>
            <w:tcW w:w="10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15 215.1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0.24%</w:t>
            </w:r>
          </w:p>
        </w:tc>
        <w:tc>
          <w:tcPr>
            <w:tcW w:w="10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107.3</w:t>
            </w:r>
          </w:p>
        </w:tc>
        <w:tc>
          <w:tcPr>
            <w:tcW w:w="10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-1.67%</w:t>
            </w:r>
          </w:p>
        </w:tc>
        <w:tc>
          <w:tcPr>
            <w:tcW w:w="1058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420</w:t>
            </w:r>
          </w:p>
        </w:tc>
      </w:tr>
    </w:tbl>
    <w:bookmarkEnd w:id="10"/>
    <w:bookmarkStart w:id="11" w:name="X7007b72b0c7100c005a9802a19d96848f03b6e5"/>
    <w:p>
      <w:pPr>
        <w:pStyle w:val="Heading2"/>
      </w:pPr>
      <w:r>
        <w:t xml:space="preserve">Three hidden layers of 20, 15 and 10 neurons</w:t>
      </w:r>
    </w:p>
    <w:tbl>
      <w:tblPr>
        <w:tblStyle w:val="Table"/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firstRow="1" w:lastRow="0" w:firstColumn="0" w:lastColumn="0" w:noHBand="0" w:noVBand="0" w:val="0020"/>
      </w:tblPr>
      <w:tblGrid>
        <w:gridCol w:w="1060"/>
        <w:gridCol w:w="1020"/>
        <w:gridCol w:w="1020"/>
        <w:gridCol w:w="1020"/>
        <w:gridCol w:w="1020"/>
        <w:gridCol w:w="1400"/>
        <w:gridCol w:w="1020"/>
        <w:gridCol w:w="1020"/>
        <w:gridCol w:w="1058"/>
      </w:tblGrid>
      <w:tr>
        <w:trPr>
          <w:tblHeader w:val="on"/>
        </w:trPr>
        <w:tc>
          <w:tcPr>
            <w:tcW w:w="1060" w:type="dxa"/>
            <w:vAlign w:val="center"/>
          </w:tcPr>
          <w:p>
            <w:pPr>
              <w:pStyle w:val="Compact"/>
              <w:jc w:val="center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Optimiser</w:t>
            </w:r>
          </w:p>
        </w:tc>
        <w:tc>
          <w:tcPr>
            <w:tcW w:w="1020" w:type="dxa"/>
            <w:vAlign w:val="center"/>
          </w:tcPr>
          <w:p>
            <w:pPr>
              <w:pStyle w:val="Compact"/>
              <w:jc w:val="center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Mean validation loss</w:t>
            </w:r>
          </w:p>
        </w:tc>
        <w:tc>
          <w:tcPr>
            <w:tcW w:w="1020" w:type="dxa"/>
            <w:vAlign w:val="center"/>
          </w:tcPr>
          <w:p>
            <w:pPr>
              <w:pStyle w:val="Compact"/>
              <w:jc w:val="center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Sample standard deviation of validation loss</w:t>
            </w:r>
          </w:p>
        </w:tc>
        <w:tc>
          <w:tcPr>
            <w:tcW w:w="1020" w:type="dxa"/>
            <w:vAlign w:val="center"/>
          </w:tcPr>
          <w:p>
            <w:pPr>
              <w:pStyle w:val="Compact"/>
              <w:jc w:val="center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Minimum validation loss</w:t>
            </w:r>
          </w:p>
        </w:tc>
        <w:tc>
          <w:tcPr>
            <w:tcW w:w="1020" w:type="dxa"/>
            <w:vAlign w:val="center"/>
          </w:tcPr>
          <w:p>
            <w:pPr>
              <w:pStyle w:val="Compact"/>
              <w:jc w:val="center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Maximum validation loss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center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Proportion below the homogeneous chain ladder</w:t>
            </w:r>
          </w:p>
        </w:tc>
        <w:tc>
          <w:tcPr>
            <w:tcW w:w="1020" w:type="dxa"/>
            <w:vAlign w:val="center"/>
          </w:tcPr>
          <w:p>
            <w:pPr>
              <w:pStyle w:val="Compact"/>
              <w:jc w:val="center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Sample standard deviation of reserves (millions)</w:t>
            </w:r>
          </w:p>
        </w:tc>
        <w:tc>
          <w:tcPr>
            <w:tcW w:w="1020" w:type="dxa"/>
            <w:vAlign w:val="center"/>
          </w:tcPr>
          <w:p>
            <w:pPr>
              <w:pStyle w:val="Compact"/>
              <w:jc w:val="center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Bias of mean reserve (% of true reserve)</w:t>
            </w:r>
          </w:p>
        </w:tc>
        <w:tc>
          <w:tcPr>
            <w:tcW w:w="1058" w:type="dxa"/>
            <w:vAlign w:val="center"/>
          </w:tcPr>
          <w:p>
            <w:pPr>
              <w:pStyle w:val="Compact"/>
              <w:jc w:val="center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Steps used per run</w:t>
            </w:r>
          </w:p>
        </w:tc>
      </w:tr>
      <w:tr>
        <w:tc>
          <w:tcPr>
            <w:tcW w:w="1060" w:type="dxa"/>
            <w:vAlign w:val="center"/>
          </w:tcPr>
          <w:p>
            <w:pPr>
              <w:pStyle w:val="Compact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SGD</w:t>
            </w:r>
          </w:p>
        </w:tc>
        <w:tc>
          <w:tcPr>
            <w:tcW w:w="10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15 234.6</w:t>
            </w:r>
          </w:p>
        </w:tc>
        <w:tc>
          <w:tcPr>
            <w:tcW w:w="10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5.3</w:t>
            </w:r>
          </w:p>
        </w:tc>
        <w:tc>
          <w:tcPr>
            <w:tcW w:w="10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15 225.7</w:t>
            </w:r>
          </w:p>
        </w:tc>
        <w:tc>
          <w:tcPr>
            <w:tcW w:w="10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15 243.4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0.09%</w:t>
            </w:r>
          </w:p>
        </w:tc>
        <w:tc>
          <w:tcPr>
            <w:tcW w:w="10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29.5</w:t>
            </w:r>
          </w:p>
        </w:tc>
        <w:tc>
          <w:tcPr>
            <w:tcW w:w="10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-1.17%</w:t>
            </w:r>
          </w:p>
        </w:tc>
        <w:tc>
          <w:tcPr>
            <w:tcW w:w="1058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4 318</w:t>
            </w:r>
          </w:p>
        </w:tc>
      </w:tr>
      <w:tr>
        <w:tc>
          <w:tcPr>
            <w:tcW w:w="1060" w:type="dxa"/>
            <w:vAlign w:val="center"/>
          </w:tcPr>
          <w:p>
            <w:pPr>
              <w:pStyle w:val="Compact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Momentum SGD</w:t>
            </w:r>
          </w:p>
        </w:tc>
        <w:tc>
          <w:tcPr>
            <w:tcW w:w="10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15 223.6</w:t>
            </w:r>
          </w:p>
        </w:tc>
        <w:tc>
          <w:tcPr>
            <w:tcW w:w="10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6.5</w:t>
            </w:r>
          </w:p>
        </w:tc>
        <w:tc>
          <w:tcPr>
            <w:tcW w:w="10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15 213.0</w:t>
            </w:r>
          </w:p>
        </w:tc>
        <w:tc>
          <w:tcPr>
            <w:tcW w:w="10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15 241.8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0.16%</w:t>
            </w:r>
          </w:p>
        </w:tc>
        <w:tc>
          <w:tcPr>
            <w:tcW w:w="10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39.8</w:t>
            </w:r>
          </w:p>
        </w:tc>
        <w:tc>
          <w:tcPr>
            <w:tcW w:w="10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-1.23%</w:t>
            </w:r>
          </w:p>
        </w:tc>
        <w:tc>
          <w:tcPr>
            <w:tcW w:w="1058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2 607</w:t>
            </w:r>
          </w:p>
        </w:tc>
      </w:tr>
      <w:tr>
        <w:tc>
          <w:tcPr>
            <w:tcW w:w="1060" w:type="dxa"/>
            <w:vAlign w:val="center"/>
          </w:tcPr>
          <w:p>
            <w:pPr>
              <w:pStyle w:val="Compact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RMSprop</w:t>
            </w:r>
          </w:p>
        </w:tc>
        <w:tc>
          <w:tcPr>
            <w:tcW w:w="10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15 209.5</w:t>
            </w:r>
          </w:p>
        </w:tc>
        <w:tc>
          <w:tcPr>
            <w:tcW w:w="10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3.9</w:t>
            </w:r>
          </w:p>
        </w:tc>
        <w:tc>
          <w:tcPr>
            <w:tcW w:w="10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15 201.3</w:t>
            </w:r>
          </w:p>
        </w:tc>
        <w:tc>
          <w:tcPr>
            <w:tcW w:w="10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15 215.8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0.25%</w:t>
            </w:r>
          </w:p>
        </w:tc>
        <w:tc>
          <w:tcPr>
            <w:tcW w:w="10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151.5</w:t>
            </w:r>
          </w:p>
        </w:tc>
        <w:tc>
          <w:tcPr>
            <w:tcW w:w="10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-2.28%</w:t>
            </w:r>
          </w:p>
        </w:tc>
        <w:tc>
          <w:tcPr>
            <w:tcW w:w="1058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923</w:t>
            </w:r>
          </w:p>
        </w:tc>
      </w:tr>
      <w:tr>
        <w:tc>
          <w:tcPr>
            <w:tcW w:w="1060" w:type="dxa"/>
            <w:vAlign w:val="center"/>
          </w:tcPr>
          <w:p>
            <w:pPr>
              <w:pStyle w:val="Compact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Adam</w:t>
            </w:r>
          </w:p>
        </w:tc>
        <w:tc>
          <w:tcPr>
            <w:tcW w:w="10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15 211.2</w:t>
            </w:r>
          </w:p>
        </w:tc>
        <w:tc>
          <w:tcPr>
            <w:tcW w:w="10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4.6</w:t>
            </w:r>
          </w:p>
        </w:tc>
        <w:tc>
          <w:tcPr>
            <w:tcW w:w="10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15 204.6</w:t>
            </w:r>
          </w:p>
        </w:tc>
        <w:tc>
          <w:tcPr>
            <w:tcW w:w="10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15 222.3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0.24%</w:t>
            </w:r>
          </w:p>
        </w:tc>
        <w:tc>
          <w:tcPr>
            <w:tcW w:w="10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61.7</w:t>
            </w:r>
          </w:p>
        </w:tc>
        <w:tc>
          <w:tcPr>
            <w:tcW w:w="10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-1.43%</w:t>
            </w:r>
          </w:p>
        </w:tc>
        <w:tc>
          <w:tcPr>
            <w:tcW w:w="1058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469</w:t>
            </w:r>
          </w:p>
        </w:tc>
      </w:tr>
      <w:tr>
        <w:tc>
          <w:tcPr>
            <w:tcW w:w="1060" w:type="dxa"/>
            <w:vAlign w:val="center"/>
          </w:tcPr>
          <w:p>
            <w:pPr>
              <w:pStyle w:val="Compact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Nadam</w:t>
            </w:r>
          </w:p>
        </w:tc>
        <w:tc>
          <w:tcPr>
            <w:tcW w:w="10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15 210.5</w:t>
            </w:r>
          </w:p>
        </w:tc>
        <w:tc>
          <w:tcPr>
            <w:tcW w:w="10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3.8</w:t>
            </w:r>
          </w:p>
        </w:tc>
        <w:tc>
          <w:tcPr>
            <w:tcW w:w="10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15 205.1</w:t>
            </w:r>
          </w:p>
        </w:tc>
        <w:tc>
          <w:tcPr>
            <w:tcW w:w="10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15 217.4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0.25%</w:t>
            </w:r>
          </w:p>
        </w:tc>
        <w:tc>
          <w:tcPr>
            <w:tcW w:w="10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78.1</w:t>
            </w:r>
          </w:p>
        </w:tc>
        <w:tc>
          <w:tcPr>
            <w:tcW w:w="1020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-1.86%</w:t>
            </w:r>
          </w:p>
        </w:tc>
        <w:tc>
          <w:tcPr>
            <w:tcW w:w="1058" w:type="dxa"/>
            <w:vAlign w:val="center"/>
          </w:tcPr>
          <w:p>
            <w:pPr>
              <w:pStyle w:val="Compact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 xml:space="preserve">496</w:t>
            </w:r>
          </w:p>
        </w:tc>
      </w:tr>
    </w:tbl>
    <w:bookmarkEnd w:id="11"/>
    <w:sectPr>
      <w:footnotePr>
        <w:numRestart w:val="eachSect"/>
      </w:footnotePr>
      <w:pgSz w:w="11906" w:h="16838"/>
      <w:pgMar w:top="1134" w:right="1134" w:bottom="1134" w:left="1134" w:header="708" w:footer="708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optimisers under the chain-ladder start</dc:title>
  <dc:creator>Prepared for Francis</dc:creator>
  <cp:keywords/>
  <dcterms:created xsi:type="dcterms:W3CDTF">2026-10-05T07:40:34Z</dcterms:created>
  <dcterms:modified xsi:type="dcterms:W3CDTF">2026-10-05T07:40:34Z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4 October 2026</vt:lpwstr>
  </property>
  <property fmtid="{D5CDD505-2E9C-101B-9397-08002B2CF9AE}" pid="3" name="output">
    <vt:lpwstr/>
  </property>
  <property fmtid="{D5CDD505-2E9C-101B-9397-08002B2CF9AE}" pid="4" name="subtitle">
    <vt:lpwstr>Validation loss, reserve stability and training length by optimiser</vt:lpwstr>
  </property>
</Properties>
</file>