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/>
      </w:pPr>
      <w:r>
        <w:rPr>
          <w:rFonts w:ascii="Calibri" w:cs="Calibri" w:eastAsia="Calibri" w:hAnsi="Calibri"/>
        </w:rPr>
        <w:t xml:space="preserve">Rolling-origin partitions of the 20 × 20 triangle (rolling_origin_sets(), R/triangles.R)</w:t>
      </w:r>
    </w:p>
    <w:tbl>
      <w:tblPr>
        <w:tblW w:type="dxa" w:w="151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partition 1: valuation year 15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period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j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→</w:t>
            </w:r>
          </w:p>
          <w:tbl>
            <w:tblPr>
              <w:tblW w:type="dxa" w:w="46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00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</w:tblGrid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1</w:t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5</w:t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10</w:t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15</w:t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20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1</w:t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000000" w:sz="1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000000" w:sz="1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000000" w:sz="1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000000" w:sz="1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5</w:t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000000" w:sz="1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000000" w:sz="1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10</w:t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15</w:t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000000" w:sz="1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000000" w:sz="1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000000" w:sz="1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000000" w:sz="1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000000" w:sz="1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000000" w:sz="1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20</w:t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rows: accident period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1 at the top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partition 2: valuation year 18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period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j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→</w:t>
            </w:r>
          </w:p>
          <w:tbl>
            <w:tblPr>
              <w:tblW w:type="dxa" w:w="46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00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</w:tblGrid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1</w:t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5</w:t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10</w:t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15</w:t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20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1</w:t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000000" w:sz="1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000000" w:sz="1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000000" w:sz="1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5</w:t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10</w:t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15</w:t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000000" w:sz="1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000000" w:sz="1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000000" w:sz="12"/>
                    <w:right w:val="single" w:color="FFFFFF" w:sz="2"/>
                  </w:tcBorders>
                  <w:shd w:fill="E41A1C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20</w:t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DDE7F0" w:color="9FB0C2" w:val="thinDiagStripe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rows: accident period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1 at the top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Final partition: valuation year 20 (no test set)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period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j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→</w:t>
            </w:r>
          </w:p>
          <w:tbl>
            <w:tblPr>
              <w:tblW w:type="dxa" w:w="46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00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  <w:gridCol w:w="215"/>
            </w:tblGrid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1</w:t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5</w:t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10</w:t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15</w:t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20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1</w:t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000000" w:sz="12"/>
                    <w:left w:val="single" w:color="FFFFFF" w:sz="2"/>
                    <w:bottom w:val="single" w:color="FFFFFF" w:sz="2"/>
                    <w:right w:val="single" w:color="000000" w:sz="1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5</w:t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10</w:t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15</w:t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1B5E2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FFFFFF" w:sz="2"/>
                    <w:bottom w:val="single" w:color="FFFFFF" w:sz="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D9D9D9" w:sz="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  <w:vAlign w:val="center"/>
                </w:tcPr>
                <w:p>
                  <w:pPr>
                    <w:spacing w:after="0" w:before="0" w:line="160" w:lineRule="exact"/>
                    <w:jc w:val="right"/>
                  </w:pPr>
                  <w:r>
                    <w:rPr>
                      <w:rFonts w:ascii="Calibri" w:cs="Calibri" w:eastAsia="Calibri" w:hAnsi="Calibri"/>
                      <w:sz w:val="11"/>
                      <w:szCs w:val="11"/>
                    </w:rPr>
                    <w:t xml:space="preserve">20</w:t>
                  </w:r>
                </w:p>
              </w:tc>
              <w:tc>
                <w:tcPr>
                  <w:tcW w:type="dxa" w:w="215"/>
                  <w:tcBorders>
                    <w:top w:val="single" w:color="FFFFFF" w:sz="2"/>
                    <w:left w:val="single" w:color="000000" w:sz="12"/>
                    <w:bottom w:val="single" w:color="000000" w:sz="12"/>
                    <w:right w:val="single" w:color="FFFFFF" w:sz="2"/>
                  </w:tcBorders>
                  <w:shd w:fill="4DAF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D9D9D9" w:sz="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15"/>
                  <w:tcBorders>
                    <w:top w:val="single" w:color="D9D9D9" w:sz="2"/>
                    <w:left w:val="single" w:color="D9D9D9" w:sz="2"/>
                    <w:bottom w:val="single" w:color="000000" w:sz="12"/>
                    <w:right w:val="single" w:color="000000" w:sz="12"/>
                  </w:tcBorders>
                  <w:shd w:fill="F0F0F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160" w:lineRule="exact"/>
                    <w:jc w:val="center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rows: accident period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1 at the top</w:t>
            </w:r>
          </w:p>
        </w:tc>
      </w:tr>
    </w:tbl>
    <w:p>
      <w:pPr>
        <w:spacing w:after="60" w:before="120"/>
      </w:pPr>
    </w:p>
    <w:tbl>
      <w:tblPr>
        <w:tblW w:type="dxa" w:w="13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1500"/>
        <w:gridCol w:w="260"/>
        <w:gridCol w:w="1500"/>
        <w:gridCol w:w="260"/>
        <w:gridCol w:w="2700"/>
        <w:gridCol w:w="260"/>
        <w:gridCol w:w="4300"/>
        <w:gridCol w:w="260"/>
        <w:gridCol w:w="1900"/>
      </w:tblGrid>
      <w:tr>
        <w:trPr>
          <w:trHeight w:val="260" w:hRule="exact"/>
        </w:trPr>
        <w:tc>
          <w:tcPr>
            <w:tcW w:type="dxa" w:w="2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4DAF4A" w:color="auto" w:val="clear"/>
          </w:tcPr>
          <w:p>
            <w:pPr>
              <w:spacing w:after="0" w:before="0" w:line="160" w:lineRule="exact"/>
              <w:jc w:val="center"/>
            </w:pPr>
            <w:r>
              <w:rPr>
                <w:rFonts w:ascii="Calibri" w:cs="Calibri" w:eastAsia="Calibri" w:hAnsi="Calibri"/>
                <w:sz w:val="2"/>
                <w:szCs w:val="2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training cells</w:t>
            </w:r>
          </w:p>
        </w:tc>
        <w:tc>
          <w:tcPr>
            <w:tcW w:type="dxa" w:w="2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B5E20" w:color="auto" w:val="clear"/>
          </w:tcPr>
          <w:p>
            <w:pPr>
              <w:spacing w:after="0" w:before="0" w:line="160" w:lineRule="exact"/>
              <w:jc w:val="center"/>
            </w:pPr>
            <w:r>
              <w:rPr>
                <w:rFonts w:ascii="Calibri" w:cs="Calibri" w:eastAsia="Calibri" w:hAnsi="Calibri"/>
                <w:sz w:val="2"/>
                <w:szCs w:val="2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validation cells</w:t>
            </w:r>
          </w:p>
        </w:tc>
        <w:tc>
          <w:tcPr>
            <w:tcW w:type="dxa" w:w="2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41A1C" w:color="auto" w:val="clear"/>
          </w:tcPr>
          <w:p>
            <w:pPr>
              <w:spacing w:after="0" w:before="0" w:line="160" w:lineRule="exact"/>
              <w:jc w:val="center"/>
            </w:pPr>
            <w:r>
              <w:rPr>
                <w:rFonts w:ascii="Calibri" w:cs="Calibri" w:eastAsia="Calibri" w:hAnsi="Calibri"/>
                <w:sz w:val="2"/>
                <w:szCs w:val="2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test cells (held-out calendar years)</w:t>
            </w:r>
          </w:p>
        </w:tc>
        <w:tc>
          <w:tcPr>
            <w:tcW w:type="dxa" w:w="2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DE7F0" w:color="9FB0C2" w:val="thinDiagStripe"/>
          </w:tcPr>
          <w:p>
            <w:pPr>
              <w:spacing w:after="0" w:before="0" w:line="160" w:lineRule="exact"/>
              <w:jc w:val="center"/>
            </w:pPr>
            <w:r>
              <w:rPr>
                <w:rFonts w:ascii="Calibri" w:cs="Calibri" w:eastAsia="Calibri" w:hAnsi="Calibri"/>
                <w:sz w:val="2"/>
                <w:szCs w:val="2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observed at year 20, outside the partition’s square (unused)</w:t>
            </w:r>
          </w:p>
        </w:tc>
        <w:tc>
          <w:tcPr>
            <w:tcW w:type="dxa" w:w="2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0F0F0" w:color="auto" w:val="clear"/>
          </w:tcPr>
          <w:p>
            <w:pPr>
              <w:spacing w:after="0" w:before="0" w:line="160" w:lineRule="exact"/>
              <w:jc w:val="center"/>
            </w:pPr>
            <w:r>
              <w:rPr>
                <w:rFonts w:ascii="Calibri" w:cs="Calibri" w:eastAsia="Calibri" w:hAnsi="Calibri"/>
                <w:sz w:val="2"/>
                <w:szCs w:val="2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future cells (never used)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sz w:val="18"/>
          <w:szCs w:val="18"/>
        </w:rPr>
        <w:t xml:space="preserve">Figure. The three partitions for </w:t>
      </w:r>
      <w:r>
        <w:rPr>
          <w:rFonts w:ascii="Consolas" w:cs="Consolas" w:eastAsia="Consolas" w:hAnsi="Consolas"/>
          <w:sz w:val="17"/>
          <w:szCs w:val="17"/>
        </w:rPr>
        <w:t xml:space="preserve">test_periods = c(5, 2), vali_periods = 2, exclude = 2</w:t>
      </w:r>
      <w:r>
        <w:rPr>
          <w:rFonts w:ascii="Calibri" w:cs="Calibri" w:eastAsia="Calibri" w:hAnsi="Calibri"/>
          <w:sz w:val="18"/>
          <w:szCs w:val="18"/>
        </w:rPr>
        <w:t xml:space="preserve"> (Al-Mudafer et al. 2021, scaled from their 40 × 40 quarters). The black outline is each partition’s τ × τ square, τ = 15, 18, 20. Validation: the last two diagonals of the partition, without the first two accident and development periods, plus two cells at development period 2. Test: the calendar years after τ, up to 20. Cells (training / validation / test): 97 / 23 / 60, 142 / 29 / 33, 177 / 33 / none.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Editing: every cell is a table cell. Select one or more cells and use Table Design, Shading to change a role; the outline of a partition’s square is the cell borders (Table Design, Borders). Titles, axis labels and the legend are ordinary text.</w:t>
      </w:r>
    </w:p>
    <w:sectPr>
      <w:pgSz w:w="16838" w:h="11906" w:orient="landscape"/>
      <w:pgMar w:top="794" w:right="794" w:bottom="794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2026-10-06T13:11:51.991Z</dcterms:created>
  <dcterms:modified xsi:type="dcterms:W3CDTF">2026-10-06T13:11:51.991Z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