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Stowers demand for policy limits due to liability and damages.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