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YaHei" w:cs="Calibri"/>
          <w:b/>
          <w:color w:val="1F4E79"/>
          <w:sz w:val="44"/>
        </w:rPr>
        <w:t>US Financials Ahead of the Q3 2026 Earnings Season (Illustrated Edition)</w:t>
      </w:r>
    </w:p>
    <w:p>
      <w:r>
        <w:rPr>
          <w:rFonts w:ascii="Calibri" w:hAnsi="Calibri" w:eastAsia="Microsoft YaHei" w:cs="Calibri"/>
          <w:sz w:val="21"/>
        </w:rPr>
        <w:t>Data as of the 2026-10-01 close; written 2026-10-02. This document combines the research report with charts, a rate stress test, the AFS/HTM impact analysis and an IPO review.</w:t>
      </w:r>
    </w:p>
    <w:p>
      <w:pPr>
        <w:pStyle w:val="Heading2"/>
      </w:pPr>
      <w:r>
        <w:rPr>
          <w:rFonts w:ascii="Calibri" w:hAnsi="Calibri" w:eastAsia="Microsoft YaHei" w:cs="Calibri"/>
          <w:b/>
          <w:color w:val="1F4E79"/>
          <w:sz w:val="28"/>
        </w:rPr>
        <w:t>Reading guide</w:t>
      </w:r>
    </w:p>
    <w:tbl>
      <w:tblPr>
        <w:tblStyle w:val="TableGrid"/>
        <w:tblW w:type="auto" w:w="0"/>
        <w:jc w:val="center"/>
        <w:tblLayout w:type="fixed"/>
        <w:tblLook w:firstColumn="1" w:firstRow="1" w:lastColumn="0" w:lastRow="0" w:noHBand="0" w:noVBand="1" w:val="04A0"/>
      </w:tblPr>
      <w:tblGrid>
        <w:gridCol w:w="2435"/>
        <w:gridCol w:w="4098"/>
        <w:gridCol w:w="3218"/>
      </w:tblGrid>
      <w:tr>
        <w:trPr>
          <w:tblHeader w:val="true"/>
          <w:cantSplit/>
        </w:trPr>
        <w:tc>
          <w:tcPr>
            <w:tcW w:type="dxa" w:w="2435"/>
            <w:shd w:val="clear" w:color="auto" w:fill="1F4E79"/>
          </w:tcPr>
          <w:p>
            <w:pPr>
              <w:spacing w:after="20" w:before="20" w:line="252" w:lineRule="auto"/>
              <w:jc w:val="center"/>
            </w:pPr>
            <w:r>
              <w:rPr>
                <w:rFonts w:ascii="Calibri" w:hAnsi="Calibri" w:eastAsia="Microsoft YaHei" w:cs="Calibri"/>
                <w:b/>
                <w:color w:val="FFFFFF"/>
                <w:sz w:val="18"/>
              </w:rPr>
              <w:t>Part</w:t>
            </w:r>
          </w:p>
        </w:tc>
        <w:tc>
          <w:tcPr>
            <w:tcW w:type="dxa" w:w="4098"/>
            <w:shd w:val="clear" w:color="auto" w:fill="1F4E79"/>
          </w:tcPr>
          <w:p>
            <w:pPr>
              <w:spacing w:after="20" w:before="20" w:line="252" w:lineRule="auto"/>
              <w:jc w:val="center"/>
            </w:pPr>
            <w:r>
              <w:rPr>
                <w:rFonts w:ascii="Calibri" w:hAnsi="Calibri" w:eastAsia="Microsoft YaHei" w:cs="Calibri"/>
                <w:b/>
                <w:color w:val="FFFFFF"/>
                <w:sz w:val="18"/>
              </w:rPr>
              <w:t>Content</w:t>
            </w:r>
          </w:p>
        </w:tc>
        <w:tc>
          <w:tcPr>
            <w:tcW w:type="dxa" w:w="3218"/>
            <w:shd w:val="clear" w:color="auto" w:fill="1F4E79"/>
          </w:tcPr>
          <w:p>
            <w:pPr>
              <w:spacing w:after="20" w:before="20" w:line="252" w:lineRule="auto"/>
              <w:jc w:val="center"/>
            </w:pPr>
            <w:r>
              <w:rPr>
                <w:rFonts w:ascii="Calibri" w:hAnsi="Calibri" w:eastAsia="Microsoft YaHei" w:cs="Calibri"/>
                <w:b/>
                <w:color w:val="FFFFFF"/>
                <w:sz w:val="18"/>
              </w:rPr>
              <w:t>Who it is for</w:t>
            </w:r>
          </w:p>
        </w:tc>
      </w:tr>
      <w:tr>
        <w:trPr>
          <w:cantSplit/>
        </w:trPr>
        <w:tc>
          <w:tcPr>
            <w:tcW w:type="dxa" w:w="2435"/>
          </w:tcPr>
          <w:p>
            <w:pPr>
              <w:spacing w:after="20" w:before="20" w:line="252" w:lineRule="auto"/>
              <w:jc w:val="left"/>
            </w:pPr>
            <w:r>
              <w:rPr>
                <w:rFonts w:ascii="Calibri" w:hAnsi="Calibri" w:eastAsia="Microsoft YaHei" w:cs="Calibri"/>
                <w:sz w:val="18"/>
              </w:rPr>
              <w:t>Part I (Sections 0-10)</w:t>
            </w:r>
          </w:p>
        </w:tc>
        <w:tc>
          <w:tcPr>
            <w:tcW w:type="dxa" w:w="4098"/>
          </w:tcPr>
          <w:p>
            <w:pPr>
              <w:spacing w:after="20" w:before="20" w:line="252" w:lineRule="auto"/>
              <w:jc w:val="left"/>
            </w:pPr>
            <w:r>
              <w:rPr>
                <w:rFonts w:ascii="Calibri" w:hAnsi="Calibri" w:eastAsia="Microsoft YaHei" w:cs="Calibri"/>
                <w:sz w:val="18"/>
              </w:rPr>
              <w:t>Research report: conclusions, macro, method, segments, EPS forecasts, tiers, risk, analogues, views, limits</w:t>
            </w:r>
          </w:p>
        </w:tc>
        <w:tc>
          <w:tcPr>
            <w:tcW w:type="dxa" w:w="3218"/>
          </w:tcPr>
          <w:p>
            <w:pPr>
              <w:spacing w:after="20" w:before="20" w:line="252" w:lineRule="auto"/>
              <w:jc w:val="left"/>
            </w:pPr>
            <w:r>
              <w:rPr>
                <w:rFonts w:ascii="Calibri" w:hAnsi="Calibri" w:eastAsia="Microsoft YaHei" w:cs="Calibri"/>
                <w:sz w:val="18"/>
              </w:rPr>
              <w:t>Readers who want the full argument</w:t>
            </w:r>
          </w:p>
        </w:tc>
      </w:tr>
      <w:tr>
        <w:trPr>
          <w:cantSplit/>
        </w:trPr>
        <w:tc>
          <w:tcPr>
            <w:tcW w:type="dxa" w:w="2435"/>
            <w:shd w:val="clear" w:color="auto" w:fill="F2F5F9"/>
          </w:tcPr>
          <w:p>
            <w:pPr>
              <w:spacing w:after="20" w:before="20" w:line="252" w:lineRule="auto"/>
              <w:jc w:val="left"/>
            </w:pPr>
            <w:r>
              <w:rPr>
                <w:rFonts w:ascii="Calibri" w:hAnsi="Calibri" w:eastAsia="Microsoft YaHei" w:cs="Calibri"/>
                <w:sz w:val="18"/>
              </w:rPr>
              <w:t>Part II (Sections 11-17)</w:t>
            </w:r>
          </w:p>
        </w:tc>
        <w:tc>
          <w:tcPr>
            <w:tcW w:type="dxa" w:w="4098"/>
            <w:shd w:val="clear" w:color="auto" w:fill="F2F5F9"/>
          </w:tcPr>
          <w:p>
            <w:pPr>
              <w:spacing w:after="20" w:before="20" w:line="252" w:lineRule="auto"/>
              <w:jc w:val="left"/>
            </w:pPr>
            <w:r>
              <w:rPr>
                <w:rFonts w:ascii="Calibri" w:hAnsi="Calibri" w:eastAsia="Microsoft YaHei" w:cs="Calibri"/>
                <w:sz w:val="18"/>
              </w:rPr>
              <w:t>Charts and supplementary analysis: term structure, deposit cost vs. loan income, segment revenue, EPS/P/E, AFS/HTM, stress test, IPO</w:t>
            </w:r>
          </w:p>
        </w:tc>
        <w:tc>
          <w:tcPr>
            <w:tcW w:type="dxa" w:w="3218"/>
            <w:shd w:val="clear" w:color="auto" w:fill="F2F5F9"/>
          </w:tcPr>
          <w:p>
            <w:pPr>
              <w:spacing w:after="20" w:before="20" w:line="252" w:lineRule="auto"/>
              <w:jc w:val="left"/>
            </w:pPr>
            <w:r>
              <w:rPr>
                <w:rFonts w:ascii="Calibri" w:hAnsi="Calibri" w:eastAsia="Microsoft YaHei" w:cs="Calibri"/>
                <w:sz w:val="18"/>
              </w:rPr>
              <w:t>Readers who want an intuitive view</w:t>
            </w:r>
          </w:p>
        </w:tc>
      </w:tr>
    </w:tbl>
    <w:p>
      <w:pPr>
        <w:spacing w:after="40"/>
      </w:pPr>
    </w:p>
    <w:p>
      <w:r>
        <w:rPr>
          <w:rFonts w:ascii="Calibri" w:hAnsi="Calibri" w:eastAsia="Microsoft YaHei" w:cs="Calibri"/>
          <w:b/>
          <w:sz w:val="21"/>
        </w:rPr>
        <w:t>Suggested order</w:t>
      </w:r>
      <w:r>
        <w:rPr>
          <w:rFonts w:ascii="Calibri" w:hAnsi="Calibri" w:eastAsia="Microsoft YaHei" w:cs="Calibri"/>
          <w:sz w:val="21"/>
        </w:rPr>
        <w:t>: read Section 0 (conclusions), then Figures 1-4 (rates), Figures 5-9 (revenue, EPS, valuation), and Figures 10-15 (AFS/HTM, stress test, IPO). Go back to Part I for the detailed argument.</w:t>
      </w:r>
    </w:p>
    <w:p>
      <w:pPr>
        <w:pStyle w:val="Heading2"/>
      </w:pPr>
      <w:r>
        <w:rPr>
          <w:rFonts w:ascii="Calibri" w:hAnsi="Calibri" w:eastAsia="Microsoft YaHei" w:cs="Calibri"/>
          <w:b/>
          <w:color w:val="1F4E79"/>
          <w:sz w:val="28"/>
        </w:rPr>
        <w:t>Conventions and period comparability</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Periods</w:t>
      </w:r>
      <w:r>
        <w:rPr>
          <w:rFonts w:ascii="Calibri" w:hAnsi="Calibri" w:eastAsia="Microsoft YaHei" w:cs="Calibri"/>
          <w:sz w:val="21"/>
        </w:rPr>
        <w:t xml:space="preserve">: </w:t>
      </w:r>
      <w:r>
        <w:rPr>
          <w:rFonts w:ascii="Consolas" w:hAnsi="Consolas" w:eastAsia="Microsoft YaHei" w:cs="Consolas"/>
          <w:color w:val="8B1A1A"/>
          <w:sz w:val="19"/>
        </w:rPr>
        <w:t>24Q3</w:t>
      </w:r>
      <w:r>
        <w:rPr>
          <w:rFonts w:ascii="Calibri" w:hAnsi="Calibri" w:eastAsia="Microsoft YaHei" w:cs="Calibri"/>
          <w:sz w:val="21"/>
        </w:rPr>
        <w:t xml:space="preserve"> to </w:t>
      </w:r>
      <w:r>
        <w:rPr>
          <w:rFonts w:ascii="Consolas" w:hAnsi="Consolas" w:eastAsia="Microsoft YaHei" w:cs="Consolas"/>
          <w:color w:val="8B1A1A"/>
          <w:sz w:val="19"/>
        </w:rPr>
        <w:t>26Q2</w:t>
      </w:r>
      <w:r>
        <w:rPr>
          <w:rFonts w:ascii="Calibri" w:hAnsi="Calibri" w:eastAsia="Microsoft YaHei" w:cs="Calibri"/>
          <w:sz w:val="21"/>
        </w:rPr>
        <w:t xml:space="preserve"> are actual calendar quarters; </w:t>
      </w:r>
      <w:r>
        <w:rPr>
          <w:rFonts w:ascii="Consolas" w:hAnsi="Consolas" w:eastAsia="Microsoft YaHei" w:cs="Consolas"/>
          <w:color w:val="8B1A1A"/>
          <w:sz w:val="19"/>
        </w:rPr>
        <w:t>26Q3E</w:t>
      </w:r>
      <w:r>
        <w:rPr>
          <w:rFonts w:ascii="Calibri" w:hAnsi="Calibri" w:eastAsia="Microsoft YaHei" w:cs="Calibri"/>
          <w:sz w:val="21"/>
        </w:rPr>
        <w:t xml:space="preserve"> is this report's forecast (purple / marked E). </w:t>
      </w:r>
      <w:r>
        <w:rPr>
          <w:rFonts w:ascii="Calibri" w:hAnsi="Calibri" w:eastAsia="Microsoft YaHei" w:cs="Calibri"/>
          <w:b/>
          <w:sz w:val="21"/>
        </w:rPr>
        <w:t>YoY</w:t>
      </w:r>
      <w:r>
        <w:rPr>
          <w:rFonts w:ascii="Calibri" w:hAnsi="Calibri" w:eastAsia="Microsoft YaHei" w:cs="Calibri"/>
          <w:sz w:val="21"/>
        </w:rPr>
        <w:t xml:space="preserve"> compares with Q3'25, </w:t>
      </w:r>
      <w:r>
        <w:rPr>
          <w:rFonts w:ascii="Calibri" w:hAnsi="Calibri" w:eastAsia="Microsoft YaHei" w:cs="Calibri"/>
          <w:b/>
          <w:sz w:val="21"/>
        </w:rPr>
        <w:t>QoQ</w:t>
      </w:r>
      <w:r>
        <w:rPr>
          <w:rFonts w:ascii="Calibri" w:hAnsi="Calibri" w:eastAsia="Microsoft YaHei" w:cs="Calibri"/>
          <w:sz w:val="21"/>
        </w:rPr>
        <w:t xml:space="preserve"> with Q2'26.</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One-offs</w:t>
      </w:r>
      <w:r>
        <w:rPr>
          <w:rFonts w:ascii="Calibri" w:hAnsi="Calibri" w:eastAsia="Microsoft YaHei" w:cs="Calibri"/>
          <w:sz w:val="21"/>
        </w:rPr>
        <w:t>: JPM's Q2'26 contains a one-off Visa gain of about $5.4B, shown separately or removed in QoQ comparisons and EPS trends (hatched in Figure 5, removed in Figures 6 and 7).</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Q4 history</w:t>
      </w:r>
      <w:r>
        <w:rPr>
          <w:rFonts w:ascii="Calibri" w:hAnsi="Calibri" w:eastAsia="Microsoft YaHei" w:cs="Calibri"/>
          <w:sz w:val="21"/>
        </w:rPr>
        <w:t>: XBRL does not report Q4 separately, so it is derived as FY minus 9M; EPS is therefore approximate.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Revenue basis</w:t>
      </w:r>
      <w:r>
        <w:rPr>
          <w:rFonts w:ascii="Calibri" w:hAnsi="Calibri" w:eastAsia="Microsoft YaHei" w:cs="Calibri"/>
          <w:sz w:val="21"/>
        </w:rPr>
        <w:t>: total revenue = net interest income + non-interest income (GAAP, no FTE adjustment). The trading line is the income-statement trading revenue and excludes market-making NII, so it is lower than management's Markets revenue (e.g. JPM's Q2 Markets of $12.1B vs. $9.0B in the chart).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Colours</w:t>
      </w:r>
      <w:r>
        <w:rPr>
          <w:rFonts w:ascii="Calibri" w:hAnsi="Calibri" w:eastAsia="Microsoft YaHei" w:cs="Calibri"/>
          <w:sz w:val="21"/>
        </w:rPr>
        <w:t>: blue = NII, orange = IB fees, green = trading, grey = other non-interest, purple = forecast; red = liability side or adverse, dark blue = asset side. Each bank keeps the same colour in every chart.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Units</w:t>
      </w:r>
      <w:r>
        <w:rPr>
          <w:rFonts w:ascii="Calibri" w:hAnsi="Calibri" w:eastAsia="Microsoft YaHei" w:cs="Calibri"/>
          <w:sz w:val="21"/>
        </w:rPr>
        <w:t xml:space="preserve">: $bn unless noted; bp = basis point (0.01%); </w:t>
      </w:r>
      <w:r>
        <w:rPr>
          <w:rFonts w:ascii="Consolas" w:hAnsi="Consolas" w:eastAsia="Microsoft YaHei" w:cs="Consolas"/>
          <w:color w:val="8B1A1A"/>
          <w:sz w:val="19"/>
        </w:rPr>
        <w:t>$M</w:t>
      </w:r>
      <w:r>
        <w:rPr>
          <w:rFonts w:ascii="Calibri" w:hAnsi="Calibri" w:eastAsia="Microsoft YaHei" w:cs="Calibri"/>
          <w:sz w:val="21"/>
        </w:rPr>
        <w:t xml:space="preserve"> = millions of dollars.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Estimated vs. disclosed</w:t>
      </w:r>
      <w:r>
        <w:rPr>
          <w:rFonts w:ascii="Calibri" w:hAnsi="Calibri" w:eastAsia="Microsoft YaHei" w:cs="Calibri"/>
          <w:sz w:val="21"/>
        </w:rPr>
        <w:t>: in the IPO tables, fees from prospectuses are marked 'disclosed', the rest 'est.'; per-bank splits are role-weighted estimates, not bank disclosures.</w:t>
      </w:r>
    </w:p>
    <w:p>
      <w:pPr>
        <w:pStyle w:val="Heading2"/>
      </w:pPr>
      <w:r>
        <w:rPr>
          <w:rFonts w:ascii="Calibri" w:hAnsi="Calibri" w:eastAsia="Microsoft YaHei" w:cs="Calibri"/>
          <w:b/>
          <w:color w:val="1F4E79"/>
          <w:sz w:val="28"/>
        </w:rPr>
        <w:t>Key findings at a glance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Curve</w:t>
      </w:r>
      <w:r>
        <w:rPr>
          <w:rFonts w:ascii="Calibri" w:hAnsi="Calibri" w:eastAsia="Microsoft YaHei" w:cs="Calibri"/>
          <w:sz w:val="21"/>
        </w:rPr>
        <w:t>: the Treasury curve shifted up 32-90bp in Q3, with the 5Y up the most (+90bp); the 10Y reached 5.29% and 2s10s widened from 30bp to 41bp. The policy rate averaged only +4bp, +25bp at quarter-end. (Figures 1-3)</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Repricing</w:t>
      </w:r>
      <w:r>
        <w:rPr>
          <w:rFonts w:ascii="Calibri" w:hAnsi="Calibri" w:eastAsia="Microsoft YaHei" w:cs="Calibri"/>
          <w:sz w:val="21"/>
        </w:rPr>
        <w:t>: per $100bn of assets that reprice, the 5Y move adds about $0.90B a year of income; deposit costs at beta 40% add about $15M (Q3 average) or $100M (exit rate). Income arrives first; deposit cost catches up later. (Figure 4)</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Revenue</w:t>
      </w:r>
      <w:r>
        <w:rPr>
          <w:rFonts w:ascii="Calibri" w:hAnsi="Calibri" w:eastAsia="Microsoft YaHei" w:cs="Calibri"/>
          <w:sz w:val="21"/>
        </w:rPr>
        <w:t>: Q3E total revenue vs. Q2'26 (JPM ex-Visa): JPM -1.1%, BAC -4.8%, C -2.4%, WFC -1.1%, GS -13.8%, MS -3.0%; YoY all are positive (+4.4% to +15.5%). The QoQ decline comes mainly from trading and IB. (Figures 5-6)</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AFS/HTM</w:t>
      </w:r>
      <w:r>
        <w:rPr>
          <w:rFonts w:ascii="Calibri" w:hAnsi="Calibri" w:eastAsia="Microsoft YaHei" w:cs="Calibri"/>
          <w:sz w:val="21"/>
        </w:rPr>
        <w:t>: BAC's HTM unrealised loss is $82.1B, WFC's $32.4B, JPM's $18.2B; these do not enter regulatory capital but are a hidden loss of economic book value. (Figures 10-12)</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Stress test</w:t>
      </w:r>
      <w:r>
        <w:rPr>
          <w:rFonts w:ascii="Calibri" w:hAnsi="Calibri" w:eastAsia="Microsoft YaHei" w:cs="Calibri"/>
          <w:sz w:val="21"/>
        </w:rPr>
        <w:t>: a further +100bp parallel hike, including the HTM economic loss, gives JPM -$14.0B (-4.7% of TCE), BAC -$21.3B (-10.3% of TCE), C -$7.9B (-4.7% of TCE), WFC -$11.4B (-8.1% of TCE), GS -$4.6B (-4.6% of TCE), MS -$3.5B (-4.1% of TCE). BAC is the most sensitive, almost entirely through HTM. (Figures 13-14)</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IPO</w:t>
      </w:r>
      <w:r>
        <w:rPr>
          <w:rFonts w:ascii="Calibri" w:hAnsi="Calibri" w:eastAsia="Microsoft YaHei" w:cs="Calibri"/>
          <w:sz w:val="21"/>
        </w:rPr>
        <w:t>: we reviewed 18 Q3 deals raising about $32.6B, with estimated underwriting fees of about $611M in total (SK hynix about $258M); the six large banks together earn about $376M, equal to 0.5%-6.9% of each bank's Q3E IB fees. The big Q4 variable is Anthropic (media reports; no public S-1). (Figure 15)</w:t>
      </w:r>
    </w:p>
    <w:p>
      <w:pPr>
        <w:pStyle w:val="Heading2"/>
      </w:pPr>
      <w:r>
        <w:rPr>
          <w:rFonts w:ascii="Calibri" w:hAnsi="Calibri" w:eastAsia="Microsoft YaHei" w:cs="Calibri"/>
          <w:b/>
          <w:color w:val="1F4E79"/>
          <w:sz w:val="28"/>
        </w:rPr>
        <w:t>Glossary</w:t>
      </w:r>
    </w:p>
    <w:tbl>
      <w:tblPr>
        <w:tblStyle w:val="TableGrid"/>
        <w:tblW w:type="auto" w:w="0"/>
        <w:jc w:val="center"/>
        <w:tblLayout w:type="fixed"/>
        <w:tblLook w:firstColumn="1" w:firstRow="1" w:lastColumn="0" w:lastRow="0" w:noHBand="0" w:noVBand="1" w:val="04A0"/>
      </w:tblPr>
      <w:tblGrid>
        <w:gridCol w:w="3782"/>
        <w:gridCol w:w="5969"/>
      </w:tblGrid>
      <w:tr>
        <w:trPr>
          <w:tblHeader w:val="true"/>
          <w:cantSplit/>
        </w:trPr>
        <w:tc>
          <w:tcPr>
            <w:tcW w:type="dxa" w:w="3782"/>
            <w:shd w:val="clear" w:color="auto" w:fill="1F4E79"/>
          </w:tcPr>
          <w:p>
            <w:pPr>
              <w:spacing w:after="20" w:before="20" w:line="252" w:lineRule="auto"/>
              <w:jc w:val="center"/>
            </w:pPr>
            <w:r>
              <w:rPr>
                <w:rFonts w:ascii="Calibri" w:hAnsi="Calibri" w:eastAsia="Microsoft YaHei" w:cs="Calibri"/>
                <w:b/>
                <w:color w:val="FFFFFF"/>
                <w:sz w:val="18"/>
              </w:rPr>
              <w:t>Term</w:t>
            </w:r>
          </w:p>
        </w:tc>
        <w:tc>
          <w:tcPr>
            <w:tcW w:type="dxa" w:w="5969"/>
            <w:shd w:val="clear" w:color="auto" w:fill="1F4E79"/>
          </w:tcPr>
          <w:p>
            <w:pPr>
              <w:spacing w:after="20" w:before="20" w:line="252" w:lineRule="auto"/>
              <w:jc w:val="center"/>
            </w:pPr>
            <w:r>
              <w:rPr>
                <w:rFonts w:ascii="Calibri" w:hAnsi="Calibri" w:eastAsia="Microsoft YaHei" w:cs="Calibri"/>
                <w:b/>
                <w:color w:val="FFFFFF"/>
                <w:sz w:val="18"/>
              </w:rPr>
              <w:t>Meaning</w:t>
            </w:r>
          </w:p>
        </w:tc>
      </w:tr>
      <w:tr>
        <w:trPr>
          <w:cantSplit/>
        </w:trPr>
        <w:tc>
          <w:tcPr>
            <w:tcW w:type="dxa" w:w="3782"/>
          </w:tcPr>
          <w:p>
            <w:pPr>
              <w:spacing w:after="20" w:before="20" w:line="252" w:lineRule="auto"/>
              <w:jc w:val="left"/>
            </w:pPr>
            <w:r>
              <w:rPr>
                <w:rFonts w:ascii="Calibri" w:hAnsi="Calibri" w:eastAsia="Microsoft YaHei" w:cs="Calibri"/>
                <w:sz w:val="18"/>
              </w:rPr>
              <w:t>NII / NIM</w:t>
            </w:r>
          </w:p>
        </w:tc>
        <w:tc>
          <w:tcPr>
            <w:tcW w:type="dxa" w:w="5969"/>
          </w:tcPr>
          <w:p>
            <w:pPr>
              <w:spacing w:after="20" w:before="20" w:line="252" w:lineRule="auto"/>
              <w:jc w:val="left"/>
            </w:pPr>
            <w:r>
              <w:rPr>
                <w:rFonts w:ascii="Calibri" w:hAnsi="Calibri" w:eastAsia="Microsoft YaHei" w:cs="Calibri"/>
                <w:sz w:val="18"/>
              </w:rPr>
              <w:t>Net interest income / net interest margin</w:t>
            </w:r>
          </w:p>
        </w:tc>
      </w:tr>
      <w:tr>
        <w:trPr>
          <w:cantSplit/>
        </w:trPr>
        <w:tc>
          <w:tcPr>
            <w:tcW w:type="dxa" w:w="3782"/>
            <w:shd w:val="clear" w:color="auto" w:fill="F2F5F9"/>
          </w:tcPr>
          <w:p>
            <w:pPr>
              <w:spacing w:after="20" w:before="20" w:line="252" w:lineRule="auto"/>
              <w:jc w:val="left"/>
            </w:pPr>
            <w:r>
              <w:rPr>
                <w:rFonts w:ascii="Calibri" w:hAnsi="Calibri" w:eastAsia="Microsoft YaHei" w:cs="Calibri"/>
                <w:sz w:val="18"/>
              </w:rPr>
              <w:t>AFS / HTM</w:t>
            </w:r>
          </w:p>
        </w:tc>
        <w:tc>
          <w:tcPr>
            <w:tcW w:type="dxa" w:w="5969"/>
            <w:shd w:val="clear" w:color="auto" w:fill="F2F5F9"/>
          </w:tcPr>
          <w:p>
            <w:pPr>
              <w:spacing w:after="20" w:before="20" w:line="252" w:lineRule="auto"/>
              <w:jc w:val="left"/>
            </w:pPr>
            <w:r>
              <w:rPr>
                <w:rFonts w:ascii="Calibri" w:hAnsi="Calibri" w:eastAsia="Microsoft YaHei" w:cs="Calibri"/>
                <w:sz w:val="18"/>
              </w:rPr>
              <w:t>Available-for-sale securities (fair value through AOCI) / held-to-maturity securities (amortised cost; unrealised losses do not enter capital)</w:t>
            </w:r>
          </w:p>
        </w:tc>
      </w:tr>
      <w:tr>
        <w:trPr>
          <w:cantSplit/>
        </w:trPr>
        <w:tc>
          <w:tcPr>
            <w:tcW w:type="dxa" w:w="3782"/>
          </w:tcPr>
          <w:p>
            <w:pPr>
              <w:spacing w:after="20" w:before="20" w:line="252" w:lineRule="auto"/>
              <w:jc w:val="left"/>
            </w:pPr>
            <w:r>
              <w:rPr>
                <w:rFonts w:ascii="Calibri" w:hAnsi="Calibri" w:eastAsia="Microsoft YaHei" w:cs="Calibri"/>
                <w:sz w:val="18"/>
              </w:rPr>
              <w:t>AOCI</w:t>
            </w:r>
          </w:p>
        </w:tc>
        <w:tc>
          <w:tcPr>
            <w:tcW w:type="dxa" w:w="5969"/>
          </w:tcPr>
          <w:p>
            <w:pPr>
              <w:spacing w:after="20" w:before="20" w:line="252" w:lineRule="auto"/>
              <w:jc w:val="left"/>
            </w:pPr>
            <w:r>
              <w:rPr>
                <w:rFonts w:ascii="Calibri" w:hAnsi="Calibri" w:eastAsia="Microsoft YaHei" w:cs="Calibri"/>
                <w:sz w:val="18"/>
              </w:rPr>
              <w:t>Accumulated other comprehensive income; cumulative AFS gains and losses</w:t>
            </w:r>
          </w:p>
        </w:tc>
      </w:tr>
      <w:tr>
        <w:trPr>
          <w:cantSplit/>
        </w:trPr>
        <w:tc>
          <w:tcPr>
            <w:tcW w:type="dxa" w:w="3782"/>
            <w:shd w:val="clear" w:color="auto" w:fill="F2F5F9"/>
          </w:tcPr>
          <w:p>
            <w:pPr>
              <w:spacing w:after="20" w:before="20" w:line="252" w:lineRule="auto"/>
              <w:jc w:val="left"/>
            </w:pPr>
            <w:r>
              <w:rPr>
                <w:rFonts w:ascii="Calibri" w:hAnsi="Calibri" w:eastAsia="Microsoft YaHei" w:cs="Calibri"/>
                <w:sz w:val="18"/>
              </w:rPr>
              <w:t>TCE / TBV</w:t>
            </w:r>
          </w:p>
        </w:tc>
        <w:tc>
          <w:tcPr>
            <w:tcW w:type="dxa" w:w="5969"/>
            <w:shd w:val="clear" w:color="auto" w:fill="F2F5F9"/>
          </w:tcPr>
          <w:p>
            <w:pPr>
              <w:spacing w:after="20" w:before="20" w:line="252" w:lineRule="auto"/>
              <w:jc w:val="left"/>
            </w:pPr>
            <w:r>
              <w:rPr>
                <w:rFonts w:ascii="Calibri" w:hAnsi="Calibri" w:eastAsia="Microsoft YaHei" w:cs="Calibri"/>
                <w:sz w:val="18"/>
              </w:rPr>
              <w:t>Tangible common equity / tangible book value = equity - goodwill - intangibles - preferred</w:t>
            </w:r>
          </w:p>
        </w:tc>
      </w:tr>
      <w:tr>
        <w:trPr>
          <w:cantSplit/>
        </w:trPr>
        <w:tc>
          <w:tcPr>
            <w:tcW w:type="dxa" w:w="3782"/>
          </w:tcPr>
          <w:p>
            <w:pPr>
              <w:spacing w:after="20" w:before="20" w:line="252" w:lineRule="auto"/>
              <w:jc w:val="left"/>
            </w:pPr>
            <w:r>
              <w:rPr>
                <w:rFonts w:ascii="Calibri" w:hAnsi="Calibri" w:eastAsia="Microsoft YaHei" w:cs="Calibri"/>
                <w:sz w:val="18"/>
              </w:rPr>
              <w:t>IB / S&amp;T</w:t>
            </w:r>
          </w:p>
        </w:tc>
        <w:tc>
          <w:tcPr>
            <w:tcW w:type="dxa" w:w="5969"/>
          </w:tcPr>
          <w:p>
            <w:pPr>
              <w:spacing w:after="20" w:before="20" w:line="252" w:lineRule="auto"/>
              <w:jc w:val="left"/>
            </w:pPr>
            <w:r>
              <w:rPr>
                <w:rFonts w:ascii="Calibri" w:hAnsi="Calibri" w:eastAsia="Microsoft YaHei" w:cs="Calibri"/>
                <w:sz w:val="18"/>
              </w:rPr>
              <w:t>Investment banking / sales and trading</w:t>
            </w:r>
          </w:p>
        </w:tc>
      </w:tr>
      <w:tr>
        <w:trPr>
          <w:cantSplit/>
        </w:trPr>
        <w:tc>
          <w:tcPr>
            <w:tcW w:type="dxa" w:w="3782"/>
            <w:shd w:val="clear" w:color="auto" w:fill="F2F5F9"/>
          </w:tcPr>
          <w:p>
            <w:pPr>
              <w:spacing w:after="20" w:before="20" w:line="252" w:lineRule="auto"/>
              <w:jc w:val="left"/>
            </w:pPr>
            <w:r>
              <w:rPr>
                <w:rFonts w:ascii="Calibri" w:hAnsi="Calibri" w:eastAsia="Microsoft YaHei" w:cs="Calibri"/>
                <w:sz w:val="18"/>
              </w:rPr>
              <w:t>2s10s</w:t>
            </w:r>
          </w:p>
        </w:tc>
        <w:tc>
          <w:tcPr>
            <w:tcW w:type="dxa" w:w="5969"/>
            <w:shd w:val="clear" w:color="auto" w:fill="F2F5F9"/>
          </w:tcPr>
          <w:p>
            <w:pPr>
              <w:spacing w:after="20" w:before="20" w:line="252" w:lineRule="auto"/>
              <w:jc w:val="left"/>
            </w:pPr>
            <w:r>
              <w:rPr>
                <w:rFonts w:ascii="Calibri" w:hAnsi="Calibri" w:eastAsia="Microsoft YaHei" w:cs="Calibri"/>
                <w:sz w:val="18"/>
              </w:rPr>
              <w:t>10-year minus 2-year Treasury yield</w:t>
            </w:r>
          </w:p>
        </w:tc>
      </w:tr>
      <w:tr>
        <w:trPr>
          <w:cantSplit/>
        </w:trPr>
        <w:tc>
          <w:tcPr>
            <w:tcW w:type="dxa" w:w="3782"/>
          </w:tcPr>
          <w:p>
            <w:pPr>
              <w:spacing w:after="20" w:before="20" w:line="252" w:lineRule="auto"/>
              <w:jc w:val="left"/>
            </w:pPr>
            <w:r>
              <w:rPr>
                <w:rFonts w:ascii="Calibri" w:hAnsi="Calibri" w:eastAsia="Microsoft YaHei" w:cs="Calibri"/>
                <w:sz w:val="18"/>
              </w:rPr>
              <w:t>Bear steepener / flattener</w:t>
            </w:r>
          </w:p>
        </w:tc>
        <w:tc>
          <w:tcPr>
            <w:tcW w:type="dxa" w:w="5969"/>
          </w:tcPr>
          <w:p>
            <w:pPr>
              <w:spacing w:after="20" w:before="20" w:line="252" w:lineRule="auto"/>
              <w:jc w:val="left"/>
            </w:pPr>
            <w:r>
              <w:rPr>
                <w:rFonts w:ascii="Calibri" w:hAnsi="Calibri" w:eastAsia="Microsoft YaHei" w:cs="Calibri"/>
                <w:sz w:val="18"/>
              </w:rPr>
              <w:t>Rates rise while the curve steepens / flattens</w:t>
            </w:r>
          </w:p>
        </w:tc>
      </w:tr>
      <w:tr>
        <w:trPr>
          <w:cantSplit/>
        </w:trPr>
        <w:tc>
          <w:tcPr>
            <w:tcW w:type="dxa" w:w="3782"/>
            <w:shd w:val="clear" w:color="auto" w:fill="F2F5F9"/>
          </w:tcPr>
          <w:p>
            <w:pPr>
              <w:spacing w:after="20" w:before="20" w:line="252" w:lineRule="auto"/>
              <w:jc w:val="left"/>
            </w:pPr>
            <w:r>
              <w:rPr>
                <w:rFonts w:ascii="Calibri" w:hAnsi="Calibri" w:eastAsia="Microsoft YaHei" w:cs="Calibri"/>
                <w:sz w:val="18"/>
              </w:rPr>
              <w:t>Deposit beta</w:t>
            </w:r>
          </w:p>
        </w:tc>
        <w:tc>
          <w:tcPr>
            <w:tcW w:type="dxa" w:w="5969"/>
            <w:shd w:val="clear" w:color="auto" w:fill="F2F5F9"/>
          </w:tcPr>
          <w:p>
            <w:pPr>
              <w:spacing w:after="20" w:before="20" w:line="252" w:lineRule="auto"/>
              <w:jc w:val="left"/>
            </w:pPr>
            <w:r>
              <w:rPr>
                <w:rFonts w:ascii="Calibri" w:hAnsi="Calibri" w:eastAsia="Microsoft YaHei" w:cs="Calibri"/>
                <w:sz w:val="18"/>
              </w:rPr>
              <w:t>Change in deposit rates ÷ change in the policy rate</w:t>
            </w:r>
          </w:p>
        </w:tc>
      </w:tr>
      <w:tr>
        <w:trPr>
          <w:cantSplit/>
        </w:trPr>
        <w:tc>
          <w:tcPr>
            <w:tcW w:type="dxa" w:w="3782"/>
          </w:tcPr>
          <w:p>
            <w:pPr>
              <w:spacing w:after="20" w:before="20" w:line="252" w:lineRule="auto"/>
              <w:jc w:val="left"/>
            </w:pPr>
            <w:r>
              <w:rPr>
                <w:rFonts w:ascii="Calibri" w:hAnsi="Calibri" w:eastAsia="Microsoft YaHei" w:cs="Calibri"/>
                <w:sz w:val="18"/>
              </w:rPr>
              <w:t>Duration</w:t>
            </w:r>
          </w:p>
        </w:tc>
        <w:tc>
          <w:tcPr>
            <w:tcW w:type="dxa" w:w="5969"/>
          </w:tcPr>
          <w:p>
            <w:pPr>
              <w:spacing w:after="20" w:before="20" w:line="252" w:lineRule="auto"/>
              <w:jc w:val="left"/>
            </w:pPr>
            <w:r>
              <w:rPr>
                <w:rFonts w:ascii="Calibri" w:hAnsi="Calibri" w:eastAsia="Microsoft YaHei" w:cs="Calibri"/>
                <w:sz w:val="18"/>
              </w:rPr>
              <w:t>Approximate % price change for a 1-point move in rates</w:t>
            </w:r>
          </w:p>
        </w:tc>
      </w:tr>
      <w:tr>
        <w:trPr>
          <w:cantSplit/>
        </w:trPr>
        <w:tc>
          <w:tcPr>
            <w:tcW w:type="dxa" w:w="3782"/>
            <w:shd w:val="clear" w:color="auto" w:fill="F2F5F9"/>
          </w:tcPr>
          <w:p>
            <w:pPr>
              <w:spacing w:after="20" w:before="20" w:line="252" w:lineRule="auto"/>
              <w:jc w:val="left"/>
            </w:pPr>
            <w:r>
              <w:rPr>
                <w:rFonts w:ascii="Calibri" w:hAnsi="Calibri" w:eastAsia="Microsoft YaHei" w:cs="Calibri"/>
                <w:sz w:val="18"/>
              </w:rPr>
              <w:t>P/E (TTM)</w:t>
            </w:r>
          </w:p>
        </w:tc>
        <w:tc>
          <w:tcPr>
            <w:tcW w:type="dxa" w:w="5969"/>
            <w:shd w:val="clear" w:color="auto" w:fill="F2F5F9"/>
          </w:tcPr>
          <w:p>
            <w:pPr>
              <w:spacing w:after="20" w:before="20" w:line="252" w:lineRule="auto"/>
              <w:jc w:val="left"/>
            </w:pPr>
            <w:r>
              <w:rPr>
                <w:rFonts w:ascii="Calibri" w:hAnsi="Calibri" w:eastAsia="Microsoft YaHei" w:cs="Calibri"/>
                <w:sz w:val="18"/>
              </w:rPr>
              <w:t>Price ÷ trailing-12-month EPS</w:t>
            </w:r>
          </w:p>
        </w:tc>
      </w:tr>
    </w:tbl>
    <w:p>
      <w:pPr>
        <w:spacing w:after="40"/>
      </w:pPr>
    </w:p>
    <w:p>
      <w:pPr>
        <w:pStyle w:val="Heading2"/>
      </w:pPr>
      <w:r>
        <w:rPr>
          <w:rFonts w:ascii="Calibri" w:hAnsi="Calibri" w:eastAsia="Microsoft YaHei" w:cs="Calibri"/>
          <w:b/>
          <w:color w:val="1F4E79"/>
          <w:sz w:val="28"/>
        </w:rPr>
        <w:t>Chart index</w:t>
      </w:r>
    </w:p>
    <w:tbl>
      <w:tblPr>
        <w:tblStyle w:val="TableGrid"/>
        <w:tblW w:type="auto" w:w="0"/>
        <w:jc w:val="center"/>
        <w:tblLayout w:type="fixed"/>
        <w:tblLook w:firstColumn="1" w:firstRow="1" w:lastColumn="0" w:lastRow="0" w:noHBand="0" w:noVBand="1" w:val="04A0"/>
      </w:tblPr>
      <w:tblGrid>
        <w:gridCol w:w="1148"/>
        <w:gridCol w:w="1446"/>
        <w:gridCol w:w="5858"/>
        <w:gridCol w:w="1299"/>
      </w:tblGrid>
      <w:tr>
        <w:trPr>
          <w:tblHeader w:val="true"/>
          <w:cantSplit/>
        </w:trPr>
        <w:tc>
          <w:tcPr>
            <w:tcW w:type="dxa" w:w="1148"/>
            <w:shd w:val="clear" w:color="auto" w:fill="1F4E79"/>
          </w:tcPr>
          <w:p>
            <w:pPr>
              <w:spacing w:after="20" w:before="20" w:line="252" w:lineRule="auto"/>
              <w:jc w:val="center"/>
            </w:pPr>
            <w:r>
              <w:rPr>
                <w:rFonts w:ascii="Calibri" w:hAnsi="Calibri" w:eastAsia="Microsoft YaHei" w:cs="Calibri"/>
                <w:b/>
                <w:color w:val="FFFFFF"/>
                <w:sz w:val="18"/>
              </w:rPr>
              <w:t>Figure</w:t>
            </w:r>
          </w:p>
        </w:tc>
        <w:tc>
          <w:tcPr>
            <w:tcW w:type="dxa" w:w="1446"/>
            <w:shd w:val="clear" w:color="auto" w:fill="1F4E79"/>
          </w:tcPr>
          <w:p>
            <w:pPr>
              <w:spacing w:after="20" w:before="20" w:line="252" w:lineRule="auto"/>
              <w:jc w:val="center"/>
            </w:pPr>
            <w:r>
              <w:rPr>
                <w:rFonts w:ascii="Calibri" w:hAnsi="Calibri" w:eastAsia="Microsoft YaHei" w:cs="Calibri"/>
                <w:b/>
                <w:color w:val="FFFFFF"/>
                <w:sz w:val="18"/>
              </w:rPr>
              <w:t>File</w:t>
            </w:r>
          </w:p>
        </w:tc>
        <w:tc>
          <w:tcPr>
            <w:tcW w:type="dxa" w:w="5858"/>
            <w:shd w:val="clear" w:color="auto" w:fill="1F4E79"/>
          </w:tcPr>
          <w:p>
            <w:pPr>
              <w:spacing w:after="20" w:before="20" w:line="252" w:lineRule="auto"/>
              <w:jc w:val="center"/>
            </w:pPr>
            <w:r>
              <w:rPr>
                <w:rFonts w:ascii="Calibri" w:hAnsi="Calibri" w:eastAsia="Microsoft YaHei" w:cs="Calibri"/>
                <w:b/>
                <w:color w:val="FFFFFF"/>
                <w:sz w:val="18"/>
              </w:rPr>
              <w:t>Shows</w:t>
            </w:r>
          </w:p>
        </w:tc>
        <w:tc>
          <w:tcPr>
            <w:tcW w:type="dxa" w:w="1299"/>
            <w:shd w:val="clear" w:color="auto" w:fill="1F4E79"/>
          </w:tcPr>
          <w:p>
            <w:pPr>
              <w:spacing w:after="20" w:before="20" w:line="252" w:lineRule="auto"/>
              <w:jc w:val="center"/>
            </w:pPr>
            <w:r>
              <w:rPr>
                <w:rFonts w:ascii="Calibri" w:hAnsi="Calibri" w:eastAsia="Microsoft YaHei" w:cs="Calibri"/>
                <w:b/>
                <w:color w:val="FFFFFF"/>
                <w:sz w:val="18"/>
              </w:rPr>
              <w:t>Section</w:t>
            </w:r>
          </w:p>
        </w:tc>
      </w:tr>
      <w:tr>
        <w:trPr>
          <w:cantSplit/>
        </w:trPr>
        <w:tc>
          <w:tcPr>
            <w:tcW w:type="dxa" w:w="1148"/>
          </w:tcPr>
          <w:p>
            <w:pPr>
              <w:spacing w:after="20" w:before="20" w:line="252" w:lineRule="auto"/>
              <w:jc w:val="left"/>
            </w:pPr>
            <w:r>
              <w:rPr>
                <w:rFonts w:ascii="Calibri" w:hAnsi="Calibri" w:eastAsia="Microsoft YaHei" w:cs="Calibri"/>
                <w:sz w:val="18"/>
              </w:rPr>
              <w:t>1-3</w:t>
            </w:r>
          </w:p>
        </w:tc>
        <w:tc>
          <w:tcPr>
            <w:tcW w:type="dxa" w:w="1446"/>
          </w:tcPr>
          <w:p>
            <w:pPr>
              <w:spacing w:after="20" w:before="20" w:line="252" w:lineRule="auto"/>
              <w:jc w:val="center"/>
            </w:pPr>
            <w:r>
              <w:rPr>
                <w:rFonts w:ascii="Calibri" w:hAnsi="Calibri" w:eastAsia="Microsoft YaHei" w:cs="Calibri"/>
                <w:sz w:val="18"/>
              </w:rPr>
              <w:t>f01-f03</w:t>
            </w:r>
          </w:p>
        </w:tc>
        <w:tc>
          <w:tcPr>
            <w:tcW w:type="dxa" w:w="5858"/>
          </w:tcPr>
          <w:p>
            <w:pPr>
              <w:spacing w:after="20" w:before="20" w:line="252" w:lineRule="auto"/>
              <w:jc w:val="left"/>
            </w:pPr>
            <w:r>
              <w:rPr>
                <w:rFonts w:ascii="Calibri" w:hAnsi="Calibri" w:eastAsia="Microsoft YaHei" w:cs="Calibri"/>
                <w:sz w:val="18"/>
              </w:rPr>
              <w:t>Treasury curve shape and Q3 change by tenor; policy and benchmark rates at quarter-ends; Q3 daily path and 2s10s</w:t>
            </w:r>
          </w:p>
        </w:tc>
        <w:tc>
          <w:tcPr>
            <w:tcW w:type="dxa" w:w="1299"/>
          </w:tcPr>
          <w:p>
            <w:pPr>
              <w:spacing w:after="20" w:before="20" w:line="252" w:lineRule="auto"/>
              <w:jc w:val="center"/>
            </w:pPr>
            <w:r>
              <w:rPr>
                <w:rFonts w:ascii="Calibri" w:hAnsi="Calibri" w:eastAsia="Microsoft YaHei" w:cs="Calibri"/>
                <w:sz w:val="18"/>
              </w:rPr>
              <w:t>11</w:t>
            </w:r>
          </w:p>
        </w:tc>
      </w:tr>
      <w:tr>
        <w:trPr>
          <w:cantSplit/>
        </w:trPr>
        <w:tc>
          <w:tcPr>
            <w:tcW w:type="dxa" w:w="1148"/>
            <w:shd w:val="clear" w:color="auto" w:fill="F2F5F9"/>
          </w:tcPr>
          <w:p>
            <w:pPr>
              <w:spacing w:after="20" w:before="20" w:line="252" w:lineRule="auto"/>
              <w:jc w:val="left"/>
            </w:pPr>
            <w:r>
              <w:rPr>
                <w:rFonts w:ascii="Calibri" w:hAnsi="Calibri" w:eastAsia="Microsoft YaHei" w:cs="Calibri"/>
                <w:sz w:val="18"/>
              </w:rPr>
              <w:t>4</w:t>
            </w:r>
          </w:p>
        </w:tc>
        <w:tc>
          <w:tcPr>
            <w:tcW w:type="dxa" w:w="1446"/>
            <w:shd w:val="clear" w:color="auto" w:fill="F2F5F9"/>
          </w:tcPr>
          <w:p>
            <w:pPr>
              <w:spacing w:after="20" w:before="20" w:line="252" w:lineRule="auto"/>
              <w:jc w:val="center"/>
            </w:pPr>
            <w:r>
              <w:rPr>
                <w:rFonts w:ascii="Calibri" w:hAnsi="Calibri" w:eastAsia="Microsoft YaHei" w:cs="Calibri"/>
                <w:sz w:val="18"/>
              </w:rPr>
              <w:t>f04</w:t>
            </w:r>
          </w:p>
        </w:tc>
        <w:tc>
          <w:tcPr>
            <w:tcW w:type="dxa" w:w="5858"/>
            <w:shd w:val="clear" w:color="auto" w:fill="F2F5F9"/>
          </w:tcPr>
          <w:p>
            <w:pPr>
              <w:spacing w:after="20" w:before="20" w:line="252" w:lineRule="auto"/>
              <w:jc w:val="left"/>
            </w:pPr>
            <w:r>
              <w:rPr>
                <w:rFonts w:ascii="Calibri" w:hAnsi="Calibri" w:eastAsia="Microsoft YaHei" w:cs="Calibri"/>
                <w:sz w:val="18"/>
              </w:rPr>
              <w:t>Transmission of rate moves at different tenors to deposit cost and loan income</w:t>
            </w:r>
          </w:p>
        </w:tc>
        <w:tc>
          <w:tcPr>
            <w:tcW w:type="dxa" w:w="1299"/>
            <w:shd w:val="clear" w:color="auto" w:fill="F2F5F9"/>
          </w:tcPr>
          <w:p>
            <w:pPr>
              <w:spacing w:after="20" w:before="20" w:line="252" w:lineRule="auto"/>
              <w:jc w:val="center"/>
            </w:pPr>
            <w:r>
              <w:rPr>
                <w:rFonts w:ascii="Calibri" w:hAnsi="Calibri" w:eastAsia="Microsoft YaHei" w:cs="Calibri"/>
                <w:sz w:val="18"/>
              </w:rPr>
              <w:t>12</w:t>
            </w:r>
          </w:p>
        </w:tc>
      </w:tr>
      <w:tr>
        <w:trPr>
          <w:cantSplit/>
        </w:trPr>
        <w:tc>
          <w:tcPr>
            <w:tcW w:type="dxa" w:w="1148"/>
          </w:tcPr>
          <w:p>
            <w:pPr>
              <w:spacing w:after="20" w:before="20" w:line="252" w:lineRule="auto"/>
              <w:jc w:val="left"/>
            </w:pPr>
            <w:r>
              <w:rPr>
                <w:rFonts w:ascii="Calibri" w:hAnsi="Calibri" w:eastAsia="Microsoft YaHei" w:cs="Calibri"/>
                <w:sz w:val="18"/>
              </w:rPr>
              <w:t>5-6</w:t>
            </w:r>
          </w:p>
        </w:tc>
        <w:tc>
          <w:tcPr>
            <w:tcW w:type="dxa" w:w="1446"/>
          </w:tcPr>
          <w:p>
            <w:pPr>
              <w:spacing w:after="20" w:before="20" w:line="252" w:lineRule="auto"/>
              <w:jc w:val="center"/>
            </w:pPr>
            <w:r>
              <w:rPr>
                <w:rFonts w:ascii="Calibri" w:hAnsi="Calibri" w:eastAsia="Microsoft YaHei" w:cs="Calibri"/>
                <w:sz w:val="18"/>
              </w:rPr>
              <w:t>f05-f06</w:t>
            </w:r>
          </w:p>
        </w:tc>
        <w:tc>
          <w:tcPr>
            <w:tcW w:type="dxa" w:w="5858"/>
          </w:tcPr>
          <w:p>
            <w:pPr>
              <w:spacing w:after="20" w:before="20" w:line="252" w:lineRule="auto"/>
              <w:jc w:val="left"/>
            </w:pPr>
            <w:r>
              <w:rPr>
                <w:rFonts w:ascii="Calibri" w:hAnsi="Calibri" w:eastAsia="Microsoft YaHei" w:cs="Calibri"/>
                <w:sz w:val="18"/>
              </w:rPr>
              <w:t>Segment revenue of the six banks over 9 quarters (incl. Q3E); Q3E segment changes QoQ and YoY</w:t>
            </w:r>
          </w:p>
        </w:tc>
        <w:tc>
          <w:tcPr>
            <w:tcW w:type="dxa" w:w="1299"/>
          </w:tcPr>
          <w:p>
            <w:pPr>
              <w:spacing w:after="20" w:before="20" w:line="252" w:lineRule="auto"/>
              <w:jc w:val="center"/>
            </w:pPr>
            <w:r>
              <w:rPr>
                <w:rFonts w:ascii="Calibri" w:hAnsi="Calibri" w:eastAsia="Microsoft YaHei" w:cs="Calibri"/>
                <w:sz w:val="18"/>
              </w:rPr>
              <w:t>13</w:t>
            </w:r>
          </w:p>
        </w:tc>
      </w:tr>
      <w:tr>
        <w:trPr>
          <w:cantSplit/>
        </w:trPr>
        <w:tc>
          <w:tcPr>
            <w:tcW w:type="dxa" w:w="1148"/>
            <w:shd w:val="clear" w:color="auto" w:fill="F2F5F9"/>
          </w:tcPr>
          <w:p>
            <w:pPr>
              <w:spacing w:after="20" w:before="20" w:line="252" w:lineRule="auto"/>
              <w:jc w:val="left"/>
            </w:pPr>
            <w:r>
              <w:rPr>
                <w:rFonts w:ascii="Calibri" w:hAnsi="Calibri" w:eastAsia="Microsoft YaHei" w:cs="Calibri"/>
                <w:sz w:val="18"/>
              </w:rPr>
              <w:t>7-9</w:t>
            </w:r>
          </w:p>
        </w:tc>
        <w:tc>
          <w:tcPr>
            <w:tcW w:type="dxa" w:w="1446"/>
            <w:shd w:val="clear" w:color="auto" w:fill="F2F5F9"/>
          </w:tcPr>
          <w:p>
            <w:pPr>
              <w:spacing w:after="20" w:before="20" w:line="252" w:lineRule="auto"/>
              <w:jc w:val="center"/>
            </w:pPr>
            <w:r>
              <w:rPr>
                <w:rFonts w:ascii="Calibri" w:hAnsi="Calibri" w:eastAsia="Microsoft YaHei" w:cs="Calibri"/>
                <w:sz w:val="18"/>
              </w:rPr>
              <w:t>f07-f09</w:t>
            </w:r>
          </w:p>
        </w:tc>
        <w:tc>
          <w:tcPr>
            <w:tcW w:type="dxa" w:w="5858"/>
            <w:shd w:val="clear" w:color="auto" w:fill="F2F5F9"/>
          </w:tcPr>
          <w:p>
            <w:pPr>
              <w:spacing w:after="20" w:before="20" w:line="252" w:lineRule="auto"/>
              <w:jc w:val="left"/>
            </w:pPr>
            <w:r>
              <w:rPr>
                <w:rFonts w:ascii="Calibri" w:hAnsi="Calibri" w:eastAsia="Microsoft YaHei" w:cs="Calibri"/>
                <w:sz w:val="18"/>
              </w:rPr>
              <w:t>EPS history and Q3E; trailing-12M P/E; prices, sectors, volatility, 10Y, oil and mortgage rate</w:t>
            </w:r>
          </w:p>
        </w:tc>
        <w:tc>
          <w:tcPr>
            <w:tcW w:type="dxa" w:w="1299"/>
            <w:shd w:val="clear" w:color="auto" w:fill="F2F5F9"/>
          </w:tcPr>
          <w:p>
            <w:pPr>
              <w:spacing w:after="20" w:before="20" w:line="252" w:lineRule="auto"/>
              <w:jc w:val="center"/>
            </w:pPr>
            <w:r>
              <w:rPr>
                <w:rFonts w:ascii="Calibri" w:hAnsi="Calibri" w:eastAsia="Microsoft YaHei" w:cs="Calibri"/>
                <w:sz w:val="18"/>
              </w:rPr>
              <w:t>14</w:t>
            </w:r>
          </w:p>
        </w:tc>
      </w:tr>
      <w:tr>
        <w:trPr>
          <w:cantSplit/>
        </w:trPr>
        <w:tc>
          <w:tcPr>
            <w:tcW w:type="dxa" w:w="1148"/>
          </w:tcPr>
          <w:p>
            <w:pPr>
              <w:spacing w:after="20" w:before="20" w:line="252" w:lineRule="auto"/>
              <w:jc w:val="left"/>
            </w:pPr>
            <w:r>
              <w:rPr>
                <w:rFonts w:ascii="Calibri" w:hAnsi="Calibri" w:eastAsia="Microsoft YaHei" w:cs="Calibri"/>
                <w:sz w:val="18"/>
              </w:rPr>
              <w:t>10-12</w:t>
            </w:r>
          </w:p>
        </w:tc>
        <w:tc>
          <w:tcPr>
            <w:tcW w:type="dxa" w:w="1446"/>
          </w:tcPr>
          <w:p>
            <w:pPr>
              <w:spacing w:after="20" w:before="20" w:line="252" w:lineRule="auto"/>
              <w:jc w:val="center"/>
            </w:pPr>
            <w:r>
              <w:rPr>
                <w:rFonts w:ascii="Calibri" w:hAnsi="Calibri" w:eastAsia="Microsoft YaHei" w:cs="Calibri"/>
                <w:sz w:val="18"/>
              </w:rPr>
              <w:t>f10, f11</w:t>
            </w:r>
          </w:p>
        </w:tc>
        <w:tc>
          <w:tcPr>
            <w:tcW w:type="dxa" w:w="5858"/>
          </w:tcPr>
          <w:p>
            <w:pPr>
              <w:spacing w:after="20" w:before="20" w:line="252" w:lineRule="auto"/>
              <w:jc w:val="left"/>
            </w:pPr>
            <w:r>
              <w:rPr>
                <w:rFonts w:ascii="Calibri" w:hAnsi="Calibri" w:eastAsia="Microsoft YaHei" w:cs="Calibri"/>
                <w:sz w:val="18"/>
              </w:rPr>
              <w:t>HTM and AFS amortised cost vs. fair value; Q3 rate-rise hit to book value</w:t>
            </w:r>
          </w:p>
        </w:tc>
        <w:tc>
          <w:tcPr>
            <w:tcW w:type="dxa" w:w="1299"/>
          </w:tcPr>
          <w:p>
            <w:pPr>
              <w:spacing w:after="20" w:before="20" w:line="252" w:lineRule="auto"/>
              <w:jc w:val="center"/>
            </w:pPr>
            <w:r>
              <w:rPr>
                <w:rFonts w:ascii="Calibri" w:hAnsi="Calibri" w:eastAsia="Microsoft YaHei" w:cs="Calibri"/>
                <w:sz w:val="18"/>
              </w:rPr>
              <w:t>15</w:t>
            </w:r>
          </w:p>
        </w:tc>
      </w:tr>
      <w:tr>
        <w:trPr>
          <w:cantSplit/>
        </w:trPr>
        <w:tc>
          <w:tcPr>
            <w:tcW w:type="dxa" w:w="1148"/>
            <w:shd w:val="clear" w:color="auto" w:fill="F2F5F9"/>
          </w:tcPr>
          <w:p>
            <w:pPr>
              <w:spacing w:after="20" w:before="20" w:line="252" w:lineRule="auto"/>
              <w:jc w:val="left"/>
            </w:pPr>
            <w:r>
              <w:rPr>
                <w:rFonts w:ascii="Calibri" w:hAnsi="Calibri" w:eastAsia="Microsoft YaHei" w:cs="Calibri"/>
                <w:sz w:val="18"/>
              </w:rPr>
              <w:t>13-14</w:t>
            </w:r>
          </w:p>
        </w:tc>
        <w:tc>
          <w:tcPr>
            <w:tcW w:type="dxa" w:w="1446"/>
            <w:shd w:val="clear" w:color="auto" w:fill="F2F5F9"/>
          </w:tcPr>
          <w:p>
            <w:pPr>
              <w:spacing w:after="20" w:before="20" w:line="252" w:lineRule="auto"/>
              <w:jc w:val="center"/>
            </w:pPr>
            <w:r>
              <w:rPr>
                <w:rFonts w:ascii="Calibri" w:hAnsi="Calibri" w:eastAsia="Microsoft YaHei" w:cs="Calibri"/>
                <w:sz w:val="18"/>
              </w:rPr>
              <w:t>f12, f13</w:t>
            </w:r>
          </w:p>
        </w:tc>
        <w:tc>
          <w:tcPr>
            <w:tcW w:type="dxa" w:w="5858"/>
            <w:shd w:val="clear" w:color="auto" w:fill="F2F5F9"/>
          </w:tcPr>
          <w:p>
            <w:pPr>
              <w:spacing w:after="20" w:before="20" w:line="252" w:lineRule="auto"/>
              <w:jc w:val="left"/>
            </w:pPr>
            <w:r>
              <w:rPr>
                <w:rFonts w:ascii="Calibri" w:hAnsi="Calibri" w:eastAsia="Microsoft YaHei" w:cs="Calibri"/>
                <w:sz w:val="18"/>
              </w:rPr>
              <w:t>Rate stress test: component bars and heat map</w:t>
            </w:r>
          </w:p>
        </w:tc>
        <w:tc>
          <w:tcPr>
            <w:tcW w:type="dxa" w:w="1299"/>
            <w:shd w:val="clear" w:color="auto" w:fill="F2F5F9"/>
          </w:tcPr>
          <w:p>
            <w:pPr>
              <w:spacing w:after="20" w:before="20" w:line="252" w:lineRule="auto"/>
              <w:jc w:val="center"/>
            </w:pPr>
            <w:r>
              <w:rPr>
                <w:rFonts w:ascii="Calibri" w:hAnsi="Calibri" w:eastAsia="Microsoft YaHei" w:cs="Calibri"/>
                <w:sz w:val="18"/>
              </w:rPr>
              <w:t>16</w:t>
            </w:r>
          </w:p>
        </w:tc>
      </w:tr>
      <w:tr>
        <w:trPr>
          <w:cantSplit/>
        </w:trPr>
        <w:tc>
          <w:tcPr>
            <w:tcW w:type="dxa" w:w="1148"/>
          </w:tcPr>
          <w:p>
            <w:pPr>
              <w:spacing w:after="20" w:before="20" w:line="252" w:lineRule="auto"/>
              <w:jc w:val="left"/>
            </w:pPr>
            <w:r>
              <w:rPr>
                <w:rFonts w:ascii="Calibri" w:hAnsi="Calibri" w:eastAsia="Microsoft YaHei" w:cs="Calibri"/>
                <w:sz w:val="18"/>
              </w:rPr>
              <w:t>15</w:t>
            </w:r>
          </w:p>
        </w:tc>
        <w:tc>
          <w:tcPr>
            <w:tcW w:type="dxa" w:w="1446"/>
          </w:tcPr>
          <w:p>
            <w:pPr>
              <w:spacing w:after="20" w:before="20" w:line="252" w:lineRule="auto"/>
              <w:jc w:val="center"/>
            </w:pPr>
            <w:r>
              <w:rPr>
                <w:rFonts w:ascii="Calibri" w:hAnsi="Calibri" w:eastAsia="Microsoft YaHei" w:cs="Calibri"/>
                <w:sz w:val="18"/>
              </w:rPr>
              <w:t>f14</w:t>
            </w:r>
          </w:p>
        </w:tc>
        <w:tc>
          <w:tcPr>
            <w:tcW w:type="dxa" w:w="5858"/>
          </w:tcPr>
          <w:p>
            <w:pPr>
              <w:spacing w:after="20" w:before="20" w:line="252" w:lineRule="auto"/>
              <w:jc w:val="left"/>
            </w:pPr>
            <w:r>
              <w:rPr>
                <w:rFonts w:ascii="Calibri" w:hAnsi="Calibri" w:eastAsia="Microsoft YaHei" w:cs="Calibri"/>
                <w:sz w:val="18"/>
              </w:rPr>
              <w:t>Estimated IPO underwriting fees and the Q4 Anthropic scenario</w:t>
            </w:r>
          </w:p>
        </w:tc>
        <w:tc>
          <w:tcPr>
            <w:tcW w:type="dxa" w:w="1299"/>
          </w:tcPr>
          <w:p>
            <w:pPr>
              <w:spacing w:after="20" w:before="20" w:line="252" w:lineRule="auto"/>
              <w:jc w:val="center"/>
            </w:pPr>
            <w:r>
              <w:rPr>
                <w:rFonts w:ascii="Calibri" w:hAnsi="Calibri" w:eastAsia="Microsoft YaHei" w:cs="Calibri"/>
                <w:sz w:val="18"/>
              </w:rPr>
              <w:t>17</w:t>
            </w:r>
          </w:p>
        </w:tc>
      </w:tr>
    </w:tbl>
    <w:p>
      <w:pPr>
        <w:spacing w:after="40"/>
      </w:pPr>
    </w:p>
    <w:p>
      <w:r>
        <w:br w:type="page"/>
      </w:r>
    </w:p>
    <w:p>
      <w:pPr>
        <w:pStyle w:val="Heading1"/>
      </w:pPr>
      <w:r>
        <w:rPr>
          <w:rFonts w:ascii="Calibri" w:hAnsi="Calibri" w:eastAsia="Microsoft YaHei" w:cs="Calibri"/>
          <w:b/>
          <w:color w:val="1F4E79"/>
          <w:sz w:val="34"/>
        </w:rPr>
        <w:t>Part I. Research report</w:t>
      </w:r>
    </w:p>
    <w:p>
      <w:pPr>
        <w:ind w:left="283"/>
        <w:pBdr>
          <w:left w:val="single" w:sz="18" w:space="6" w:color="1F4E79"/>
        </w:pBdr>
        <w:shd w:val="clear" w:color="auto" w:fill="F2F5F9"/>
      </w:pPr>
      <w:r>
        <w:rPr>
          <w:rFonts w:ascii="Calibri" w:hAnsi="Calibri" w:eastAsia="Microsoft YaHei" w:cs="Calibri"/>
          <w:color w:val="333333"/>
          <w:sz w:val="19"/>
        </w:rPr>
        <w:t>Data as of the 2026-10-01 close; written on 2026-10-02. Bank reporting window: 10/13 (JPM, C, WFC, GS), 10/14 (BAC, MS), 10/15 (PNC, SCHW, USB), around 10/16 (TFC, MTB, CFG, HBAN, BNY, RF), 10/19 (FITB), 10/20 (KEY), 10/22 (COF). The FOMC meets on 10/27-28, in the middle of the season.</w:t>
      </w:r>
    </w:p>
    <w:p>
      <w:pPr>
        <w:ind w:left="283"/>
        <w:pBdr>
          <w:left w:val="single" w:sz="18" w:space="6" w:color="1F4E79"/>
        </w:pBdr>
        <w:shd w:val="clear" w:color="auto" w:fill="F2F5F9"/>
      </w:pPr>
      <w:r>
        <w:rPr>
          <w:rFonts w:ascii="Calibri" w:hAnsi="Calibri" w:eastAsia="Microsoft YaHei" w:cs="Calibri"/>
          <w:color w:val="333333"/>
          <w:sz w:val="19"/>
        </w:rPr>
        <w:t>This is a scenario analysis built on public information, not personalised investment advice. Every "probability of beating" is a model output under the assumptions stated in the text, not a historical frequency. Section 10 lists the methodological limits; please read it first.</w:t>
      </w:r>
    </w:p>
    <w:p>
      <w:pPr>
        <w:ind w:left="283"/>
        <w:pBdr>
          <w:left w:val="single" w:sz="18" w:space="6" w:color="1F4E79"/>
        </w:pBdr>
        <w:shd w:val="clear" w:color="auto" w:fill="F2F5F9"/>
      </w:pPr>
      <w:r>
        <w:rPr>
          <w:rFonts w:ascii="Calibri" w:hAnsi="Calibri" w:eastAsia="Microsoft YaHei" w:cs="Calibri"/>
          <w:color w:val="333333"/>
          <w:sz w:val="19"/>
        </w:rPr>
        <w:t xml:space="preserve">Reproduction: scripts under </w:t>
      </w:r>
      <w:r>
        <w:rPr>
          <w:rFonts w:ascii="Consolas" w:hAnsi="Consolas" w:eastAsia="Microsoft YaHei" w:cs="Consolas"/>
          <w:color w:val="8B1A1A"/>
          <w:sz w:val="17"/>
        </w:rPr>
        <w:t>research/scripts/</w:t>
      </w:r>
      <w:r>
        <w:rPr>
          <w:rFonts w:ascii="Calibri" w:hAnsi="Calibri" w:eastAsia="Microsoft YaHei" w:cs="Calibri"/>
          <w:color w:val="333333"/>
          <w:sz w:val="19"/>
        </w:rPr>
        <w:t xml:space="preserve">; tables in </w:t>
      </w:r>
      <w:r>
        <w:rPr>
          <w:rFonts w:ascii="Consolas" w:hAnsi="Consolas" w:eastAsia="Microsoft YaHei" w:cs="Consolas"/>
          <w:color w:val="8B1A1A"/>
          <w:sz w:val="17"/>
        </w:rPr>
        <w:t>research/output/*.csv</w:t>
      </w:r>
      <w:r>
        <w:rPr>
          <w:rFonts w:ascii="Calibri" w:hAnsi="Calibri" w:eastAsia="Microsoft YaHei" w:cs="Calibri"/>
          <w:color w:val="333333"/>
          <w:sz w:val="19"/>
        </w:rPr>
        <w:t xml:space="preserve">; consensus and sources in </w:t>
      </w:r>
      <w:r>
        <w:rPr>
          <w:rFonts w:ascii="Consolas" w:hAnsi="Consolas" w:eastAsia="Microsoft YaHei" w:cs="Consolas"/>
          <w:color w:val="8B1A1A"/>
          <w:sz w:val="17"/>
        </w:rPr>
        <w:t>research/data/consensus_q3_2026.csv</w:t>
      </w:r>
      <w:r>
        <w:rPr>
          <w:rFonts w:ascii="Calibri" w:hAnsi="Calibri" w:eastAsia="Microsoft YaHei" w:cs="Calibri"/>
          <w:color w:val="333333"/>
          <w:sz w:val="19"/>
        </w:rPr>
        <w:t>.</w:t>
      </w:r>
    </w:p>
    <w:p>
      <w:pPr>
        <w:pStyle w:val="Heading2"/>
      </w:pPr>
      <w:r>
        <w:rPr>
          <w:rFonts w:ascii="Calibri" w:hAnsi="Calibri" w:eastAsia="Microsoft YaHei" w:cs="Calibri"/>
          <w:b/>
          <w:color w:val="1F4E79"/>
          <w:sz w:val="28"/>
        </w:rPr>
        <w:t>0. Bottom line first</w:t>
      </w:r>
    </w:p>
    <w:p>
      <w:pPr>
        <w:tabs>
          <w:tab w:pos="369" w:val="left"/>
        </w:tabs>
        <w:spacing w:after="60"/>
        <w:ind w:left="369" w:hanging="283"/>
      </w:pPr>
      <w:r>
        <w:rPr>
          <w:rFonts w:ascii="Calibri" w:hAnsi="Calibri" w:eastAsia="Microsoft YaHei" w:cs="Calibri"/>
          <w:b/>
          <w:sz w:val="21"/>
        </w:rPr>
        <w:t>1.</w:t>
        <w:tab/>
      </w:r>
      <w:r>
        <w:rPr>
          <w:rFonts w:ascii="Calibri" w:hAnsi="Calibri" w:eastAsia="Microsoft YaHei" w:cs="Calibri"/>
          <w:b/>
          <w:sz w:val="21"/>
        </w:rPr>
        <w:t>Three axes, not one, drive the dispersion this quarter.</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(a) Direction of capital-markets exposure. Q2 was a record quarter and Q3 cooled across the board; how far IB and trading fall quarter on quarter differs a lot by bank.</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(b) Timing mismatch of the rate shock between the income statement and the balance sheet. The long end rose about 85bp in Q3, but the policy rate averaged only +4bp. Fixed-rate assets reprice faster than liabilities, which is an NII tailwind, but it will not be fully realised until Q4 and 2027. The AOCI loss on AFS securities, however, has already happened this quarter.</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(c) One-offs in the Q2 base (the Visa B-2 exchange gain, M&amp;A accounting) decide how much of the "quarter-on-quarter decline" is not real.</w:t>
      </w:r>
    </w:p>
    <w:p>
      <w:pPr>
        <w:tabs>
          <w:tab w:pos="369" w:val="left"/>
        </w:tabs>
        <w:spacing w:after="60"/>
        <w:ind w:left="369" w:hanging="283"/>
      </w:pPr>
      <w:r>
        <w:rPr>
          <w:rFonts w:ascii="Calibri" w:hAnsi="Calibri" w:eastAsia="Microsoft YaHei" w:cs="Calibri"/>
          <w:b/>
          <w:sz w:val="21"/>
        </w:rPr>
        <w:t>2.</w:t>
        <w:tab/>
      </w:r>
      <w:r>
        <w:rPr>
          <w:rFonts w:ascii="Calibri" w:hAnsi="Calibri" w:eastAsia="Microsoft YaHei" w:cs="Calibri"/>
          <w:b/>
          <w:sz w:val="21"/>
        </w:rPr>
        <w:t>The premise "the IPO market is hot" does not hold for Q3, at least not for fee revenue.</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Q2 was the IPO peak. Excluding mega deals, Q3 IPOs cooled noticeably, and announced M&amp;A volume fell about 41% quarter on quarter.</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Fee rates on mega IPOs are very low (SK hynix's underwriting spread is about 0.97%), so proceeds overstate fee revenue.</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Management guidance also diverges: JPM says IB fees are up "mid-to-high teens" year on year, C says "low single digits", BAC says down 10%+ year on year ($1.6-1.8B), PNC says fee income is down 5% quarter on quarter.</w:t>
      </w:r>
    </w:p>
    <w:p>
      <w:pPr>
        <w:tabs>
          <w:tab w:pos="369" w:val="left"/>
        </w:tabs>
        <w:spacing w:after="60"/>
        <w:ind w:left="369" w:hanging="283"/>
      </w:pPr>
      <w:r>
        <w:rPr>
          <w:rFonts w:ascii="Calibri" w:hAnsi="Calibri" w:eastAsia="Microsoft YaHei" w:cs="Calibri"/>
          <w:b/>
          <w:sz w:val="21"/>
        </w:rPr>
        <w:t>3.</w:t>
        <w:tab/>
      </w:r>
      <w:r>
        <w:rPr>
          <w:rFonts w:ascii="Calibri" w:hAnsi="Calibri" w:eastAsia="Microsoft YaHei" w:cs="Calibri"/>
          <w:b/>
          <w:sz w:val="21"/>
        </w:rPr>
        <w:t>Model ranking (details in Sections 4 and 5):</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b/>
          <w:sz w:val="21"/>
        </w:rPr>
        <w:t>EPS likely to beat consensus</w:t>
      </w:r>
      <w:r>
        <w:rPr>
          <w:rFonts w:ascii="Calibri" w:hAnsi="Calibri" w:eastAsia="Microsoft YaHei" w:cs="Calibri"/>
          <w:sz w:val="21"/>
        </w:rPr>
        <w:t>: C, FITB, MS, JPM, TFC (low confidence), BNY (prior).</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b/>
          <w:sz w:val="21"/>
        </w:rPr>
        <w:t>Neutral</w:t>
      </w:r>
      <w:r>
        <w:rPr>
          <w:rFonts w:ascii="Calibri" w:hAnsi="Calibri" w:eastAsia="Microsoft YaHei" w:cs="Calibri"/>
          <w:sz w:val="21"/>
        </w:rPr>
        <w:t>: USB, KEY, PNC, MTB, CFG, WFC, COF.</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b/>
          <w:sz w:val="21"/>
        </w:rPr>
        <w:t>EPS likely to miss consensus</w:t>
      </w:r>
      <w:r>
        <w:rPr>
          <w:rFonts w:ascii="Calibri" w:hAnsi="Calibri" w:eastAsia="Microsoft YaHei" w:cs="Calibri"/>
          <w:sz w:val="21"/>
        </w:rPr>
        <w:t>: GS (-8%), BAC (-5%), HBAN (-8%); SCHW slightly weak.</w:t>
      </w:r>
    </w:p>
    <w:p>
      <w:pPr>
        <w:tabs>
          <w:tab w:pos="369" w:val="left"/>
        </w:tabs>
        <w:spacing w:after="60"/>
        <w:ind w:left="369" w:hanging="283"/>
      </w:pPr>
      <w:r>
        <w:rPr>
          <w:rFonts w:ascii="Calibri" w:hAnsi="Calibri" w:eastAsia="Microsoft YaHei" w:cs="Calibri"/>
          <w:b/>
          <w:sz w:val="21"/>
        </w:rPr>
        <w:t>4.</w:t>
        <w:tab/>
      </w:r>
      <w:r>
        <w:rPr>
          <w:rFonts w:ascii="Calibri" w:hAnsi="Calibri" w:eastAsia="Microsoft YaHei" w:cs="Calibri"/>
          <w:b/>
          <w:sz w:val="21"/>
        </w:rPr>
        <w:t>"EPS beats" and "the stock goes up" are two different things.</w:t>
      </w:r>
      <w:r>
        <w:rPr>
          <w:rFonts w:ascii="Calibri" w:hAnsi="Calibri" w:eastAsia="Microsoft YaHei" w:cs="Calibri"/>
          <w:sz w:val="21"/>
        </w:rPr>
        <w:t xml:space="preserve"> Especially this quarter, because:</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The sector already sold off hard in September (XLF -7.1% in September, KBWB -8.1%) and sits 8-25% below its 52-week highs.</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Names with low expectations and light positioning (C, MS, JPM, TFC) have better odds.</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Names that have already outperformed on high valuations (STT +39% YTD, BNY +26%, BEN +41%) are prone to "sell the news".</w:t>
      </w:r>
    </w:p>
    <w:p>
      <w:pPr>
        <w:tabs>
          <w:tab w:pos="369" w:val="left"/>
        </w:tabs>
        <w:spacing w:after="60"/>
        <w:ind w:left="369" w:hanging="283"/>
      </w:pPr>
      <w:r>
        <w:rPr>
          <w:rFonts w:ascii="Calibri" w:hAnsi="Calibri" w:eastAsia="Microsoft YaHei" w:cs="Calibri"/>
          <w:b/>
          <w:sz w:val="21"/>
        </w:rPr>
        <w:t>5.</w:t>
        <w:tab/>
      </w:r>
      <w:r>
        <w:rPr>
          <w:rFonts w:ascii="Calibri" w:hAnsi="Calibri" w:eastAsia="Microsoft YaHei" w:cs="Calibri"/>
          <w:b/>
          <w:sz w:val="21"/>
        </w:rPr>
        <w:t>The biggest tail risk is not earnings but the rate path.</w:t>
      </w:r>
      <w:r>
        <w:rPr>
          <w:rFonts w:ascii="Calibri" w:hAnsi="Calibri" w:eastAsia="Microsoft YaHei" w:cs="Calibri"/>
          <w:sz w:val="21"/>
        </w:rPr>
        <w:t xml:space="preserve"> The 10Y is at 5.3%, the largest single-quarter rise in Treasury yields this century. If October CPI or the FOMC pushes the long end up further, the AOCI/TBV and credit-cost narrative will overwhelm Q3 EPS.</w:t>
      </w:r>
    </w:p>
    <w:p>
      <w:pPr>
        <w:pStyle w:val="Heading2"/>
      </w:pPr>
      <w:r>
        <w:rPr>
          <w:rFonts w:ascii="Calibri" w:hAnsi="Calibri" w:eastAsia="Microsoft YaHei" w:cs="Calibri"/>
          <w:b/>
          <w:color w:val="1F4E79"/>
          <w:sz w:val="28"/>
        </w:rPr>
        <w:t>1. Macro backdrop (2026 Q3)</w:t>
      </w:r>
    </w:p>
    <w:tbl>
      <w:tblPr>
        <w:tblStyle w:val="TableGrid"/>
        <w:tblW w:type="auto" w:w="0"/>
        <w:jc w:val="center"/>
        <w:tblLayout w:type="fixed"/>
        <w:tblLook w:firstColumn="1" w:firstRow="1" w:lastColumn="0" w:lastRow="0" w:noHBand="0" w:noVBand="1" w:val="04A0"/>
      </w:tblPr>
      <w:tblGrid>
        <w:gridCol w:w="3986"/>
        <w:gridCol w:w="5765"/>
      </w:tblGrid>
      <w:tr>
        <w:trPr>
          <w:tblHeader w:val="true"/>
          <w:cantSplit/>
        </w:trPr>
        <w:tc>
          <w:tcPr>
            <w:tcW w:type="dxa" w:w="3986"/>
            <w:shd w:val="clear" w:color="auto" w:fill="1F4E79"/>
          </w:tcPr>
          <w:p>
            <w:pPr>
              <w:spacing w:after="20" w:before="20" w:line="252" w:lineRule="auto"/>
              <w:jc w:val="center"/>
            </w:pPr>
            <w:r>
              <w:rPr>
                <w:rFonts w:ascii="Calibri" w:hAnsi="Calibri" w:eastAsia="Microsoft YaHei" w:cs="Calibri"/>
                <w:b/>
                <w:color w:val="FFFFFF"/>
                <w:sz w:val="18"/>
              </w:rPr>
              <w:t>Indicator</w:t>
            </w:r>
          </w:p>
        </w:tc>
        <w:tc>
          <w:tcPr>
            <w:tcW w:type="dxa" w:w="5765"/>
            <w:shd w:val="clear" w:color="auto" w:fill="1F4E79"/>
          </w:tcPr>
          <w:p>
            <w:pPr>
              <w:spacing w:after="20" w:before="20" w:line="252" w:lineRule="auto"/>
              <w:jc w:val="center"/>
            </w:pPr>
            <w:r>
              <w:rPr>
                <w:rFonts w:ascii="Calibri" w:hAnsi="Calibri" w:eastAsia="Microsoft YaHei" w:cs="Calibri"/>
                <w:b/>
                <w:color w:val="FFFFFF"/>
                <w:sz w:val="18"/>
              </w:rPr>
              <w:t>Data</w:t>
            </w:r>
          </w:p>
        </w:tc>
      </w:tr>
      <w:tr>
        <w:trPr>
          <w:cantSplit/>
        </w:trPr>
        <w:tc>
          <w:tcPr>
            <w:tcW w:type="dxa" w:w="3986"/>
          </w:tcPr>
          <w:p>
            <w:pPr>
              <w:spacing w:after="20" w:before="20" w:line="252" w:lineRule="auto"/>
              <w:jc w:val="left"/>
            </w:pPr>
            <w:r>
              <w:rPr>
                <w:rFonts w:ascii="Calibri" w:hAnsi="Calibri" w:eastAsia="Microsoft YaHei" w:cs="Calibri"/>
                <w:sz w:val="18"/>
              </w:rPr>
              <w:t>Fed funds target</w:t>
            </w:r>
          </w:p>
        </w:tc>
        <w:tc>
          <w:tcPr>
            <w:tcW w:type="dxa" w:w="5765"/>
          </w:tcPr>
          <w:p>
            <w:pPr>
              <w:spacing w:after="20" w:before="20" w:line="252" w:lineRule="auto"/>
              <w:jc w:val="left"/>
            </w:pPr>
            <w:r>
              <w:rPr>
                <w:rFonts w:ascii="Calibri" w:hAnsi="Calibri" w:eastAsia="Microsoft YaHei" w:cs="Calibri"/>
                <w:sz w:val="18"/>
              </w:rPr>
              <w:t>Hiked 25bp on 9/16 to 3.75-4.00% (Warsh as Chair); IORB 3.90%</w:t>
            </w:r>
          </w:p>
        </w:tc>
      </w:tr>
      <w:tr>
        <w:trPr>
          <w:cantSplit/>
        </w:trPr>
        <w:tc>
          <w:tcPr>
            <w:tcW w:type="dxa" w:w="3986"/>
            <w:shd w:val="clear" w:color="auto" w:fill="F2F5F9"/>
          </w:tcPr>
          <w:p>
            <w:pPr>
              <w:spacing w:after="20" w:before="20" w:line="252" w:lineRule="auto"/>
              <w:jc w:val="left"/>
            </w:pPr>
            <w:r>
              <w:rPr>
                <w:rFonts w:ascii="Calibri" w:hAnsi="Calibri" w:eastAsia="Microsoft YaHei" w:cs="Calibri"/>
                <w:sz w:val="18"/>
              </w:rPr>
              <w:t>SEP year-end median</w:t>
            </w:r>
          </w:p>
        </w:tc>
        <w:tc>
          <w:tcPr>
            <w:tcW w:type="dxa" w:w="5765"/>
            <w:shd w:val="clear" w:color="auto" w:fill="F2F5F9"/>
          </w:tcPr>
          <w:p>
            <w:pPr>
              <w:spacing w:after="20" w:before="20" w:line="252" w:lineRule="auto"/>
              <w:jc w:val="center"/>
            </w:pPr>
            <w:r>
              <w:rPr>
                <w:rFonts w:ascii="Calibri" w:hAnsi="Calibri" w:eastAsia="Microsoft YaHei" w:cs="Calibri"/>
                <w:sz w:val="18"/>
              </w:rPr>
              <w:t>4.1%; PCE 3.7%</w:t>
            </w:r>
          </w:p>
        </w:tc>
      </w:tr>
      <w:tr>
        <w:trPr>
          <w:cantSplit/>
        </w:trPr>
        <w:tc>
          <w:tcPr>
            <w:tcW w:type="dxa" w:w="3986"/>
          </w:tcPr>
          <w:p>
            <w:pPr>
              <w:spacing w:after="20" w:before="20" w:line="252" w:lineRule="auto"/>
              <w:jc w:val="left"/>
            </w:pPr>
            <w:r>
              <w:rPr>
                <w:rFonts w:ascii="Calibri" w:hAnsi="Calibri" w:eastAsia="Microsoft YaHei" w:cs="Calibri"/>
                <w:sz w:val="18"/>
              </w:rPr>
              <w:t>Oil</w:t>
            </w:r>
          </w:p>
        </w:tc>
        <w:tc>
          <w:tcPr>
            <w:tcW w:type="dxa" w:w="5765"/>
          </w:tcPr>
          <w:p>
            <w:pPr>
              <w:spacing w:after="20" w:before="20" w:line="252" w:lineRule="auto"/>
              <w:jc w:val="left"/>
            </w:pPr>
            <w:r>
              <w:rPr>
                <w:rFonts w:ascii="Calibri" w:hAnsi="Calibri" w:eastAsia="Microsoft YaHei" w:cs="Calibri"/>
                <w:sz w:val="18"/>
              </w:rPr>
              <w:t>WTI about $96, Brent about $114 (Iran-war shock)</w:t>
            </w:r>
          </w:p>
        </w:tc>
      </w:tr>
      <w:tr>
        <w:trPr>
          <w:cantSplit/>
        </w:trPr>
        <w:tc>
          <w:tcPr>
            <w:tcW w:type="dxa" w:w="3986"/>
            <w:shd w:val="clear" w:color="auto" w:fill="F2F5F9"/>
          </w:tcPr>
          <w:p>
            <w:pPr>
              <w:spacing w:after="20" w:before="20" w:line="252" w:lineRule="auto"/>
              <w:jc w:val="left"/>
            </w:pPr>
            <w:r>
              <w:rPr>
                <w:rFonts w:ascii="Calibri" w:hAnsi="Calibri" w:eastAsia="Microsoft YaHei" w:cs="Calibri"/>
                <w:sz w:val="18"/>
              </w:rPr>
              <w:t>Treasury curve, Q3 change</w:t>
            </w:r>
          </w:p>
        </w:tc>
        <w:tc>
          <w:tcPr>
            <w:tcW w:type="dxa" w:w="5765"/>
            <w:shd w:val="clear" w:color="auto" w:fill="F2F5F9"/>
          </w:tcPr>
          <w:p>
            <w:pPr>
              <w:spacing w:after="20" w:before="20" w:line="252" w:lineRule="auto"/>
              <w:jc w:val="left"/>
            </w:pPr>
            <w:r>
              <w:rPr>
                <w:rFonts w:ascii="Calibri" w:hAnsi="Calibri" w:eastAsia="Microsoft YaHei" w:cs="Calibri"/>
                <w:sz w:val="18"/>
              </w:rPr>
              <w:t>2Y +74bp, 5Y +90bp, 10Y +85bp, 30Y +73bp (bear steepening)</w:t>
            </w:r>
          </w:p>
        </w:tc>
      </w:tr>
      <w:tr>
        <w:trPr>
          <w:cantSplit/>
        </w:trPr>
        <w:tc>
          <w:tcPr>
            <w:tcW w:type="dxa" w:w="3986"/>
          </w:tcPr>
          <w:p>
            <w:pPr>
              <w:spacing w:after="20" w:before="20" w:line="252" w:lineRule="auto"/>
              <w:jc w:val="left"/>
            </w:pPr>
            <w:r>
              <w:rPr>
                <w:rFonts w:ascii="Calibri" w:hAnsi="Calibri" w:eastAsia="Microsoft YaHei" w:cs="Calibri"/>
                <w:sz w:val="18"/>
              </w:rPr>
              <w:t>10Y yield</w:t>
            </w:r>
          </w:p>
        </w:tc>
        <w:tc>
          <w:tcPr>
            <w:tcW w:type="dxa" w:w="5765"/>
          </w:tcPr>
          <w:p>
            <w:pPr>
              <w:spacing w:after="20" w:before="20" w:line="252" w:lineRule="auto"/>
              <w:jc w:val="left"/>
            </w:pPr>
            <w:r>
              <w:rPr>
                <w:rFonts w:ascii="Calibri" w:hAnsi="Calibri" w:eastAsia="Microsoft YaHei" w:cs="Calibri"/>
                <w:sz w:val="18"/>
              </w:rPr>
              <w:t>5.29% on 9/30, touched 5.34% on 10/1, the largest single-quarter rise this century</w:t>
            </w:r>
          </w:p>
        </w:tc>
      </w:tr>
      <w:tr>
        <w:trPr>
          <w:cantSplit/>
        </w:trPr>
        <w:tc>
          <w:tcPr>
            <w:tcW w:type="dxa" w:w="3986"/>
            <w:shd w:val="clear" w:color="auto" w:fill="F2F5F9"/>
          </w:tcPr>
          <w:p>
            <w:pPr>
              <w:spacing w:after="20" w:before="20" w:line="252" w:lineRule="auto"/>
              <w:jc w:val="left"/>
            </w:pPr>
            <w:r>
              <w:rPr>
                <w:rFonts w:ascii="Calibri" w:hAnsi="Calibri" w:eastAsia="Microsoft YaHei" w:cs="Calibri"/>
                <w:sz w:val="18"/>
              </w:rPr>
              <w:t>Q3 average policy-rate change</w:t>
            </w:r>
          </w:p>
        </w:tc>
        <w:tc>
          <w:tcPr>
            <w:tcW w:type="dxa" w:w="5765"/>
            <w:shd w:val="clear" w:color="auto" w:fill="F2F5F9"/>
          </w:tcPr>
          <w:p>
            <w:pPr>
              <w:spacing w:after="20" w:before="20" w:line="252" w:lineRule="auto"/>
              <w:jc w:val="center"/>
            </w:pPr>
            <w:r>
              <w:rPr>
                <w:rFonts w:ascii="Calibri" w:hAnsi="Calibri" w:eastAsia="Microsoft YaHei" w:cs="Calibri"/>
                <w:sz w:val="18"/>
              </w:rPr>
              <w:t>only +4bp</w:t>
            </w:r>
          </w:p>
        </w:tc>
      </w:tr>
      <w:tr>
        <w:trPr>
          <w:cantSplit/>
        </w:trPr>
        <w:tc>
          <w:tcPr>
            <w:tcW w:type="dxa" w:w="3986"/>
          </w:tcPr>
          <w:p>
            <w:pPr>
              <w:spacing w:after="20" w:before="20" w:line="252" w:lineRule="auto"/>
              <w:jc w:val="left"/>
            </w:pPr>
            <w:r>
              <w:rPr>
                <w:rFonts w:ascii="Calibri" w:hAnsi="Calibri" w:eastAsia="Microsoft YaHei" w:cs="Calibri"/>
                <w:sz w:val="18"/>
              </w:rPr>
              <w:t>2s10s</w:t>
            </w:r>
          </w:p>
        </w:tc>
        <w:tc>
          <w:tcPr>
            <w:tcW w:type="dxa" w:w="5765"/>
          </w:tcPr>
          <w:p>
            <w:pPr>
              <w:spacing w:after="20" w:before="20" w:line="252" w:lineRule="auto"/>
              <w:jc w:val="left"/>
            </w:pPr>
            <w:r>
              <w:rPr>
                <w:rFonts w:ascii="Calibri" w:hAnsi="Calibri" w:eastAsia="Microsoft YaHei" w:cs="Calibri"/>
                <w:sz w:val="18"/>
              </w:rPr>
              <w:t>Narrowed to about 22bp at one point on 9/22 (about 54bp a year earlier)</w:t>
            </w:r>
          </w:p>
        </w:tc>
      </w:tr>
      <w:tr>
        <w:trPr>
          <w:cantSplit/>
        </w:trPr>
        <w:tc>
          <w:tcPr>
            <w:tcW w:type="dxa" w:w="3986"/>
            <w:shd w:val="clear" w:color="auto" w:fill="F2F5F9"/>
          </w:tcPr>
          <w:p>
            <w:pPr>
              <w:spacing w:after="20" w:before="20" w:line="252" w:lineRule="auto"/>
              <w:jc w:val="left"/>
            </w:pPr>
            <w:r>
              <w:rPr>
                <w:rFonts w:ascii="Calibri" w:hAnsi="Calibri" w:eastAsia="Microsoft YaHei" w:cs="Calibri"/>
                <w:sz w:val="18"/>
              </w:rPr>
              <w:t>Equities</w:t>
            </w:r>
          </w:p>
        </w:tc>
        <w:tc>
          <w:tcPr>
            <w:tcW w:type="dxa" w:w="5765"/>
            <w:shd w:val="clear" w:color="auto" w:fill="F2F5F9"/>
          </w:tcPr>
          <w:p>
            <w:pPr>
              <w:spacing w:after="20" w:before="20" w:line="252" w:lineRule="auto"/>
              <w:jc w:val="left"/>
            </w:pPr>
            <w:r>
              <w:rPr>
                <w:rFonts w:ascii="Calibri" w:hAnsi="Calibri" w:eastAsia="Microsoft YaHei" w:cs="Calibri"/>
                <w:sz w:val="18"/>
              </w:rPr>
              <w:t>SPY +2.4% in Q3, XLK +2.9%, SMH -7.1% (but +71.6% YTD), XLF ±0% in Q3, KRE -6.7%, TLT -9.0%</w:t>
            </w:r>
          </w:p>
        </w:tc>
      </w:tr>
      <w:tr>
        <w:trPr>
          <w:cantSplit/>
        </w:trPr>
        <w:tc>
          <w:tcPr>
            <w:tcW w:type="dxa" w:w="3986"/>
          </w:tcPr>
          <w:p>
            <w:pPr>
              <w:spacing w:after="20" w:before="20" w:line="252" w:lineRule="auto"/>
              <w:jc w:val="left"/>
            </w:pPr>
            <w:r>
              <w:rPr>
                <w:rFonts w:ascii="Calibri" w:hAnsi="Calibri" w:eastAsia="Microsoft YaHei" w:cs="Calibri"/>
                <w:sz w:val="18"/>
              </w:rPr>
              <w:t>Credit</w:t>
            </w:r>
          </w:p>
        </w:tc>
        <w:tc>
          <w:tcPr>
            <w:tcW w:type="dxa" w:w="5765"/>
          </w:tcPr>
          <w:p>
            <w:pPr>
              <w:spacing w:after="20" w:before="20" w:line="252" w:lineRule="auto"/>
              <w:jc w:val="left"/>
            </w:pPr>
            <w:r>
              <w:rPr>
                <w:rFonts w:ascii="Calibri" w:hAnsi="Calibri" w:eastAsia="Microsoft YaHei" w:cs="Calibri"/>
                <w:sz w:val="18"/>
              </w:rPr>
              <w:t>FDIC Q2: industry net charge-off rate 0.57% (-2bp QoQ), past-due + non-accrual 1.44%, still improving overall</w:t>
            </w:r>
          </w:p>
        </w:tc>
      </w:tr>
    </w:tbl>
    <w:p>
      <w:pPr>
        <w:spacing w:after="40"/>
      </w:pPr>
    </w:p>
    <w:p>
      <w:r>
        <w:rPr>
          <w:rFonts w:ascii="Calibri" w:hAnsi="Calibri" w:eastAsia="Microsoft YaHei" w:cs="Calibri"/>
          <w:b/>
          <w:sz w:val="21"/>
        </w:rPr>
        <w:t>Transmission chain (to bank earnings)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Asset side: yields on newly originated and reinvested fixed-rate assets (MBS, loans) are up about 75-120bp (RF discloses about $3B of maturing assets reinvestable at +75-100bp; PNC's securities restructuring bought at yields 120bp higher).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Liability side: deposit betas lag. The Q3 average policy rate rose only 4bp, so deposit costs have not caught up yet.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Result: a sequential rise in NII and NIM is clear, but its size is split up by "tougher deposit competition, cash stockpiles (e.g. FITB's Comerica transition cash), and day-count effects".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At the same time: the fall in fair value of AFS securities hits AOCI/TBV directly; HTM losses do not enter capital, but they are a hidden loss in "economic TBV".</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Demand side: Moynihan said explicitly that "if rates rise further, loan demand will slow". IB's DCM, leveraged finance and the IPO window are very sensitive to a rising long end.</w:t>
      </w:r>
    </w:p>
    <w:p>
      <w:r>
        <w:rPr>
          <w:rFonts w:ascii="Calibri" w:hAnsi="Calibri" w:eastAsia="Microsoft YaHei" w:cs="Calibri"/>
          <w:b/>
          <w:sz w:val="21"/>
        </w:rPr>
        <w:t>12-month NII sensitivity disclosed in the 10-Qs (as of 6/30, +100bp parallel shift)</w:t>
      </w:r>
    </w:p>
    <w:tbl>
      <w:tblPr>
        <w:tblStyle w:val="TableGrid"/>
        <w:tblW w:type="auto" w:w="0"/>
        <w:jc w:val="center"/>
        <w:tblLayout w:type="fixed"/>
        <w:tblLook w:firstColumn="1" w:firstRow="1" w:lastColumn="0" w:lastRow="0" w:noHBand="0" w:noVBand="1" w:val="04A0"/>
      </w:tblPr>
      <w:tblGrid>
        <w:gridCol w:w="1210"/>
        <w:gridCol w:w="8541"/>
      </w:tblGrid>
      <w:tr>
        <w:trPr>
          <w:tblHeader w:val="true"/>
          <w:cantSplit/>
        </w:trPr>
        <w:tc>
          <w:tcPr>
            <w:tcW w:type="dxa" w:w="1210"/>
            <w:shd w:val="clear" w:color="auto" w:fill="1F4E79"/>
          </w:tcPr>
          <w:p>
            <w:pPr>
              <w:spacing w:after="20" w:before="20" w:line="252" w:lineRule="auto"/>
              <w:jc w:val="center"/>
            </w:pPr>
            <w:r>
              <w:rPr>
                <w:rFonts w:ascii="Calibri" w:hAnsi="Calibri" w:eastAsia="Microsoft YaHei" w:cs="Calibri"/>
                <w:b/>
                <w:color w:val="FFFFFF"/>
                <w:sz w:val="18"/>
              </w:rPr>
              <w:t>Bank</w:t>
            </w:r>
          </w:p>
        </w:tc>
        <w:tc>
          <w:tcPr>
            <w:tcW w:type="dxa" w:w="8541"/>
            <w:shd w:val="clear" w:color="auto" w:fill="1F4E79"/>
          </w:tcPr>
          <w:p>
            <w:pPr>
              <w:spacing w:after="20" w:before="20" w:line="252" w:lineRule="auto"/>
              <w:jc w:val="center"/>
            </w:pPr>
            <w:r>
              <w:rPr>
                <w:rFonts w:ascii="Calibri" w:hAnsi="Calibri" w:eastAsia="Microsoft YaHei" w:cs="Calibri"/>
                <w:b/>
                <w:color w:val="FFFFFF"/>
                <w:sz w:val="18"/>
              </w:rPr>
              <w:t>Effect of +100bp</w:t>
            </w:r>
          </w:p>
        </w:tc>
      </w:tr>
      <w:tr>
        <w:trPr>
          <w:cantSplit/>
        </w:trPr>
        <w:tc>
          <w:tcPr>
            <w:tcW w:type="dxa" w:w="1210"/>
          </w:tcPr>
          <w:p>
            <w:pPr>
              <w:spacing w:after="20" w:before="20" w:line="252" w:lineRule="auto"/>
              <w:jc w:val="left"/>
            </w:pPr>
            <w:r>
              <w:rPr>
                <w:rFonts w:ascii="Calibri" w:hAnsi="Calibri" w:eastAsia="Microsoft YaHei" w:cs="Calibri"/>
                <w:sz w:val="18"/>
              </w:rPr>
              <w:t>JPM</w:t>
            </w:r>
          </w:p>
        </w:tc>
        <w:tc>
          <w:tcPr>
            <w:tcW w:type="dxa" w:w="8541"/>
          </w:tcPr>
          <w:p>
            <w:pPr>
              <w:spacing w:after="20" w:before="20" w:line="252" w:lineRule="auto"/>
              <w:jc w:val="left"/>
            </w:pPr>
            <w:r>
              <w:rPr>
                <w:rFonts w:ascii="Calibri" w:hAnsi="Calibri" w:eastAsia="Microsoft YaHei" w:cs="Calibri"/>
                <w:sz w:val="18"/>
              </w:rPr>
              <w:t>NII +$1.8B (of which long end +$1.1B)</w:t>
            </w:r>
          </w:p>
        </w:tc>
      </w:tr>
      <w:tr>
        <w:trPr>
          <w:cantSplit/>
        </w:trPr>
        <w:tc>
          <w:tcPr>
            <w:tcW w:type="dxa" w:w="1210"/>
            <w:shd w:val="clear" w:color="auto" w:fill="F2F5F9"/>
          </w:tcPr>
          <w:p>
            <w:pPr>
              <w:spacing w:after="20" w:before="20" w:line="252" w:lineRule="auto"/>
              <w:jc w:val="left"/>
            </w:pPr>
            <w:r>
              <w:rPr>
                <w:rFonts w:ascii="Calibri" w:hAnsi="Calibri" w:eastAsia="Microsoft YaHei" w:cs="Calibri"/>
                <w:sz w:val="18"/>
              </w:rPr>
              <w:t>WFC</w:t>
            </w:r>
          </w:p>
        </w:tc>
        <w:tc>
          <w:tcPr>
            <w:tcW w:type="dxa" w:w="8541"/>
            <w:shd w:val="clear" w:color="auto" w:fill="F2F5F9"/>
          </w:tcPr>
          <w:p>
            <w:pPr>
              <w:spacing w:after="20" w:before="20" w:line="252" w:lineRule="auto"/>
              <w:jc w:val="center"/>
            </w:pPr>
            <w:r>
              <w:rPr>
                <w:rFonts w:ascii="Calibri" w:hAnsi="Calibri" w:eastAsia="Microsoft YaHei" w:cs="Calibri"/>
                <w:sz w:val="18"/>
              </w:rPr>
              <w:t>+$1.3B</w:t>
            </w:r>
          </w:p>
        </w:tc>
      </w:tr>
      <w:tr>
        <w:trPr>
          <w:cantSplit/>
        </w:trPr>
        <w:tc>
          <w:tcPr>
            <w:tcW w:type="dxa" w:w="1210"/>
          </w:tcPr>
          <w:p>
            <w:pPr>
              <w:spacing w:after="20" w:before="20" w:line="252" w:lineRule="auto"/>
              <w:jc w:val="left"/>
            </w:pPr>
            <w:r>
              <w:rPr>
                <w:rFonts w:ascii="Calibri" w:hAnsi="Calibri" w:eastAsia="Microsoft YaHei" w:cs="Calibri"/>
                <w:sz w:val="18"/>
              </w:rPr>
              <w:t>BAC</w:t>
            </w:r>
          </w:p>
        </w:tc>
        <w:tc>
          <w:tcPr>
            <w:tcW w:type="dxa" w:w="8541"/>
          </w:tcPr>
          <w:p>
            <w:pPr>
              <w:spacing w:after="20" w:before="20" w:line="252" w:lineRule="auto"/>
              <w:jc w:val="left"/>
            </w:pPr>
            <w:r>
              <w:rPr>
                <w:rFonts w:ascii="Calibri" w:hAnsi="Calibri" w:eastAsia="Microsoft YaHei" w:cs="Calibri"/>
                <w:sz w:val="18"/>
              </w:rPr>
              <w:t>+$1.0B (mostly from the short end)</w:t>
            </w:r>
          </w:p>
        </w:tc>
      </w:tr>
      <w:tr>
        <w:trPr>
          <w:cantSplit/>
        </w:trPr>
        <w:tc>
          <w:tcPr>
            <w:tcW w:type="dxa" w:w="1210"/>
            <w:shd w:val="clear" w:color="auto" w:fill="F2F5F9"/>
          </w:tcPr>
          <w:p>
            <w:pPr>
              <w:spacing w:after="20" w:before="20" w:line="252" w:lineRule="auto"/>
              <w:jc w:val="left"/>
            </w:pPr>
            <w:r>
              <w:rPr>
                <w:rFonts w:ascii="Calibri" w:hAnsi="Calibri" w:eastAsia="Microsoft YaHei" w:cs="Calibri"/>
                <w:sz w:val="18"/>
              </w:rPr>
              <w:t>C</w:t>
            </w:r>
          </w:p>
        </w:tc>
        <w:tc>
          <w:tcPr>
            <w:tcW w:type="dxa" w:w="8541"/>
            <w:shd w:val="clear" w:color="auto" w:fill="F2F5F9"/>
          </w:tcPr>
          <w:p>
            <w:pPr>
              <w:spacing w:after="20" w:before="20" w:line="252" w:lineRule="auto"/>
              <w:jc w:val="left"/>
            </w:pPr>
            <w:r>
              <w:rPr>
                <w:rFonts w:ascii="Calibri" w:hAnsi="Calibri" w:eastAsia="Microsoft YaHei" w:cs="Calibri"/>
                <w:sz w:val="18"/>
              </w:rPr>
              <w:t>Asset sensitive; initial AOCI about -$3B (disclosed text)</w:t>
            </w:r>
          </w:p>
        </w:tc>
      </w:tr>
      <w:tr>
        <w:trPr>
          <w:cantSplit/>
        </w:trPr>
        <w:tc>
          <w:tcPr>
            <w:tcW w:type="dxa" w:w="1210"/>
          </w:tcPr>
          <w:p>
            <w:pPr>
              <w:spacing w:after="20" w:before="20" w:line="252" w:lineRule="auto"/>
              <w:jc w:val="left"/>
            </w:pPr>
            <w:r>
              <w:rPr>
                <w:rFonts w:ascii="Calibri" w:hAnsi="Calibri" w:eastAsia="Microsoft YaHei" w:cs="Calibri"/>
                <w:sz w:val="18"/>
              </w:rPr>
              <w:t>SCHW</w:t>
            </w:r>
          </w:p>
        </w:tc>
        <w:tc>
          <w:tcPr>
            <w:tcW w:type="dxa" w:w="8541"/>
          </w:tcPr>
          <w:p>
            <w:pPr>
              <w:spacing w:after="20" w:before="20" w:line="252" w:lineRule="auto"/>
              <w:jc w:val="center"/>
            </w:pPr>
            <w:r>
              <w:rPr>
                <w:rFonts w:ascii="Calibri" w:hAnsi="Calibri" w:eastAsia="Microsoft YaHei" w:cs="Calibri"/>
                <w:sz w:val="18"/>
              </w:rPr>
              <w:t>NII +3.6%</w:t>
            </w:r>
          </w:p>
        </w:tc>
      </w:tr>
      <w:tr>
        <w:trPr>
          <w:cantSplit/>
        </w:trPr>
        <w:tc>
          <w:tcPr>
            <w:tcW w:type="dxa" w:w="1210"/>
            <w:shd w:val="clear" w:color="auto" w:fill="F2F5F9"/>
          </w:tcPr>
          <w:p>
            <w:pPr>
              <w:spacing w:after="20" w:before="20" w:line="252" w:lineRule="auto"/>
              <w:jc w:val="left"/>
            </w:pPr>
            <w:r>
              <w:rPr>
                <w:rFonts w:ascii="Calibri" w:hAnsi="Calibri" w:eastAsia="Microsoft YaHei" w:cs="Calibri"/>
                <w:sz w:val="18"/>
              </w:rPr>
              <w:t>CFG</w:t>
            </w:r>
          </w:p>
        </w:tc>
        <w:tc>
          <w:tcPr>
            <w:tcW w:type="dxa" w:w="8541"/>
            <w:shd w:val="clear" w:color="auto" w:fill="F2F5F9"/>
          </w:tcPr>
          <w:p>
            <w:pPr>
              <w:spacing w:after="20" w:before="20" w:line="252" w:lineRule="auto"/>
              <w:jc w:val="center"/>
            </w:pPr>
            <w:r>
              <w:rPr>
                <w:rFonts w:ascii="Calibri" w:hAnsi="Calibri" w:eastAsia="Microsoft YaHei" w:cs="Calibri"/>
                <w:sz w:val="18"/>
              </w:rPr>
              <w:t>+0.9%</w:t>
            </w:r>
          </w:p>
        </w:tc>
      </w:tr>
      <w:tr>
        <w:trPr>
          <w:cantSplit/>
        </w:trPr>
        <w:tc>
          <w:tcPr>
            <w:tcW w:type="dxa" w:w="1210"/>
          </w:tcPr>
          <w:p>
            <w:pPr>
              <w:spacing w:after="20" w:before="20" w:line="252" w:lineRule="auto"/>
              <w:jc w:val="left"/>
            </w:pPr>
            <w:r>
              <w:rPr>
                <w:rFonts w:ascii="Calibri" w:hAnsi="Calibri" w:eastAsia="Microsoft YaHei" w:cs="Calibri"/>
                <w:sz w:val="18"/>
              </w:rPr>
              <w:t>FITB</w:t>
            </w:r>
          </w:p>
        </w:tc>
        <w:tc>
          <w:tcPr>
            <w:tcW w:type="dxa" w:w="8541"/>
          </w:tcPr>
          <w:p>
            <w:pPr>
              <w:spacing w:after="20" w:before="20" w:line="252" w:lineRule="auto"/>
              <w:jc w:val="left"/>
            </w:pPr>
            <w:r>
              <w:rPr>
                <w:rFonts w:ascii="Calibri" w:hAnsi="Calibri" w:eastAsia="Microsoft YaHei" w:cs="Calibri"/>
                <w:sz w:val="18"/>
              </w:rPr>
              <w:t>+0.42% (year one, ramped). EVE is negative at ±100bp; deliberately moving toward asset sensitivity</w:t>
            </w:r>
          </w:p>
        </w:tc>
      </w:tr>
      <w:tr>
        <w:trPr>
          <w:cantSplit/>
        </w:trPr>
        <w:tc>
          <w:tcPr>
            <w:tcW w:type="dxa" w:w="1210"/>
            <w:shd w:val="clear" w:color="auto" w:fill="F2F5F9"/>
          </w:tcPr>
          <w:p>
            <w:pPr>
              <w:spacing w:after="20" w:before="20" w:line="252" w:lineRule="auto"/>
              <w:jc w:val="left"/>
            </w:pPr>
            <w:r>
              <w:rPr>
                <w:rFonts w:ascii="Calibri" w:hAnsi="Calibri" w:eastAsia="Microsoft YaHei" w:cs="Calibri"/>
                <w:sz w:val="18"/>
              </w:rPr>
              <w:t>MTB</w:t>
            </w:r>
          </w:p>
        </w:tc>
        <w:tc>
          <w:tcPr>
            <w:tcW w:type="dxa" w:w="8541"/>
            <w:shd w:val="clear" w:color="auto" w:fill="F2F5F9"/>
          </w:tcPr>
          <w:p>
            <w:pPr>
              <w:spacing w:after="20" w:before="20" w:line="252" w:lineRule="auto"/>
              <w:jc w:val="left"/>
            </w:pPr>
            <w:r>
              <w:rPr>
                <w:rFonts w:ascii="Calibri" w:hAnsi="Calibri" w:eastAsia="Microsoft YaHei" w:cs="Calibri"/>
                <w:sz w:val="18"/>
              </w:rPr>
              <w:t>-0.18% (slightly liability sensitive)</w:t>
            </w:r>
          </w:p>
        </w:tc>
      </w:tr>
      <w:tr>
        <w:trPr>
          <w:cantSplit/>
        </w:trPr>
        <w:tc>
          <w:tcPr>
            <w:tcW w:type="dxa" w:w="1210"/>
          </w:tcPr>
          <w:p>
            <w:pPr>
              <w:spacing w:after="20" w:before="20" w:line="252" w:lineRule="auto"/>
              <w:jc w:val="left"/>
            </w:pPr>
            <w:r>
              <w:rPr>
                <w:rFonts w:ascii="Calibri" w:hAnsi="Calibri" w:eastAsia="Microsoft YaHei" w:cs="Calibri"/>
                <w:sz w:val="18"/>
              </w:rPr>
              <w:t>RF</w:t>
            </w:r>
          </w:p>
        </w:tc>
        <w:tc>
          <w:tcPr>
            <w:tcW w:type="dxa" w:w="8541"/>
          </w:tcPr>
          <w:p>
            <w:pPr>
              <w:spacing w:after="20" w:before="20" w:line="252" w:lineRule="auto"/>
              <w:jc w:val="center"/>
            </w:pPr>
            <w:r>
              <w:rPr>
                <w:rFonts w:ascii="Calibri" w:hAnsi="Calibri" w:eastAsia="Microsoft YaHei" w:cs="Calibri"/>
                <w:sz w:val="18"/>
              </w:rPr>
              <w:t>+$62M</w:t>
            </w:r>
          </w:p>
        </w:tc>
      </w:tr>
    </w:tbl>
    <w:p>
      <w:pPr>
        <w:spacing w:after="40"/>
      </w:pPr>
    </w:p>
    <w:p>
      <w:r>
        <w:rPr>
          <w:rFonts w:ascii="Calibri" w:hAnsi="Calibri" w:eastAsia="Microsoft YaHei" w:cs="Calibri"/>
          <w:sz w:val="21"/>
        </w:rPr>
        <w:t>These are static balance-sheet model values that depend on deposit-beta assumptions; they must not be read as a Q3 forecast.</w:t>
      </w:r>
    </w:p>
    <w:p>
      <w:pPr>
        <w:pStyle w:val="Heading2"/>
      </w:pPr>
      <w:r>
        <w:rPr>
          <w:rFonts w:ascii="Calibri" w:hAnsi="Calibri" w:eastAsia="Microsoft YaHei" w:cs="Calibri"/>
          <w:b/>
          <w:color w:val="1F4E79"/>
          <w:sz w:val="28"/>
        </w:rPr>
        <w:t>2. Method and mathematical framework</w:t>
      </w:r>
    </w:p>
    <w:p>
      <w:pPr>
        <w:pStyle w:val="Heading3"/>
      </w:pPr>
      <w:r>
        <w:rPr>
          <w:rFonts w:ascii="Calibri" w:hAnsi="Calibri" w:eastAsia="Microsoft YaHei" w:cs="Calibri"/>
          <w:b/>
          <w:color w:val="1F4E79"/>
          <w:sz w:val="24"/>
        </w:rPr>
        <w:t>2.1 The EPS bridge (used for the forecasts in Section 4)</w:t>
      </w:r>
    </w:p>
    <w:p>
      <w:pPr>
        <w:spacing w:before="80"/>
        <w:jc w:val="center"/>
      </w:pPr>
      <w:r>
        <w:rPr>
          <w:rFonts w:ascii="Cambria Math" w:hAnsi="Cambria Math" w:eastAsia="Microsoft YaHei" w:cs="Cambria Math"/>
          <w:i/>
          <w:sz w:val="24"/>
        </w:rPr>
        <w:t>EPS</w:t>
      </w:r>
      <w:r>
        <w:rPr>
          <w:rFonts w:ascii="Cambria Math" w:hAnsi="Cambria Math" w:eastAsia="Microsoft YaHei" w:cs="Cambria Math"/>
          <w:i/>
          <w:sz w:val="24"/>
          <w:vertAlign w:val="subscript"/>
        </w:rPr>
        <w:t>Q</w:t>
      </w:r>
      <w:r>
        <w:rPr>
          <w:rFonts w:ascii="Cambria Math" w:hAnsi="Cambria Math" w:eastAsia="Microsoft YaHei" w:cs="Cambria Math"/>
          <w:i w:val="0"/>
          <w:sz w:val="24"/>
          <w:vertAlign w:val="subscript"/>
        </w:rPr>
        <w:t>3</w:t>
      </w:r>
      <w:r>
        <w:rPr>
          <w:rFonts w:ascii="Cambria Math" w:hAnsi="Cambria Math" w:eastAsia="Microsoft YaHei" w:cs="Cambria Math"/>
          <w:i w:val="0"/>
          <w:sz w:val="24"/>
        </w:rPr>
        <w:t>=</w:t>
      </w:r>
      <w:r>
        <w:rPr>
          <w:rFonts w:ascii="Cambria Math" w:hAnsi="Cambria Math" w:eastAsia="Microsoft YaHei" w:cs="Cambria Math"/>
          <w:i/>
          <w:sz w:val="24"/>
        </w:rPr>
        <w:t>(</w:t>
      </w:r>
      <w:r>
        <w:rPr>
          <w:rFonts w:ascii="Cambria Math" w:hAnsi="Cambria Math" w:eastAsia="Microsoft YaHei" w:cs="Cambria Math"/>
          <w:i w:val="0"/>
          <w:sz w:val="24"/>
        </w:rPr>
        <w:t>(</w:t>
      </w:r>
      <w:r>
        <w:rPr>
          <w:rFonts w:ascii="Cambria Math" w:hAnsi="Cambria Math" w:eastAsia="Microsoft YaHei" w:cs="Cambria Math"/>
          <w:i/>
          <w:sz w:val="24"/>
        </w:rPr>
        <w:t>PBT</w:t>
      </w:r>
      <w:r>
        <w:rPr>
          <w:rFonts w:ascii="Cambria Math" w:hAnsi="Cambria Math" w:eastAsia="Microsoft YaHei" w:cs="Cambria Math"/>
          <w:i/>
          <w:sz w:val="24"/>
          <w:vertAlign w:val="superscript"/>
        </w:rPr>
        <w:t>clean</w:t>
      </w:r>
      <w:r>
        <w:rPr>
          <w:rFonts w:ascii="Cambria Math" w:hAnsi="Cambria Math" w:eastAsia="Microsoft YaHei" w:cs="Cambria Math"/>
          <w:i/>
          <w:sz w:val="24"/>
          <w:vertAlign w:val="subscript"/>
        </w:rPr>
        <w:t>Q</w:t>
      </w:r>
      <w:r>
        <w:rPr>
          <w:rFonts w:ascii="Cambria Math" w:hAnsi="Cambria Math" w:eastAsia="Microsoft YaHei" w:cs="Cambria Math"/>
          <w:i w:val="0"/>
          <w:sz w:val="24"/>
          <w:vertAlign w:val="subscript"/>
        </w:rPr>
        <w:t>2</w:t>
      </w:r>
      <w:r>
        <w:rPr>
          <w:rFonts w:ascii="Cambria Math" w:hAnsi="Cambria Math" w:eastAsia="Microsoft YaHei" w:cs="Cambria Math"/>
          <w:i w:val="0"/>
          <w:sz w:val="24"/>
        </w:rPr>
        <w:t>+Σ</w:t>
      </w:r>
      <w:r>
        <w:rPr>
          <w:rFonts w:ascii="Cambria Math" w:hAnsi="Cambria Math" w:eastAsia="Microsoft YaHei" w:cs="Cambria Math"/>
          <w:i/>
          <w:sz w:val="24"/>
          <w:vertAlign w:val="subscript"/>
        </w:rPr>
        <w:t>i</w:t>
      </w:r>
      <w:r>
        <w:rPr>
          <w:rFonts w:ascii="Cambria Math" w:hAnsi="Cambria Math" w:eastAsia="Microsoft YaHei" w:cs="Cambria Math"/>
          <w:i w:val="0"/>
          <w:sz w:val="24"/>
        </w:rPr>
        <w:t xml:space="preserve"> </w:t>
      </w:r>
      <w:r>
        <w:rPr>
          <w:rFonts w:ascii="Cambria Math" w:hAnsi="Cambria Math" w:eastAsia="Microsoft YaHei" w:cs="Cambria Math"/>
          <w:i/>
          <w:sz w:val="24"/>
        </w:rPr>
        <w:t>Δ</w:t>
      </w:r>
      <w:r>
        <w:rPr>
          <w:rFonts w:ascii="Cambria Math" w:hAnsi="Cambria Math" w:eastAsia="Microsoft YaHei" w:cs="Cambria Math"/>
          <w:i/>
          <w:sz w:val="24"/>
          <w:vertAlign w:val="subscript"/>
        </w:rPr>
        <w:t>i</w:t>
      </w:r>
      <w:r>
        <w:rPr>
          <w:rFonts w:ascii="Cambria Math" w:hAnsi="Cambria Math" w:eastAsia="Microsoft YaHei" w:cs="Cambria Math"/>
          <w:i w:val="0"/>
          <w:sz w:val="24"/>
        </w:rPr>
        <w:t>)(1-</w:t>
      </w:r>
      <w:r>
        <w:rPr>
          <w:rFonts w:ascii="Cambria Math" w:hAnsi="Cambria Math" w:eastAsia="Microsoft YaHei" w:cs="Cambria Math"/>
          <w:i/>
          <w:sz w:val="24"/>
        </w:rPr>
        <w:t>t</w:t>
      </w:r>
      <w:r>
        <w:rPr>
          <w:rFonts w:ascii="Cambria Math" w:hAnsi="Cambria Math" w:eastAsia="Microsoft YaHei" w:cs="Cambria Math"/>
          <w:i w:val="0"/>
          <w:sz w:val="24"/>
          <w:vertAlign w:val="subscript"/>
        </w:rPr>
        <w:t>3</w:t>
      </w:r>
      <w:r>
        <w:rPr>
          <w:rFonts w:ascii="Cambria Math" w:hAnsi="Cambria Math" w:eastAsia="Microsoft YaHei" w:cs="Cambria Math"/>
          <w:i w:val="0"/>
          <w:sz w:val="24"/>
        </w:rPr>
        <w:t>)-</w:t>
      </w:r>
      <w:r>
        <w:rPr>
          <w:rFonts w:ascii="Cambria Math" w:hAnsi="Cambria Math" w:eastAsia="Microsoft YaHei" w:cs="Cambria Math"/>
          <w:i/>
          <w:sz w:val="24"/>
        </w:rPr>
        <w:t>Pref)/(Shares</w:t>
      </w:r>
      <w:r>
        <w:rPr>
          <w:rFonts w:ascii="Cambria Math" w:hAnsi="Cambria Math" w:eastAsia="Microsoft YaHei" w:cs="Cambria Math"/>
          <w:i/>
          <w:sz w:val="24"/>
          <w:vertAlign w:val="subscript"/>
        </w:rPr>
        <w:t>Q</w:t>
      </w:r>
      <w:r>
        <w:rPr>
          <w:rFonts w:ascii="Cambria Math" w:hAnsi="Cambria Math" w:eastAsia="Microsoft YaHei" w:cs="Cambria Math"/>
          <w:i w:val="0"/>
          <w:sz w:val="24"/>
          <w:vertAlign w:val="subscript"/>
        </w:rPr>
        <w:t>3</w:t>
      </w:r>
      <w:r>
        <w:rPr>
          <w:rFonts w:ascii="Cambria Math" w:hAnsi="Cambria Math" w:eastAsia="Microsoft YaHei" w:cs="Cambria Math"/>
          <w:i/>
          <w:sz w:val="24"/>
        </w:rPr>
        <w:t>)</w:t>
      </w:r>
    </w:p>
    <w:p>
      <w:pPr>
        <w:tabs>
          <w:tab w:pos="369" w:val="left"/>
        </w:tabs>
        <w:spacing w:after="60"/>
        <w:ind w:left="369" w:hanging="283"/>
      </w:pPr>
      <w:r>
        <w:rPr>
          <w:rFonts w:ascii="Calibri" w:hAnsi="Calibri" w:eastAsia="Microsoft YaHei" w:cs="Calibri"/>
          <w:b w:val="0"/>
          <w:color w:val="1F4E79"/>
          <w:sz w:val="21"/>
        </w:rPr>
        <w:t>•</w:t>
        <w:tab/>
      </w:r>
      <w:r>
        <w:rPr>
          <w:rFonts w:ascii="Cambria Math" w:hAnsi="Cambria Math" w:eastAsia="Microsoft YaHei" w:cs="Cambria Math"/>
          <w:i/>
          <w:sz w:val="21"/>
        </w:rPr>
        <w:t>PBT</w:t>
      </w:r>
      <w:r>
        <w:rPr>
          <w:rFonts w:ascii="Cambria Math" w:hAnsi="Cambria Math" w:eastAsia="Microsoft YaHei" w:cs="Cambria Math"/>
          <w:i/>
          <w:sz w:val="21"/>
          <w:vertAlign w:val="superscript"/>
        </w:rPr>
        <w:t>clean</w:t>
      </w:r>
      <w:r>
        <w:rPr>
          <w:rFonts w:ascii="Cambria Math" w:hAnsi="Cambria Math" w:eastAsia="Microsoft YaHei" w:cs="Cambria Math"/>
          <w:i/>
          <w:sz w:val="21"/>
          <w:vertAlign w:val="subscript"/>
        </w:rPr>
        <w:t>Q</w:t>
      </w:r>
      <w:r>
        <w:rPr>
          <w:rFonts w:ascii="Cambria Math" w:hAnsi="Cambria Math" w:eastAsia="Microsoft YaHei" w:cs="Cambria Math"/>
          <w:i w:val="0"/>
          <w:sz w:val="21"/>
          <w:vertAlign w:val="subscript"/>
        </w:rPr>
        <w:t>2</w:t>
      </w:r>
      <w:r>
        <w:rPr>
          <w:rFonts w:ascii="Calibri" w:hAnsi="Calibri" w:eastAsia="Microsoft YaHei" w:cs="Calibri"/>
          <w:sz w:val="21"/>
        </w:rPr>
        <w:t>: pre-tax profit with Q2 one-offs removed. For JPM we back-solve from the "clean EPS" of 6.14; PNC uses adjusted EPS of 4.85; FITB stays on GAAP with merger costs modelled separately.</w:t>
      </w:r>
    </w:p>
    <w:p>
      <w:pPr>
        <w:tabs>
          <w:tab w:pos="369" w:val="left"/>
        </w:tabs>
        <w:spacing w:after="60"/>
        <w:ind w:left="369" w:hanging="283"/>
      </w:pPr>
      <w:r>
        <w:rPr>
          <w:rFonts w:ascii="Calibri" w:hAnsi="Calibri" w:eastAsia="Microsoft YaHei" w:cs="Calibri"/>
          <w:b w:val="0"/>
          <w:color w:val="1F4E79"/>
          <w:sz w:val="21"/>
        </w:rPr>
        <w:t>•</w:t>
        <w:tab/>
      </w:r>
      <w:r>
        <w:rPr>
          <w:rFonts w:ascii="Cambria Math" w:hAnsi="Cambria Math" w:eastAsia="Microsoft YaHei" w:cs="Cambria Math"/>
          <w:i/>
          <w:sz w:val="21"/>
        </w:rPr>
        <w:t>Δ</w:t>
      </w:r>
      <w:r>
        <w:rPr>
          <w:rFonts w:ascii="Cambria Math" w:hAnsi="Cambria Math" w:eastAsia="Microsoft YaHei" w:cs="Cambria Math"/>
          <w:i/>
          <w:sz w:val="21"/>
          <w:vertAlign w:val="subscript"/>
        </w:rPr>
        <w:t>i</w:t>
      </w:r>
      <w:r>
        <w:rPr>
          <w:rFonts w:ascii="Calibri" w:hAnsi="Calibri" w:eastAsia="Microsoft YaHei" w:cs="Calibri"/>
          <w:sz w:val="21"/>
        </w:rPr>
        <w:t>: every item comes from management guidance or the Q2 report, carries a standard deviation, and can be tied to one of three common factors:</w:t>
      </w:r>
    </w:p>
    <w:p>
      <w:pPr>
        <w:tabs>
          <w:tab w:pos="765" w:val="left"/>
        </w:tabs>
        <w:spacing w:after="60"/>
        <w:ind w:left="765" w:hanging="283"/>
      </w:pPr>
      <w:r>
        <w:rPr>
          <w:rFonts w:ascii="Calibri" w:hAnsi="Calibri" w:eastAsia="Microsoft YaHei" w:cs="Calibri"/>
          <w:b w:val="0"/>
          <w:color w:val="1F4E79"/>
          <w:sz w:val="21"/>
        </w:rPr>
        <w:t>–</w:t>
        <w:tab/>
      </w:r>
      <w:r>
        <w:rPr>
          <w:rFonts w:ascii="Consolas" w:hAnsi="Consolas" w:eastAsia="Microsoft YaHei" w:cs="Consolas"/>
          <w:color w:val="8B1A1A"/>
          <w:sz w:val="19"/>
        </w:rPr>
        <w:t>mkt</w:t>
      </w:r>
      <w:r>
        <w:rPr>
          <w:rFonts w:ascii="Calibri" w:hAnsi="Calibri" w:eastAsia="Microsoft YaHei" w:cs="Calibri"/>
          <w:sz w:val="21"/>
        </w:rPr>
        <w:t>: capital-markets activity, one shared draw for all banks.</w:t>
      </w:r>
    </w:p>
    <w:p>
      <w:pPr>
        <w:tabs>
          <w:tab w:pos="765" w:val="left"/>
        </w:tabs>
        <w:spacing w:after="60"/>
        <w:ind w:left="765" w:hanging="283"/>
      </w:pPr>
      <w:r>
        <w:rPr>
          <w:rFonts w:ascii="Calibri" w:hAnsi="Calibri" w:eastAsia="Microsoft YaHei" w:cs="Calibri"/>
          <w:b w:val="0"/>
          <w:color w:val="1F4E79"/>
          <w:sz w:val="21"/>
        </w:rPr>
        <w:t>–</w:t>
        <w:tab/>
      </w:r>
      <w:r>
        <w:rPr>
          <w:rFonts w:ascii="Consolas" w:hAnsi="Consolas" w:eastAsia="Microsoft YaHei" w:cs="Consolas"/>
          <w:color w:val="8B1A1A"/>
          <w:sz w:val="19"/>
        </w:rPr>
        <w:t>rate</w:t>
      </w:r>
      <w:r>
        <w:rPr>
          <w:rFonts w:ascii="Calibri" w:hAnsi="Calibri" w:eastAsia="Microsoft YaHei" w:cs="Calibri"/>
          <w:sz w:val="21"/>
        </w:rPr>
        <w:t>: NII surprise.</w:t>
      </w:r>
    </w:p>
    <w:p>
      <w:pPr>
        <w:tabs>
          <w:tab w:pos="765" w:val="left"/>
        </w:tabs>
        <w:spacing w:after="60"/>
        <w:ind w:left="765" w:hanging="283"/>
      </w:pPr>
      <w:r>
        <w:rPr>
          <w:rFonts w:ascii="Calibri" w:hAnsi="Calibri" w:eastAsia="Microsoft YaHei" w:cs="Calibri"/>
          <w:b w:val="0"/>
          <w:color w:val="1F4E79"/>
          <w:sz w:val="21"/>
        </w:rPr>
        <w:t>–</w:t>
        <w:tab/>
      </w:r>
      <w:r>
        <w:rPr>
          <w:rFonts w:ascii="Consolas" w:hAnsi="Consolas" w:eastAsia="Microsoft YaHei" w:cs="Consolas"/>
          <w:color w:val="8B1A1A"/>
          <w:sz w:val="19"/>
        </w:rPr>
        <w:t>credit</w:t>
      </w:r>
      <w:r>
        <w:rPr>
          <w:rFonts w:ascii="Calibri" w:hAnsi="Calibri" w:eastAsia="Microsoft YaHei" w:cs="Calibri"/>
          <w:sz w:val="21"/>
        </w:rPr>
        <w:t>: provisions.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 xml:space="preserve">The compensation (bonus) offset loads negatively on </w:t>
      </w:r>
      <w:r>
        <w:rPr>
          <w:rFonts w:ascii="Consolas" w:hAnsi="Consolas" w:eastAsia="Microsoft YaHei" w:cs="Consolas"/>
          <w:color w:val="8B1A1A"/>
          <w:sz w:val="19"/>
        </w:rPr>
        <w:t>mkt</w:t>
      </w:r>
      <w:r>
        <w:rPr>
          <w:rFonts w:ascii="Calibri" w:hAnsi="Calibri" w:eastAsia="Microsoft YaHei" w:cs="Calibri"/>
          <w:sz w:val="21"/>
        </w:rPr>
        <w:t>: when revenue falls, the bonus accrual falls too.</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A further 2.5% multiplicative model-risk term is added. We run 40,000 Monte Carlo draws.</w:t>
      </w:r>
    </w:p>
    <w:p>
      <w:pPr>
        <w:pStyle w:val="Heading3"/>
      </w:pPr>
      <w:r>
        <w:rPr>
          <w:rFonts w:ascii="Calibri" w:hAnsi="Calibri" w:eastAsia="Microsoft YaHei" w:cs="Calibri"/>
          <w:b/>
          <w:color w:val="1F4E79"/>
          <w:sz w:val="24"/>
        </w:rPr>
        <w:t>2.2 Duration gap and AOCI/TBV</w:t>
      </w:r>
    </w:p>
    <w:p>
      <w:pPr>
        <w:spacing w:before="80"/>
        <w:jc w:val="center"/>
      </w:pPr>
      <w:r>
        <w:rPr>
          <w:rFonts w:ascii="Cambria Math" w:hAnsi="Cambria Math" w:eastAsia="Microsoft YaHei" w:cs="Cambria Math"/>
          <w:i/>
          <w:sz w:val="24"/>
        </w:rPr>
        <w:t>Δ</w:t>
      </w:r>
      <w:r>
        <w:rPr>
          <w:rFonts w:ascii="Cambria Math" w:hAnsi="Cambria Math" w:eastAsia="Microsoft YaHei" w:cs="Cambria Math"/>
          <w:i w:val="0"/>
          <w:sz w:val="24"/>
        </w:rPr>
        <w:t xml:space="preserve"> </w:t>
      </w:r>
      <w:r>
        <w:rPr>
          <w:rFonts w:ascii="Cambria Math" w:hAnsi="Cambria Math" w:eastAsia="Microsoft YaHei" w:cs="Cambria Math"/>
          <w:i/>
          <w:sz w:val="24"/>
        </w:rPr>
        <w:t>TCE</w:t>
      </w:r>
      <w:r>
        <w:rPr>
          <w:rFonts w:ascii="Cambria Math" w:hAnsi="Cambria Math" w:eastAsia="Microsoft YaHei" w:cs="Cambria Math"/>
          <w:i/>
          <w:sz w:val="24"/>
          <w:vertAlign w:val="subscript"/>
        </w:rPr>
        <w:t>AFS</w:t>
      </w:r>
      <w:r>
        <w:rPr>
          <w:rFonts w:ascii="Cambria Math" w:hAnsi="Cambria Math" w:eastAsia="Microsoft YaHei" w:cs="Cambria Math"/>
          <w:i w:val="0"/>
          <w:sz w:val="24"/>
        </w:rPr>
        <w:t>=-</w:t>
      </w:r>
      <w:r>
        <w:rPr>
          <w:rFonts w:ascii="Cambria Math" w:hAnsi="Cambria Math" w:eastAsia="Microsoft YaHei" w:cs="Cambria Math"/>
          <w:i/>
          <w:sz w:val="24"/>
        </w:rPr>
        <w:t>D</w:t>
      </w:r>
      <w:r>
        <w:rPr>
          <w:rFonts w:ascii="Cambria Math" w:hAnsi="Cambria Math" w:eastAsia="Microsoft YaHei" w:cs="Cambria Math"/>
          <w:i/>
          <w:sz w:val="24"/>
          <w:vertAlign w:val="subscript"/>
        </w:rPr>
        <w:t>AFS</w:t>
      </w:r>
      <w:r>
        <w:rPr>
          <w:rFonts w:ascii="Cambria Math" w:hAnsi="Cambria Math" w:eastAsia="Microsoft YaHei" w:cs="Cambria Math"/>
          <w:i w:val="0"/>
          <w:sz w:val="24"/>
        </w:rPr>
        <w:t>·</w:t>
      </w:r>
      <w:r>
        <w:rPr>
          <w:rFonts w:ascii="Cambria Math" w:hAnsi="Cambria Math" w:eastAsia="Microsoft YaHei" w:cs="Cambria Math"/>
          <w:i/>
          <w:sz w:val="24"/>
        </w:rPr>
        <w:t>Δ</w:t>
      </w:r>
      <w:r>
        <w:rPr>
          <w:rFonts w:ascii="Cambria Math" w:hAnsi="Cambria Math" w:eastAsia="Microsoft YaHei" w:cs="Cambria Math"/>
          <w:i w:val="0"/>
          <w:sz w:val="24"/>
        </w:rPr>
        <w:t xml:space="preserve"> </w:t>
      </w:r>
      <w:r>
        <w:rPr>
          <w:rFonts w:ascii="Cambria Math" w:hAnsi="Cambria Math" w:eastAsia="Microsoft YaHei" w:cs="Cambria Math"/>
          <w:i/>
          <w:sz w:val="24"/>
        </w:rPr>
        <w:t>y</w:t>
      </w:r>
      <w:r>
        <w:rPr>
          <w:rFonts w:ascii="Cambria Math" w:hAnsi="Cambria Math" w:eastAsia="Microsoft YaHei" w:cs="Cambria Math"/>
          <w:i w:val="0"/>
          <w:sz w:val="24"/>
        </w:rPr>
        <w:t xml:space="preserve">· </w:t>
      </w:r>
      <w:r>
        <w:rPr>
          <w:rFonts w:ascii="Cambria Math" w:hAnsi="Cambria Math" w:eastAsia="Microsoft YaHei" w:cs="Cambria Math"/>
          <w:i/>
          <w:sz w:val="24"/>
        </w:rPr>
        <w:t>AC</w:t>
      </w:r>
      <w:r>
        <w:rPr>
          <w:rFonts w:ascii="Cambria Math" w:hAnsi="Cambria Math" w:eastAsia="Microsoft YaHei" w:cs="Cambria Math"/>
          <w:i/>
          <w:sz w:val="24"/>
          <w:vertAlign w:val="subscript"/>
        </w:rPr>
        <w:t>AFS</w:t>
      </w:r>
      <w:r>
        <w:rPr>
          <w:rFonts w:ascii="Cambria Math" w:hAnsi="Cambria Math" w:eastAsia="Microsoft YaHei" w:cs="Cambria Math"/>
          <w:i w:val="0"/>
          <w:sz w:val="24"/>
        </w:rPr>
        <w:t>·(1-</w:t>
      </w:r>
      <w:r>
        <w:rPr>
          <w:rFonts w:ascii="Cambria Math" w:hAnsi="Cambria Math" w:eastAsia="Microsoft YaHei" w:cs="Cambria Math"/>
          <w:i/>
          <w:sz w:val="24"/>
        </w:rPr>
        <w:t>τ</w:t>
      </w:r>
      <w:r>
        <w:rPr>
          <w:rFonts w:ascii="Cambria Math" w:hAnsi="Cambria Math" w:eastAsia="Microsoft YaHei" w:cs="Cambria Math"/>
          <w:i w:val="0"/>
          <w:sz w:val="24"/>
        </w:rPr>
        <w:t>)</w:t>
      </w:r>
    </w:p>
    <w:p>
      <w:pPr>
        <w:tabs>
          <w:tab w:pos="369" w:val="left"/>
        </w:tabs>
        <w:spacing w:after="60"/>
        <w:ind w:left="369" w:hanging="283"/>
      </w:pPr>
      <w:r>
        <w:rPr>
          <w:rFonts w:ascii="Calibri" w:hAnsi="Calibri" w:eastAsia="Microsoft YaHei" w:cs="Calibri"/>
          <w:b w:val="0"/>
          <w:color w:val="1F4E79"/>
          <w:sz w:val="21"/>
        </w:rPr>
        <w:t>•</w:t>
        <w:tab/>
      </w:r>
      <w:r>
        <w:rPr>
          <w:rFonts w:ascii="Cambria Math" w:hAnsi="Cambria Math" w:eastAsia="Microsoft YaHei" w:cs="Cambria Math"/>
          <w:i/>
          <w:sz w:val="21"/>
        </w:rPr>
        <w:t>D</w:t>
      </w:r>
      <w:r>
        <w:rPr>
          <w:rFonts w:ascii="Calibri" w:hAnsi="Calibri" w:eastAsia="Microsoft YaHei" w:cs="Calibri"/>
          <w:sz w:val="21"/>
        </w:rPr>
        <w:t xml:space="preserve"> is not a disclosed value; it is an effective duration regressed from the quarterly series: </w:t>
      </w:r>
      <w:r>
        <w:rPr>
          <w:rFonts w:ascii="Cambria Math" w:hAnsi="Cambria Math" w:eastAsia="Microsoft YaHei" w:cs="Cambria Math"/>
          <w:i/>
          <w:sz w:val="21"/>
        </w:rPr>
        <w:t>Δ</w:t>
      </w:r>
      <w:r>
        <w:rPr>
          <w:rFonts w:ascii="Cambria Math" w:hAnsi="Cambria Math" w:eastAsia="Microsoft YaHei" w:cs="Cambria Math"/>
          <w:i w:val="0"/>
          <w:sz w:val="21"/>
        </w:rPr>
        <w:t>(</w:t>
      </w:r>
      <w:r>
        <w:rPr>
          <w:rFonts w:ascii="Cambria Math" w:hAnsi="Cambria Math" w:eastAsia="Microsoft YaHei" w:cs="Cambria Math"/>
          <w:i/>
          <w:sz w:val="21"/>
        </w:rPr>
        <w:t>UL</w:t>
      </w:r>
      <w:r>
        <w:rPr>
          <w:rFonts w:ascii="Cambria Math" w:hAnsi="Cambria Math" w:eastAsia="Microsoft YaHei" w:cs="Cambria Math"/>
          <w:i w:val="0"/>
          <w:sz w:val="21"/>
        </w:rPr>
        <w:t>%)=-</w:t>
      </w:r>
      <w:r>
        <w:rPr>
          <w:rFonts w:ascii="Cambria Math" w:hAnsi="Cambria Math" w:eastAsia="Microsoft YaHei" w:cs="Cambria Math"/>
          <w:i/>
          <w:sz w:val="21"/>
        </w:rPr>
        <w:t>D</w:t>
      </w:r>
      <w:r>
        <w:rPr>
          <w:rFonts w:ascii="Cambria Math" w:hAnsi="Cambria Math" w:eastAsia="Microsoft YaHei" w:cs="Cambria Math"/>
          <w:i w:val="0"/>
          <w:sz w:val="21"/>
        </w:rPr>
        <w:t xml:space="preserve"> </w:t>
      </w:r>
      <w:r>
        <w:rPr>
          <w:rFonts w:ascii="Cambria Math" w:hAnsi="Cambria Math" w:eastAsia="Microsoft YaHei" w:cs="Cambria Math"/>
          <w:i/>
          <w:sz w:val="21"/>
        </w:rPr>
        <w:t>Δ</w:t>
      </w:r>
      <w:r>
        <w:rPr>
          <w:rFonts w:ascii="Cambria Math" w:hAnsi="Cambria Math" w:eastAsia="Microsoft YaHei" w:cs="Cambria Math"/>
          <w:i w:val="0"/>
          <w:sz w:val="21"/>
        </w:rPr>
        <w:t xml:space="preserve"> </w:t>
      </w:r>
      <w:r>
        <w:rPr>
          <w:rFonts w:ascii="Cambria Math" w:hAnsi="Cambria Math" w:eastAsia="Microsoft YaHei" w:cs="Cambria Math"/>
          <w:i/>
          <w:sz w:val="21"/>
        </w:rPr>
        <w:t>y</w:t>
      </w:r>
      <w:r>
        <w:rPr>
          <w:rFonts w:ascii="Cambria Math" w:hAnsi="Cambria Math" w:eastAsia="Microsoft YaHei" w:cs="Cambria Math"/>
          <w:i w:val="0"/>
          <w:sz w:val="21"/>
        </w:rPr>
        <w:t>+roll</w:t>
      </w:r>
      <w:r>
        <w:rPr>
          <w:rFonts w:ascii="Calibri" w:hAnsi="Calibri" w:eastAsia="Microsoft YaHei" w:cs="Calibri"/>
          <w:sz w:val="21"/>
        </w:rPr>
        <w:t>. UL% is unrealised loss as a share of amortised cost; AFS is regressed on a 5Y/10Y blended rate and HTM on the 30-year mortgage rate.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 xml:space="preserve">Q3 </w:t>
      </w:r>
      <w:r>
        <w:rPr>
          <w:rFonts w:ascii="Cambria Math" w:hAnsi="Cambria Math" w:eastAsia="Microsoft YaHei" w:cs="Cambria Math"/>
          <w:i/>
          <w:sz w:val="21"/>
        </w:rPr>
        <w:t>Δ</w:t>
      </w:r>
      <w:r>
        <w:rPr>
          <w:rFonts w:ascii="Cambria Math" w:hAnsi="Cambria Math" w:eastAsia="Microsoft YaHei" w:cs="Cambria Math"/>
          <w:i w:val="0"/>
          <w:sz w:val="21"/>
        </w:rPr>
        <w:t xml:space="preserve"> </w:t>
      </w:r>
      <w:r>
        <w:rPr>
          <w:rFonts w:ascii="Cambria Math" w:hAnsi="Cambria Math" w:eastAsia="Microsoft YaHei" w:cs="Cambria Math"/>
          <w:i/>
          <w:sz w:val="21"/>
        </w:rPr>
        <w:t>y</w:t>
      </w:r>
      <w:r>
        <w:rPr>
          <w:rFonts w:ascii="Calibri" w:hAnsi="Calibri" w:eastAsia="Microsoft YaHei" w:cs="Calibri"/>
          <w:sz w:val="21"/>
        </w:rPr>
        <w:t>: the 5Y/10Y blend is about +87.5bp, the mortgage rate +54bp, and the tax rate is 24%.</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 xml:space="preserve">If the regression R² &lt; 0.5 or the duration is implausible, a fixed fallback is used (AFS 3.0 years, HTM 4.5 years), flagged in the </w:t>
      </w:r>
      <w:r>
        <w:rPr>
          <w:rFonts w:ascii="Consolas" w:hAnsi="Consolas" w:eastAsia="Microsoft YaHei" w:cs="Consolas"/>
          <w:color w:val="8B1A1A"/>
          <w:sz w:val="19"/>
        </w:rPr>
        <w:t>afs_src</w:t>
      </w:r>
      <w:r>
        <w:rPr>
          <w:rFonts w:ascii="Calibri" w:hAnsi="Calibri" w:eastAsia="Microsoft YaHei" w:cs="Calibri"/>
          <w:sz w:val="21"/>
        </w:rPr>
        <w:t xml:space="preserve"> / </w:t>
      </w:r>
      <w:r>
        <w:rPr>
          <w:rFonts w:ascii="Consolas" w:hAnsi="Consolas" w:eastAsia="Microsoft YaHei" w:cs="Consolas"/>
          <w:color w:val="8B1A1A"/>
          <w:sz w:val="19"/>
        </w:rPr>
        <w:t>htm_src</w:t>
      </w:r>
      <w:r>
        <w:rPr>
          <w:rFonts w:ascii="Calibri" w:hAnsi="Calibri" w:eastAsia="Microsoft YaHei" w:cs="Calibri"/>
          <w:sz w:val="21"/>
        </w:rPr>
        <w:t xml:space="preserve"> columns of </w:t>
      </w:r>
      <w:r>
        <w:rPr>
          <w:rFonts w:ascii="Consolas" w:hAnsi="Consolas" w:eastAsia="Microsoft YaHei" w:cs="Consolas"/>
          <w:color w:val="8B1A1A"/>
          <w:sz w:val="19"/>
        </w:rPr>
        <w:t>risk_scorecard.csv</w:t>
      </w:r>
      <w:r>
        <w:rPr>
          <w:rFonts w:ascii="Calibri" w:hAnsi="Calibri" w:eastAsia="Microsoft YaHei" w:cs="Calibri"/>
          <w:sz w:val="21"/>
        </w:rPr>
        <w: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Check</w:t>
      </w:r>
      <w:r>
        <w:rPr>
          <w:rFonts w:ascii="Calibri" w:hAnsi="Calibri" w:eastAsia="Microsoft YaHei" w:cs="Calibri"/>
          <w:sz w:val="21"/>
        </w:rPr>
        <w:t>: the same convention gives BAC a TCE of $206.0B, matching the $206B quoted by Barron's; BAC's HTM unrealised loss of $82.1B matches the $82B in its supplement.</w:t>
      </w:r>
    </w:p>
    <w:p>
      <w:pPr>
        <w:pStyle w:val="Heading3"/>
      </w:pPr>
      <w:r>
        <w:rPr>
          <w:rFonts w:ascii="Calibri" w:hAnsi="Calibri" w:eastAsia="Microsoft YaHei" w:cs="Calibri"/>
          <w:b/>
          <w:color w:val="1F4E79"/>
          <w:sz w:val="24"/>
        </w:rPr>
        <w:t>2.3 Leverage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Leverage multiple = total assets / TCE. TCE = equity - goodwill - intangibles - preferred.</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The higher the leverage, the larger the same AOCI shock is as a share of TCE. BNY is at 25.8x, STT 24.4x, SCHW and GS about 21x, while PNC is 12.2x and COF 11.2x.</w:t>
      </w:r>
    </w:p>
    <w:p>
      <w:pPr>
        <w:pStyle w:val="Heading2"/>
      </w:pPr>
      <w:r>
        <w:rPr>
          <w:rFonts w:ascii="Calibri" w:hAnsi="Calibri" w:eastAsia="Microsoft YaHei" w:cs="Calibri"/>
          <w:b/>
          <w:color w:val="1F4E79"/>
          <w:sz w:val="28"/>
        </w:rPr>
        <w:t>3. Segment breakdown</w:t>
      </w:r>
    </w:p>
    <w:p>
      <w:pPr>
        <w:pStyle w:val="Heading3"/>
      </w:pPr>
      <w:r>
        <w:rPr>
          <w:rFonts w:ascii="Calibri" w:hAnsi="Calibri" w:eastAsia="Microsoft YaHei" w:cs="Calibri"/>
          <w:b/>
          <w:color w:val="1F4E79"/>
          <w:sz w:val="24"/>
        </w:rPr>
        <w:t>3.1 Retail and commercial banking: deposit-loan spread and duration mismatch</w:t>
      </w:r>
    </w:p>
    <w:p>
      <w:r>
        <w:rPr>
          <w:rFonts w:ascii="Calibri" w:hAnsi="Calibri" w:eastAsia="Microsoft YaHei" w:cs="Calibri"/>
          <w:sz w:val="21"/>
        </w:rPr>
        <w:t>The key is NII quarter on quarter, and whether it is "high-quality" NII.</w:t>
      </w:r>
    </w:p>
    <w:tbl>
      <w:tblPr>
        <w:tblStyle w:val="TableGrid"/>
        <w:tblW w:type="auto" w:w="0"/>
        <w:jc w:val="center"/>
        <w:tblLayout w:type="fixed"/>
        <w:tblLook w:firstColumn="1" w:firstRow="1" w:lastColumn="0" w:lastRow="0" w:noHBand="0" w:noVBand="1" w:val="04A0"/>
      </w:tblPr>
      <w:tblGrid>
        <w:gridCol w:w="645"/>
        <w:gridCol w:w="4553"/>
        <w:gridCol w:w="4553"/>
      </w:tblGrid>
      <w:tr>
        <w:trPr>
          <w:tblHeader w:val="true"/>
          <w:cantSplit/>
        </w:trPr>
        <w:tc>
          <w:tcPr>
            <w:tcW w:type="dxa" w:w="645"/>
            <w:shd w:val="clear" w:color="auto" w:fill="1F4E79"/>
          </w:tcPr>
          <w:p>
            <w:pPr>
              <w:spacing w:after="20" w:before="20" w:line="252" w:lineRule="auto"/>
              <w:jc w:val="center"/>
            </w:pPr>
            <w:r>
              <w:rPr>
                <w:rFonts w:ascii="Calibri" w:hAnsi="Calibri" w:eastAsia="Microsoft YaHei" w:cs="Calibri"/>
                <w:b/>
                <w:color w:val="FFFFFF"/>
                <w:sz w:val="18"/>
              </w:rPr>
              <w:t>Bank</w:t>
            </w:r>
          </w:p>
        </w:tc>
        <w:tc>
          <w:tcPr>
            <w:tcW w:type="dxa" w:w="4553"/>
            <w:shd w:val="clear" w:color="auto" w:fill="1F4E79"/>
          </w:tcPr>
          <w:p>
            <w:pPr>
              <w:spacing w:after="20" w:before="20" w:line="252" w:lineRule="auto"/>
              <w:jc w:val="center"/>
            </w:pPr>
            <w:r>
              <w:rPr>
                <w:rFonts w:ascii="Calibri" w:hAnsi="Calibri" w:eastAsia="Microsoft YaHei" w:cs="Calibri"/>
                <w:b/>
                <w:color w:val="FFFFFF"/>
                <w:sz w:val="18"/>
              </w:rPr>
              <w:t>Q3 NII guidance / clue</w:t>
            </w:r>
          </w:p>
        </w:tc>
        <w:tc>
          <w:tcPr>
            <w:tcW w:type="dxa" w:w="4553"/>
            <w:shd w:val="clear" w:color="auto" w:fill="1F4E79"/>
          </w:tcPr>
          <w:p>
            <w:pPr>
              <w:spacing w:after="20" w:before="20" w:line="252" w:lineRule="auto"/>
              <w:jc w:val="center"/>
            </w:pPr>
            <w:r>
              <w:rPr>
                <w:rFonts w:ascii="Calibri" w:hAnsi="Calibri" w:eastAsia="Microsoft YaHei" w:cs="Calibri"/>
                <w:b/>
                <w:color w:val="FFFFFF"/>
                <w:sz w:val="18"/>
              </w:rPr>
              <w:t>Comment</w:t>
            </w:r>
          </w:p>
        </w:tc>
      </w:tr>
      <w:tr>
        <w:trPr>
          <w:cantSplit/>
        </w:trPr>
        <w:tc>
          <w:tcPr>
            <w:tcW w:type="dxa" w:w="645"/>
          </w:tcPr>
          <w:p>
            <w:pPr>
              <w:spacing w:after="20" w:before="20" w:line="252" w:lineRule="auto"/>
              <w:jc w:val="left"/>
            </w:pPr>
            <w:r>
              <w:rPr>
                <w:rFonts w:ascii="Calibri" w:hAnsi="Calibri" w:eastAsia="Microsoft YaHei" w:cs="Calibri"/>
                <w:sz w:val="18"/>
              </w:rPr>
              <w:t>USB</w:t>
            </w:r>
          </w:p>
        </w:tc>
        <w:tc>
          <w:tcPr>
            <w:tcW w:type="dxa" w:w="4553"/>
          </w:tcPr>
          <w:p>
            <w:pPr>
              <w:spacing w:after="20" w:before="20" w:line="252" w:lineRule="auto"/>
              <w:jc w:val="left"/>
            </w:pPr>
            <w:r>
              <w:rPr>
                <w:rFonts w:ascii="Calibri" w:hAnsi="Calibri" w:eastAsia="Microsoft YaHei" w:cs="Calibri"/>
                <w:sz w:val="18"/>
              </w:rPr>
              <w:t>+4-6% YoY, toward the high end; NIM improves in Q3 and Q4</w:t>
            </w:r>
          </w:p>
        </w:tc>
        <w:tc>
          <w:tcPr>
            <w:tcW w:type="dxa" w:w="4553"/>
          </w:tcPr>
          <w:p>
            <w:pPr>
              <w:spacing w:after="20" w:before="20" w:line="252" w:lineRule="auto"/>
              <w:jc w:val="left"/>
            </w:pPr>
            <w:r>
              <w:rPr>
                <w:rFonts w:ascii="Calibri" w:hAnsi="Calibri" w:eastAsia="Microsoft YaHei" w:cs="Calibri"/>
                <w:sz w:val="18"/>
              </w:rPr>
              <w:t>Loans +3.0% QoQ, fixed-rate asset repricing; but Q3 takes a one-off reserve of about $160M for the Amazon small-business portfolio</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PNC</w:t>
            </w:r>
          </w:p>
        </w:tc>
        <w:tc>
          <w:tcPr>
            <w:tcW w:type="dxa" w:w="4553"/>
            <w:shd w:val="clear" w:color="auto" w:fill="F2F5F9"/>
          </w:tcPr>
          <w:p>
            <w:pPr>
              <w:spacing w:after="20" w:before="20" w:line="252" w:lineRule="auto"/>
              <w:jc w:val="left"/>
            </w:pPr>
            <w:r>
              <w:rPr>
                <w:rFonts w:ascii="Calibri" w:hAnsi="Calibri" w:eastAsia="Microsoft YaHei" w:cs="Calibri"/>
                <w:sz w:val="18"/>
              </w:rPr>
              <w:t>NII +3-3.5% QoQ; loans +1-2%</w:t>
            </w:r>
          </w:p>
        </w:tc>
        <w:tc>
          <w:tcPr>
            <w:tcW w:type="dxa" w:w="4553"/>
            <w:shd w:val="clear" w:color="auto" w:fill="F2F5F9"/>
          </w:tcPr>
          <w:p>
            <w:pPr>
              <w:spacing w:after="20" w:before="20" w:line="252" w:lineRule="auto"/>
              <w:jc w:val="left"/>
            </w:pPr>
            <w:r>
              <w:rPr>
                <w:rFonts w:ascii="Calibri" w:hAnsi="Calibri" w:eastAsia="Microsoft YaHei" w:cs="Calibri"/>
                <w:sz w:val="18"/>
              </w:rPr>
              <w:t>FirstBank integration; fee income -5-5.5% QoQ</w:t>
            </w:r>
          </w:p>
        </w:tc>
      </w:tr>
      <w:tr>
        <w:trPr>
          <w:cantSplit/>
        </w:trPr>
        <w:tc>
          <w:tcPr>
            <w:tcW w:type="dxa" w:w="645"/>
          </w:tcPr>
          <w:p>
            <w:pPr>
              <w:spacing w:after="20" w:before="20" w:line="252" w:lineRule="auto"/>
              <w:jc w:val="left"/>
            </w:pPr>
            <w:r>
              <w:rPr>
                <w:rFonts w:ascii="Calibri" w:hAnsi="Calibri" w:eastAsia="Microsoft YaHei" w:cs="Calibri"/>
                <w:sz w:val="18"/>
              </w:rPr>
              <w:t>FITB</w:t>
            </w:r>
          </w:p>
        </w:tc>
        <w:tc>
          <w:tcPr>
            <w:tcW w:type="dxa" w:w="4553"/>
          </w:tcPr>
          <w:p>
            <w:pPr>
              <w:spacing w:after="20" w:before="20" w:line="252" w:lineRule="auto"/>
              <w:jc w:val="left"/>
            </w:pPr>
            <w:r>
              <w:rPr>
                <w:rFonts w:ascii="Calibri" w:hAnsi="Calibri" w:eastAsia="Microsoft YaHei" w:cs="Calibri"/>
                <w:sz w:val="18"/>
              </w:rPr>
              <w:t>NII +2-2.5% QoQ, CFO says "toward the high end"; NIM in the mid-3.30s, strong deposit growth</w:t>
            </w:r>
          </w:p>
        </w:tc>
        <w:tc>
          <w:tcPr>
            <w:tcW w:type="dxa" w:w="4553"/>
          </w:tcPr>
          <w:p>
            <w:pPr>
              <w:spacing w:after="20" w:before="20" w:line="252" w:lineRule="auto"/>
              <w:jc w:val="left"/>
            </w:pPr>
            <w:r>
              <w:rPr>
                <w:rFonts w:ascii="Calibri" w:hAnsi="Calibri" w:eastAsia="Microsoft YaHei" w:cs="Calibri"/>
                <w:sz w:val="18"/>
              </w:rPr>
              <w:t>Cautious deployment of securities duration; cash above $20B depresses NIM by about 1bp per $1B</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CFG</w:t>
            </w:r>
          </w:p>
        </w:tc>
        <w:tc>
          <w:tcPr>
            <w:tcW w:type="dxa" w:w="4553"/>
            <w:shd w:val="clear" w:color="auto" w:fill="F2F5F9"/>
          </w:tcPr>
          <w:p>
            <w:pPr>
              <w:spacing w:after="20" w:before="20" w:line="252" w:lineRule="auto"/>
              <w:jc w:val="left"/>
            </w:pPr>
            <w:r>
              <w:rPr>
                <w:rFonts w:ascii="Calibri" w:hAnsi="Calibri" w:eastAsia="Microsoft YaHei" w:cs="Calibri"/>
                <w:sz w:val="18"/>
              </w:rPr>
              <w:t>NII +2.5-3.5% QoQ</w:t>
            </w:r>
          </w:p>
        </w:tc>
        <w:tc>
          <w:tcPr>
            <w:tcW w:type="dxa" w:w="4553"/>
            <w:shd w:val="clear" w:color="auto" w:fill="F2F5F9"/>
          </w:tcPr>
          <w:p>
            <w:pPr>
              <w:spacing w:after="20" w:before="20" w:line="252" w:lineRule="auto"/>
              <w:jc w:val="center"/>
            </w:pPr>
            <w:r>
              <w:rPr>
                <w:rFonts w:ascii="Calibri" w:hAnsi="Calibri" w:eastAsia="Microsoft YaHei" w:cs="Calibri"/>
                <w:sz w:val="18"/>
              </w:rPr>
              <w:t>Expenses flat</w:t>
            </w:r>
          </w:p>
        </w:tc>
      </w:tr>
      <w:tr>
        <w:trPr>
          <w:cantSplit/>
        </w:trPr>
        <w:tc>
          <w:tcPr>
            <w:tcW w:type="dxa" w:w="645"/>
          </w:tcPr>
          <w:p>
            <w:pPr>
              <w:spacing w:after="20" w:before="20" w:line="252" w:lineRule="auto"/>
              <w:jc w:val="left"/>
            </w:pPr>
            <w:r>
              <w:rPr>
                <w:rFonts w:ascii="Calibri" w:hAnsi="Calibri" w:eastAsia="Microsoft YaHei" w:cs="Calibri"/>
                <w:sz w:val="18"/>
              </w:rPr>
              <w:t>KEY</w:t>
            </w:r>
          </w:p>
        </w:tc>
        <w:tc>
          <w:tcPr>
            <w:tcW w:type="dxa" w:w="4553"/>
          </w:tcPr>
          <w:p>
            <w:pPr>
              <w:spacing w:after="20" w:before="20" w:line="252" w:lineRule="auto"/>
              <w:jc w:val="left"/>
            </w:pPr>
            <w:r>
              <w:rPr>
                <w:rFonts w:ascii="Calibri" w:hAnsi="Calibri" w:eastAsia="Microsoft YaHei" w:cs="Calibri"/>
                <w:sz w:val="18"/>
              </w:rPr>
              <w:t>Full-year NII +9-11%, Q4 NIM exit rate 3.00-3.05%</w:t>
            </w:r>
          </w:p>
        </w:tc>
        <w:tc>
          <w:tcPr>
            <w:tcW w:type="dxa" w:w="4553"/>
          </w:tcPr>
          <w:p>
            <w:pPr>
              <w:spacing w:after="20" w:before="20" w:line="252" w:lineRule="auto"/>
              <w:jc w:val="left"/>
            </w:pPr>
            <w:r>
              <w:rPr>
                <w:rFonts w:ascii="Calibri" w:hAnsi="Calibri" w:eastAsia="Microsoft YaHei" w:cs="Calibri"/>
                <w:sz w:val="18"/>
              </w:rPr>
              <w:t>Back-solves to Q3 NII of about $1.30B</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RF</w:t>
            </w:r>
          </w:p>
        </w:tc>
        <w:tc>
          <w:tcPr>
            <w:tcW w:type="dxa" w:w="4553"/>
            <w:shd w:val="clear" w:color="auto" w:fill="F2F5F9"/>
          </w:tcPr>
          <w:p>
            <w:pPr>
              <w:spacing w:after="20" w:before="20" w:line="252" w:lineRule="auto"/>
              <w:jc w:val="left"/>
            </w:pPr>
            <w:r>
              <w:rPr>
                <w:rFonts w:ascii="Calibri" w:hAnsi="Calibri" w:eastAsia="Microsoft YaHei" w:cs="Calibri"/>
                <w:sz w:val="18"/>
              </w:rPr>
              <w:t>NII about +2% QoQ; NIM stable to slightly higher; 3.70% by year-end</w:t>
            </w:r>
          </w:p>
        </w:tc>
        <w:tc>
          <w:tcPr>
            <w:tcW w:type="dxa" w:w="4553"/>
            <w:shd w:val="clear" w:color="auto" w:fill="F2F5F9"/>
          </w:tcPr>
          <w:p>
            <w:pPr>
              <w:spacing w:after="20" w:before="20" w:line="252" w:lineRule="auto"/>
              <w:jc w:val="center"/>
            </w:pPr>
            <w:r>
              <w:rPr>
                <w:rFonts w:ascii="Calibri" w:hAnsi="Calibri" w:eastAsia="Microsoft YaHei" w:cs="Calibri"/>
                <w:sz w:val="18"/>
              </w:rPr>
              <w:t>One extra day</w:t>
            </w:r>
          </w:p>
        </w:tc>
      </w:tr>
      <w:tr>
        <w:trPr>
          <w:cantSplit/>
        </w:trPr>
        <w:tc>
          <w:tcPr>
            <w:tcW w:type="dxa" w:w="645"/>
          </w:tcPr>
          <w:p>
            <w:pPr>
              <w:spacing w:after="20" w:before="20" w:line="252" w:lineRule="auto"/>
              <w:jc w:val="left"/>
            </w:pPr>
            <w:r>
              <w:rPr>
                <w:rFonts w:ascii="Calibri" w:hAnsi="Calibri" w:eastAsia="Microsoft YaHei" w:cs="Calibri"/>
                <w:sz w:val="18"/>
              </w:rPr>
              <w:t>TFC</w:t>
            </w:r>
          </w:p>
        </w:tc>
        <w:tc>
          <w:tcPr>
            <w:tcW w:type="dxa" w:w="4553"/>
          </w:tcPr>
          <w:p>
            <w:pPr>
              <w:spacing w:after="20" w:before="20" w:line="252" w:lineRule="auto"/>
              <w:jc w:val="left"/>
            </w:pPr>
            <w:r>
              <w:rPr>
                <w:rFonts w:ascii="Calibri" w:hAnsi="Calibri" w:eastAsia="Microsoft YaHei" w:cs="Calibri"/>
                <w:sz w:val="18"/>
              </w:rPr>
              <w:t>NII about +1.5% QoQ; full-year NII growth cut to 1-1.5%</w:t>
            </w:r>
          </w:p>
        </w:tc>
        <w:tc>
          <w:tcPr>
            <w:tcW w:type="dxa" w:w="4553"/>
          </w:tcPr>
          <w:p>
            <w:pPr>
              <w:spacing w:after="20" w:before="20" w:line="252" w:lineRule="auto"/>
              <w:jc w:val="left"/>
            </w:pPr>
            <w:r>
              <w:rPr>
                <w:rFonts w:ascii="Calibri" w:hAnsi="Calibri" w:eastAsia="Microsoft YaHei" w:cs="Calibri"/>
                <w:sz w:val="18"/>
              </w:rPr>
              <w:t>Slightly higher deposit costs, narrower loan spreads (Q2 NIM -4bp)</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HBAN</w:t>
            </w:r>
          </w:p>
        </w:tc>
        <w:tc>
          <w:tcPr>
            <w:tcW w:type="dxa" w:w="4553"/>
            <w:shd w:val="clear" w:color="auto" w:fill="F2F5F9"/>
          </w:tcPr>
          <w:p>
            <w:pPr>
              <w:spacing w:after="20" w:before="20" w:line="252" w:lineRule="auto"/>
              <w:jc w:val="left"/>
            </w:pPr>
            <w:r>
              <w:rPr>
                <w:rFonts w:ascii="Calibri" w:hAnsi="Calibri" w:eastAsia="Microsoft YaHei" w:cs="Calibri"/>
                <w:sz w:val="18"/>
              </w:rPr>
              <w:t>Full-year NII growth cut from 39-43% to about 35%</w:t>
            </w:r>
          </w:p>
        </w:tc>
        <w:tc>
          <w:tcPr>
            <w:tcW w:type="dxa" w:w="4553"/>
            <w:shd w:val="clear" w:color="auto" w:fill="F2F5F9"/>
          </w:tcPr>
          <w:p>
            <w:pPr>
              <w:spacing w:after="20" w:before="20" w:line="252" w:lineRule="auto"/>
              <w:jc w:val="left"/>
            </w:pPr>
            <w:r>
              <w:rPr>
                <w:rFonts w:ascii="Calibri" w:hAnsi="Calibri" w:eastAsia="Microsoft YaHei" w:cs="Calibri"/>
                <w:sz w:val="18"/>
              </w:rPr>
              <w:t>Back-solves to roughly flat Q3 NII (Q2 $2,052M); deposit competition, weak loan volume</w:t>
            </w:r>
          </w:p>
        </w:tc>
      </w:tr>
      <w:tr>
        <w:trPr>
          <w:cantSplit/>
        </w:trPr>
        <w:tc>
          <w:tcPr>
            <w:tcW w:type="dxa" w:w="645"/>
          </w:tcPr>
          <w:p>
            <w:pPr>
              <w:spacing w:after="20" w:before="20" w:line="252" w:lineRule="auto"/>
              <w:jc w:val="left"/>
            </w:pPr>
            <w:r>
              <w:rPr>
                <w:rFonts w:ascii="Calibri" w:hAnsi="Calibri" w:eastAsia="Microsoft YaHei" w:cs="Calibri"/>
                <w:sz w:val="18"/>
              </w:rPr>
              <w:t>MTB</w:t>
            </w:r>
          </w:p>
        </w:tc>
        <w:tc>
          <w:tcPr>
            <w:tcW w:type="dxa" w:w="4553"/>
          </w:tcPr>
          <w:p>
            <w:pPr>
              <w:spacing w:after="20" w:before="20" w:line="252" w:lineRule="auto"/>
              <w:jc w:val="left"/>
            </w:pPr>
            <w:r>
              <w:rPr>
                <w:rFonts w:ascii="Calibri" w:hAnsi="Calibri" w:eastAsia="Microsoft YaHei" w:cs="Calibri"/>
                <w:sz w:val="18"/>
              </w:rPr>
              <w:t>Full-year NII in the lower half of $7.2-7.35B</w:t>
            </w:r>
          </w:p>
        </w:tc>
        <w:tc>
          <w:tcPr>
            <w:tcW w:type="dxa" w:w="4553"/>
          </w:tcPr>
          <w:p>
            <w:pPr>
              <w:spacing w:after="20" w:before="20" w:line="252" w:lineRule="auto"/>
              <w:jc w:val="left"/>
            </w:pPr>
            <w:r>
              <w:rPr>
                <w:rFonts w:ascii="Calibri" w:hAnsi="Calibri" w:eastAsia="Microsoft YaHei" w:cs="Calibri"/>
                <w:sz w:val="18"/>
              </w:rPr>
              <w:t>H2 NIM in the mid-3.60s, slightly lower</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WFC</w:t>
            </w:r>
          </w:p>
        </w:tc>
        <w:tc>
          <w:tcPr>
            <w:tcW w:type="dxa" w:w="4553"/>
            <w:shd w:val="clear" w:color="auto" w:fill="F2F5F9"/>
          </w:tcPr>
          <w:p>
            <w:pPr>
              <w:spacing w:after="20" w:before="20" w:line="252" w:lineRule="auto"/>
              <w:jc w:val="left"/>
            </w:pPr>
            <w:r>
              <w:rPr>
                <w:rFonts w:ascii="Calibri" w:hAnsi="Calibri" w:eastAsia="Microsoft YaHei" w:cs="Calibri"/>
                <w:sz w:val="18"/>
              </w:rPr>
              <w:t>About $50B for the year (of which Markets $2B)</w:t>
            </w:r>
          </w:p>
        </w:tc>
        <w:tc>
          <w:tcPr>
            <w:tcW w:type="dxa" w:w="4553"/>
            <w:shd w:val="clear" w:color="auto" w:fill="F2F5F9"/>
          </w:tcPr>
          <w:p>
            <w:pPr>
              <w:spacing w:after="20" w:before="20" w:line="252" w:lineRule="auto"/>
              <w:jc w:val="left"/>
            </w:pPr>
            <w:r>
              <w:rPr>
                <w:rFonts w:ascii="Calibri" w:hAnsi="Calibri" w:eastAsia="Microsoft YaHei" w:cs="Calibri"/>
                <w:sz w:val="18"/>
              </w:rPr>
              <w:t>H1 $24.4B, implying H2 of about $25.6B; NIM stable in Q3 and Q4</w:t>
            </w:r>
          </w:p>
        </w:tc>
      </w:tr>
      <w:tr>
        <w:trPr>
          <w:cantSplit/>
        </w:trPr>
        <w:tc>
          <w:tcPr>
            <w:tcW w:type="dxa" w:w="645"/>
          </w:tcPr>
          <w:p>
            <w:pPr>
              <w:spacing w:after="20" w:before="20" w:line="252" w:lineRule="auto"/>
              <w:jc w:val="left"/>
            </w:pPr>
            <w:r>
              <w:rPr>
                <w:rFonts w:ascii="Calibri" w:hAnsi="Calibri" w:eastAsia="Microsoft YaHei" w:cs="Calibri"/>
                <w:sz w:val="18"/>
              </w:rPr>
              <w:t>JPM</w:t>
            </w:r>
          </w:p>
        </w:tc>
        <w:tc>
          <w:tcPr>
            <w:tcW w:type="dxa" w:w="4553"/>
          </w:tcPr>
          <w:p>
            <w:pPr>
              <w:spacing w:after="20" w:before="20" w:line="252" w:lineRule="auto"/>
              <w:jc w:val="left"/>
            </w:pPr>
            <w:r>
              <w:rPr>
                <w:rFonts w:ascii="Calibri" w:hAnsi="Calibri" w:eastAsia="Microsoft YaHei" w:cs="Calibri"/>
                <w:sz w:val="18"/>
              </w:rPr>
              <w:t>Full-year total NII about $105.5B (raised)</w:t>
            </w:r>
          </w:p>
        </w:tc>
        <w:tc>
          <w:tcPr>
            <w:tcW w:type="dxa" w:w="4553"/>
          </w:tcPr>
          <w:p>
            <w:pPr>
              <w:spacing w:after="20" w:before="20" w:line="252" w:lineRule="auto"/>
              <w:jc w:val="left"/>
            </w:pPr>
            <w:r>
              <w:rPr>
                <w:rFonts w:ascii="Calibri" w:hAnsi="Calibri" w:eastAsia="Microsoft YaHei" w:cs="Calibri"/>
                <w:sz w:val="18"/>
              </w:rPr>
              <w:t>H1 $50.9B, implying H2 of $54.6B</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BAC</w:t>
            </w:r>
          </w:p>
        </w:tc>
        <w:tc>
          <w:tcPr>
            <w:tcW w:type="dxa" w:w="4553"/>
            <w:shd w:val="clear" w:color="auto" w:fill="F2F5F9"/>
          </w:tcPr>
          <w:p>
            <w:pPr>
              <w:spacing w:after="20" w:before="20" w:line="252" w:lineRule="auto"/>
              <w:jc w:val="left"/>
            </w:pPr>
            <w:r>
              <w:rPr>
                <w:rFonts w:ascii="Calibri" w:hAnsi="Calibri" w:eastAsia="Microsoft YaHei" w:cs="Calibri"/>
                <w:sz w:val="18"/>
              </w:rPr>
              <w:t>Full-year NII growth "toward the high end" (6-8%)</w:t>
            </w:r>
          </w:p>
        </w:tc>
        <w:tc>
          <w:tcPr>
            <w:tcW w:type="dxa" w:w="4553"/>
            <w:shd w:val="clear" w:color="auto" w:fill="F2F5F9"/>
          </w:tcPr>
          <w:p>
            <w:pPr>
              <w:spacing w:after="20" w:before="20" w:line="252" w:lineRule="auto"/>
              <w:jc w:val="left"/>
            </w:pPr>
            <w:r>
              <w:rPr>
                <w:rFonts w:ascii="Calibri" w:hAnsi="Calibri" w:eastAsia="Microsoft YaHei" w:cs="Calibri"/>
                <w:sz w:val="18"/>
              </w:rPr>
              <w:t>Yields rising; but Markets NII overlaps with S&amp;T</w:t>
            </w:r>
          </w:p>
        </w:tc>
      </w:tr>
    </w:tbl>
    <w:p>
      <w:pPr>
        <w:spacing w:after="40"/>
      </w:pPr>
    </w:p>
    <w:p>
      <w:r>
        <w:rPr>
          <w:rFonts w:ascii="Calibri" w:hAnsi="Calibri" w:eastAsia="Microsoft YaHei" w:cs="Calibri"/>
          <w:b/>
          <w:sz w:val="21"/>
        </w:rPr>
        <w:t>Why rising rates split the banks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Banks that are asset sensitive, with a high share of fixed-rate assets maturing soon (USB, FITB, KEY, PNC, CFG), have a clear NII tailwind.</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Banks facing stronger deposit competition, or that added deals such as Cadence/Comerica, carry a lot of "purchase accounting" and "cash transition" noise in NII (HBAN, FITB).</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Banks with a large retail deposit base that are forced to pay more for deposits (TFC, MTB) see NII growth cut first.</w:t>
      </w:r>
    </w:p>
    <w:p>
      <w:pPr>
        <w:pStyle w:val="Heading3"/>
      </w:pPr>
      <w:r>
        <w:rPr>
          <w:rFonts w:ascii="Calibri" w:hAnsi="Calibri" w:eastAsia="Microsoft YaHei" w:cs="Calibri"/>
          <w:b/>
          <w:color w:val="1F4E79"/>
          <w:sz w:val="24"/>
        </w:rPr>
        <w:t>3.2 Investment banking (IB)</w:t>
      </w:r>
    </w:p>
    <w:p>
      <w:r>
        <w:rPr>
          <w:rFonts w:ascii="Calibri" w:hAnsi="Calibri" w:eastAsia="Microsoft YaHei" w:cs="Calibri"/>
          <w:b/>
          <w:sz w:val="21"/>
        </w:rPr>
        <w:t>Checking the claim that "the IPO market is hot"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Q2 was the peak: JPM IB fees $3.2B (+30% YoY), BAC $2.1B (+50%), C +44%.</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Excluding mega deals, Q3 IPOs and announced M&amp;A volume were both clearly below Q2.</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Fees are not proceeds: mega issues on the scale of SK hynix pay an underwriting spread of only about 0.97%, so "large proceeds" do not automatically become IB fees.</w:t>
      </w:r>
    </w:p>
    <w:p>
      <w:r>
        <w:rPr>
          <w:rFonts w:ascii="Calibri" w:hAnsi="Calibri" w:eastAsia="Microsoft YaHei" w:cs="Calibri"/>
          <w:b/>
          <w:sz w:val="21"/>
        </w:rPr>
        <w:t>Q3 IB guidance by bank (YoY / QoQ)</w:t>
      </w:r>
    </w:p>
    <w:tbl>
      <w:tblPr>
        <w:tblStyle w:val="TableGrid"/>
        <w:tblW w:type="auto" w:w="0"/>
        <w:jc w:val="center"/>
        <w:tblLayout w:type="fixed"/>
        <w:tblLook w:firstColumn="1" w:firstRow="1" w:lastColumn="0" w:lastRow="0" w:noHBand="0" w:noVBand="1" w:val="04A0"/>
      </w:tblPr>
      <w:tblGrid>
        <w:gridCol w:w="610"/>
        <w:gridCol w:w="4302"/>
        <w:gridCol w:w="2031"/>
        <w:gridCol w:w="2809"/>
      </w:tblGrid>
      <w:tr>
        <w:trPr>
          <w:tblHeader w:val="true"/>
          <w:cantSplit/>
        </w:trPr>
        <w:tc>
          <w:tcPr>
            <w:tcW w:type="dxa" w:w="610"/>
            <w:shd w:val="clear" w:color="auto" w:fill="1F4E79"/>
          </w:tcPr>
          <w:p>
            <w:pPr>
              <w:spacing w:after="20" w:before="20" w:line="252" w:lineRule="auto"/>
              <w:jc w:val="center"/>
            </w:pPr>
            <w:r>
              <w:rPr>
                <w:rFonts w:ascii="Calibri" w:hAnsi="Calibri" w:eastAsia="Microsoft YaHei" w:cs="Calibri"/>
                <w:b/>
                <w:color w:val="FFFFFF"/>
                <w:sz w:val="18"/>
              </w:rPr>
              <w:t>Bank</w:t>
            </w:r>
          </w:p>
        </w:tc>
        <w:tc>
          <w:tcPr>
            <w:tcW w:type="dxa" w:w="4302"/>
            <w:shd w:val="clear" w:color="auto" w:fill="1F4E79"/>
          </w:tcPr>
          <w:p>
            <w:pPr>
              <w:spacing w:after="20" w:before="20" w:line="252" w:lineRule="auto"/>
              <w:jc w:val="center"/>
            </w:pPr>
            <w:r>
              <w:rPr>
                <w:rFonts w:ascii="Calibri" w:hAnsi="Calibri" w:eastAsia="Microsoft YaHei" w:cs="Calibri"/>
                <w:b/>
                <w:color w:val="FFFFFF"/>
                <w:sz w:val="18"/>
              </w:rPr>
              <w:t>Guidance</w:t>
            </w:r>
          </w:p>
        </w:tc>
        <w:tc>
          <w:tcPr>
            <w:tcW w:type="dxa" w:w="2031"/>
            <w:shd w:val="clear" w:color="auto" w:fill="1F4E79"/>
          </w:tcPr>
          <w:p>
            <w:pPr>
              <w:spacing w:after="20" w:before="20" w:line="252" w:lineRule="auto"/>
              <w:jc w:val="center"/>
            </w:pPr>
            <w:r>
              <w:rPr>
                <w:rFonts w:ascii="Calibri" w:hAnsi="Calibri" w:eastAsia="Microsoft YaHei" w:cs="Calibri"/>
                <w:b/>
                <w:color w:val="FFFFFF"/>
                <w:sz w:val="18"/>
              </w:rPr>
              <w:t>Implied Q3 IB fees</w:t>
            </w:r>
          </w:p>
        </w:tc>
        <w:tc>
          <w:tcPr>
            <w:tcW w:type="dxa" w:w="2809"/>
            <w:shd w:val="clear" w:color="auto" w:fill="1F4E79"/>
          </w:tcPr>
          <w:p>
            <w:pPr>
              <w:spacing w:after="20" w:before="20" w:line="252" w:lineRule="auto"/>
              <w:jc w:val="center"/>
            </w:pPr>
            <w:r>
              <w:rPr>
                <w:rFonts w:ascii="Calibri" w:hAnsi="Calibri" w:eastAsia="Microsoft YaHei" w:cs="Calibri"/>
                <w:b/>
                <w:color w:val="FFFFFF"/>
                <w:sz w:val="18"/>
              </w:rPr>
              <w:t>QoQ</w:t>
            </w:r>
          </w:p>
        </w:tc>
      </w:tr>
      <w:tr>
        <w:trPr>
          <w:cantSplit/>
        </w:trPr>
        <w:tc>
          <w:tcPr>
            <w:tcW w:type="dxa" w:w="610"/>
          </w:tcPr>
          <w:p>
            <w:pPr>
              <w:spacing w:after="20" w:before="20" w:line="252" w:lineRule="auto"/>
              <w:jc w:val="left"/>
            </w:pPr>
            <w:r>
              <w:rPr>
                <w:rFonts w:ascii="Calibri" w:hAnsi="Calibri" w:eastAsia="Microsoft YaHei" w:cs="Calibri"/>
                <w:sz w:val="18"/>
              </w:rPr>
              <w:t>JPM</w:t>
            </w:r>
          </w:p>
        </w:tc>
        <w:tc>
          <w:tcPr>
            <w:tcW w:type="dxa" w:w="4302"/>
          </w:tcPr>
          <w:p>
            <w:pPr>
              <w:spacing w:after="20" w:before="20" w:line="252" w:lineRule="auto"/>
              <w:jc w:val="left"/>
            </w:pPr>
            <w:r>
              <w:rPr>
                <w:rFonts w:ascii="Calibri" w:hAnsi="Calibri" w:eastAsia="Microsoft YaHei" w:cs="Calibri"/>
                <w:sz w:val="18"/>
              </w:rPr>
              <w:t>YoY "mid-to-high teens" (Q3'25 $2.6B)</w:t>
            </w:r>
          </w:p>
        </w:tc>
        <w:tc>
          <w:tcPr>
            <w:tcW w:type="dxa" w:w="2031"/>
          </w:tcPr>
          <w:p>
            <w:pPr>
              <w:spacing w:after="20" w:before="20" w:line="252" w:lineRule="auto"/>
              <w:jc w:val="center"/>
            </w:pPr>
            <w:r>
              <w:rPr>
                <w:rFonts w:ascii="Calibri" w:hAnsi="Calibri" w:eastAsia="Microsoft YaHei" w:cs="Calibri"/>
                <w:sz w:val="18"/>
              </w:rPr>
              <w:t>About $3.0B</w:t>
            </w:r>
          </w:p>
        </w:tc>
        <w:tc>
          <w:tcPr>
            <w:tcW w:type="dxa" w:w="2809"/>
          </w:tcPr>
          <w:p>
            <w:pPr>
              <w:spacing w:after="20" w:before="20" w:line="252" w:lineRule="auto"/>
              <w:jc w:val="center"/>
            </w:pPr>
            <w:r>
              <w:rPr>
                <w:rFonts w:ascii="Calibri" w:hAnsi="Calibri" w:eastAsia="Microsoft YaHei" w:cs="Calibri"/>
                <w:sz w:val="18"/>
              </w:rPr>
              <w:t>About -5%</w:t>
            </w:r>
          </w:p>
        </w:tc>
      </w:tr>
      <w:tr>
        <w:trPr>
          <w:cantSplit/>
        </w:trPr>
        <w:tc>
          <w:tcPr>
            <w:tcW w:type="dxa" w:w="610"/>
            <w:shd w:val="clear" w:color="auto" w:fill="F2F5F9"/>
          </w:tcPr>
          <w:p>
            <w:pPr>
              <w:spacing w:after="20" w:before="20" w:line="252" w:lineRule="auto"/>
              <w:jc w:val="left"/>
            </w:pPr>
            <w:r>
              <w:rPr>
                <w:rFonts w:ascii="Calibri" w:hAnsi="Calibri" w:eastAsia="Microsoft YaHei" w:cs="Calibri"/>
                <w:sz w:val="18"/>
              </w:rPr>
              <w:t>C</w:t>
            </w:r>
          </w:p>
        </w:tc>
        <w:tc>
          <w:tcPr>
            <w:tcW w:type="dxa" w:w="4302"/>
            <w:shd w:val="clear" w:color="auto" w:fill="F2F5F9"/>
          </w:tcPr>
          <w:p>
            <w:pPr>
              <w:spacing w:after="20" w:before="20" w:line="252" w:lineRule="auto"/>
              <w:jc w:val="left"/>
            </w:pPr>
            <w:r>
              <w:rPr>
                <w:rFonts w:ascii="Calibri" w:hAnsi="Calibri" w:eastAsia="Microsoft YaHei" w:cs="Calibri"/>
                <w:sz w:val="18"/>
              </w:rPr>
              <w:t>YoY "low single digits + depends on the last few deals"</w:t>
            </w:r>
          </w:p>
        </w:tc>
        <w:tc>
          <w:tcPr>
            <w:tcW w:type="dxa" w:w="2031"/>
            <w:shd w:val="clear" w:color="auto" w:fill="F2F5F9"/>
          </w:tcPr>
          <w:p>
            <w:pPr>
              <w:spacing w:after="20" w:before="20" w:line="252" w:lineRule="auto"/>
              <w:jc w:val="left"/>
            </w:pPr>
            <w:r>
              <w:rPr>
                <w:rFonts w:ascii="Calibri" w:hAnsi="Calibri" w:eastAsia="Microsoft YaHei" w:cs="Calibri"/>
                <w:sz w:val="18"/>
              </w:rPr>
              <w:t>No absolute figure</w:t>
            </w:r>
          </w:p>
        </w:tc>
        <w:tc>
          <w:tcPr>
            <w:tcW w:type="dxa" w:w="2809"/>
            <w:shd w:val="clear" w:color="auto" w:fill="F2F5F9"/>
          </w:tcPr>
          <w:p>
            <w:pPr>
              <w:spacing w:after="20" w:before="20" w:line="252" w:lineRule="auto"/>
              <w:jc w:val="left"/>
            </w:pPr>
            <w:r>
              <w:rPr>
                <w:rFonts w:ascii="Calibri" w:hAnsi="Calibri" w:eastAsia="Microsoft YaHei" w:cs="Calibri"/>
                <w:sz w:val="18"/>
              </w:rPr>
              <w:t>Estimated to fall QoQ</w:t>
            </w:r>
          </w:p>
        </w:tc>
      </w:tr>
      <w:tr>
        <w:trPr>
          <w:cantSplit/>
        </w:trPr>
        <w:tc>
          <w:tcPr>
            <w:tcW w:type="dxa" w:w="610"/>
          </w:tcPr>
          <w:p>
            <w:pPr>
              <w:spacing w:after="20" w:before="20" w:line="252" w:lineRule="auto"/>
              <w:jc w:val="left"/>
            </w:pPr>
            <w:r>
              <w:rPr>
                <w:rFonts w:ascii="Calibri" w:hAnsi="Calibri" w:eastAsia="Microsoft YaHei" w:cs="Calibri"/>
                <w:sz w:val="18"/>
              </w:rPr>
              <w:t>BAC</w:t>
            </w:r>
          </w:p>
        </w:tc>
        <w:tc>
          <w:tcPr>
            <w:tcW w:type="dxa" w:w="4302"/>
          </w:tcPr>
          <w:p>
            <w:pPr>
              <w:spacing w:after="20" w:before="20" w:line="252" w:lineRule="auto"/>
              <w:jc w:val="left"/>
            </w:pPr>
            <w:r>
              <w:rPr>
                <w:rFonts w:ascii="Calibri" w:hAnsi="Calibri" w:eastAsia="Microsoft YaHei" w:cs="Calibri"/>
                <w:sz w:val="18"/>
              </w:rPr>
              <w:t>YoY down 10%+, $1.6-1.8B (Q3'25 $2.0B)</w:t>
            </w:r>
          </w:p>
        </w:tc>
        <w:tc>
          <w:tcPr>
            <w:tcW w:type="dxa" w:w="2031"/>
          </w:tcPr>
          <w:p>
            <w:pPr>
              <w:spacing w:after="20" w:before="20" w:line="252" w:lineRule="auto"/>
              <w:jc w:val="center"/>
            </w:pPr>
            <w:r>
              <w:rPr>
                <w:rFonts w:ascii="Calibri" w:hAnsi="Calibri" w:eastAsia="Microsoft YaHei" w:cs="Calibri"/>
                <w:sz w:val="18"/>
              </w:rPr>
              <w:t>$1.6-1.8B</w:t>
            </w:r>
          </w:p>
        </w:tc>
        <w:tc>
          <w:tcPr>
            <w:tcW w:type="dxa" w:w="2809"/>
          </w:tcPr>
          <w:p>
            <w:pPr>
              <w:spacing w:after="20" w:before="20" w:line="252" w:lineRule="auto"/>
              <w:jc w:val="center"/>
            </w:pPr>
            <w:r>
              <w:rPr>
                <w:rFonts w:ascii="Calibri" w:hAnsi="Calibri" w:eastAsia="Microsoft YaHei" w:cs="Calibri"/>
                <w:sz w:val="18"/>
              </w:rPr>
              <w:t>About -20%</w:t>
            </w:r>
          </w:p>
        </w:tc>
      </w:tr>
      <w:tr>
        <w:trPr>
          <w:cantSplit/>
        </w:trPr>
        <w:tc>
          <w:tcPr>
            <w:tcW w:type="dxa" w:w="610"/>
            <w:shd w:val="clear" w:color="auto" w:fill="F2F5F9"/>
          </w:tcPr>
          <w:p>
            <w:pPr>
              <w:spacing w:after="20" w:before="20" w:line="252" w:lineRule="auto"/>
              <w:jc w:val="left"/>
            </w:pPr>
            <w:r>
              <w:rPr>
                <w:rFonts w:ascii="Calibri" w:hAnsi="Calibri" w:eastAsia="Microsoft YaHei" w:cs="Calibri"/>
                <w:sz w:val="18"/>
              </w:rPr>
              <w:t>GS</w:t>
            </w:r>
          </w:p>
        </w:tc>
        <w:tc>
          <w:tcPr>
            <w:tcW w:type="dxa" w:w="4302"/>
            <w:shd w:val="clear" w:color="auto" w:fill="F2F5F9"/>
          </w:tcPr>
          <w:p>
            <w:pPr>
              <w:spacing w:after="20" w:before="20" w:line="252" w:lineRule="auto"/>
              <w:jc w:val="left"/>
            </w:pPr>
            <w:r>
              <w:rPr>
                <w:rFonts w:ascii="Calibri" w:hAnsi="Calibri" w:eastAsia="Microsoft YaHei" w:cs="Calibri"/>
                <w:sz w:val="18"/>
              </w:rPr>
              <w:t>"Investing lines sharply weaker"; MS Research says IB slightly lower</w:t>
            </w:r>
          </w:p>
        </w:tc>
        <w:tc>
          <w:tcPr>
            <w:tcW w:type="dxa" w:w="2031"/>
            <w:shd w:val="clear" w:color="auto" w:fill="F2F5F9"/>
          </w:tcPr>
          <w:p>
            <w:pPr>
              <w:spacing w:after="20" w:before="20" w:line="252" w:lineRule="auto"/>
              <w:jc w:val="center"/>
            </w:pPr>
            <w:r>
              <w:rPr>
                <w:rFonts w:ascii="Calibri" w:hAnsi="Calibri" w:eastAsia="Microsoft YaHei" w:cs="Calibri"/>
                <w:sz w:val="18"/>
              </w:rPr>
              <w:t>n/a</w:t>
            </w:r>
          </w:p>
        </w:tc>
        <w:tc>
          <w:tcPr>
            <w:tcW w:type="dxa" w:w="2809"/>
            <w:shd w:val="clear" w:color="auto" w:fill="F2F5F9"/>
          </w:tcPr>
          <w:p>
            <w:pPr>
              <w:spacing w:after="20" w:before="20" w:line="252" w:lineRule="auto"/>
              <w:jc w:val="center"/>
            </w:pPr>
            <w:r>
              <w:rPr>
                <w:rFonts w:ascii="Calibri" w:hAnsi="Calibri" w:eastAsia="Microsoft YaHei" w:cs="Calibri"/>
                <w:sz w:val="18"/>
              </w:rPr>
              <w:t>Small decline</w:t>
            </w:r>
          </w:p>
        </w:tc>
      </w:tr>
      <w:tr>
        <w:trPr>
          <w:cantSplit/>
        </w:trPr>
        <w:tc>
          <w:tcPr>
            <w:tcW w:type="dxa" w:w="610"/>
          </w:tcPr>
          <w:p>
            <w:pPr>
              <w:spacing w:after="20" w:before="20" w:line="252" w:lineRule="auto"/>
              <w:jc w:val="left"/>
            </w:pPr>
            <w:r>
              <w:rPr>
                <w:rFonts w:ascii="Calibri" w:hAnsi="Calibri" w:eastAsia="Microsoft YaHei" w:cs="Calibri"/>
                <w:sz w:val="18"/>
              </w:rPr>
              <w:t>MS</w:t>
            </w:r>
          </w:p>
        </w:tc>
        <w:tc>
          <w:tcPr>
            <w:tcW w:type="dxa" w:w="4302"/>
          </w:tcPr>
          <w:p>
            <w:pPr>
              <w:spacing w:after="20" w:before="20" w:line="252" w:lineRule="auto"/>
              <w:jc w:val="left"/>
            </w:pPr>
            <w:r>
              <w:rPr>
                <w:rFonts w:ascii="Calibri" w:hAnsi="Calibri" w:eastAsia="Microsoft YaHei" w:cs="Calibri"/>
                <w:sz w:val="18"/>
              </w:rPr>
              <w:t>100+ sell-side mandates in hand; IB fees could exceed $2B</w:t>
            </w:r>
          </w:p>
        </w:tc>
        <w:tc>
          <w:tcPr>
            <w:tcW w:type="dxa" w:w="2031"/>
          </w:tcPr>
          <w:p>
            <w:pPr>
              <w:spacing w:after="20" w:before="20" w:line="252" w:lineRule="auto"/>
              <w:jc w:val="center"/>
            </w:pPr>
            <w:r>
              <w:rPr>
                <w:rFonts w:ascii="Calibri" w:hAnsi="Calibri" w:eastAsia="Microsoft YaHei" w:cs="Calibri"/>
                <w:sz w:val="18"/>
              </w:rPr>
              <w:t>n/a</w:t>
            </w:r>
          </w:p>
        </w:tc>
        <w:tc>
          <w:tcPr>
            <w:tcW w:type="dxa" w:w="2809"/>
          </w:tcPr>
          <w:p>
            <w:pPr>
              <w:spacing w:after="20" w:before="20" w:line="252" w:lineRule="auto"/>
              <w:jc w:val="left"/>
            </w:pPr>
            <w:r>
              <w:rPr>
                <w:rFonts w:ascii="Calibri" w:hAnsi="Calibri" w:eastAsia="Microsoft YaHei" w:cs="Calibri"/>
                <w:sz w:val="18"/>
              </w:rPr>
              <w:t>Flat / slightly higher</w:t>
            </w:r>
          </w:p>
        </w:tc>
      </w:tr>
      <w:tr>
        <w:trPr>
          <w:cantSplit/>
        </w:trPr>
        <w:tc>
          <w:tcPr>
            <w:tcW w:type="dxa" w:w="610"/>
            <w:shd w:val="clear" w:color="auto" w:fill="F2F5F9"/>
          </w:tcPr>
          <w:p>
            <w:pPr>
              <w:spacing w:after="20" w:before="20" w:line="252" w:lineRule="auto"/>
              <w:jc w:val="left"/>
            </w:pPr>
            <w:r>
              <w:rPr>
                <w:rFonts w:ascii="Calibri" w:hAnsi="Calibri" w:eastAsia="Microsoft YaHei" w:cs="Calibri"/>
                <w:sz w:val="18"/>
              </w:rPr>
              <w:t>PNC</w:t>
            </w:r>
          </w:p>
        </w:tc>
        <w:tc>
          <w:tcPr>
            <w:tcW w:type="dxa" w:w="4302"/>
            <w:shd w:val="clear" w:color="auto" w:fill="F2F5F9"/>
          </w:tcPr>
          <w:p>
            <w:pPr>
              <w:spacing w:after="20" w:before="20" w:line="252" w:lineRule="auto"/>
              <w:jc w:val="left"/>
            </w:pPr>
            <w:r>
              <w:rPr>
                <w:rFonts w:ascii="Calibri" w:hAnsi="Calibri" w:eastAsia="Microsoft YaHei" w:cs="Calibri"/>
                <w:sz w:val="18"/>
              </w:rPr>
              <w:t>Fee income -5 to -5.5%, mainly capital markets</w:t>
            </w:r>
          </w:p>
        </w:tc>
        <w:tc>
          <w:tcPr>
            <w:tcW w:type="dxa" w:w="2031"/>
            <w:shd w:val="clear" w:color="auto" w:fill="F2F5F9"/>
          </w:tcPr>
          <w:p>
            <w:pPr>
              <w:spacing w:after="20" w:before="20" w:line="252" w:lineRule="auto"/>
              <w:jc w:val="center"/>
            </w:pPr>
            <w:r>
              <w:rPr>
                <w:rFonts w:ascii="Calibri" w:hAnsi="Calibri" w:eastAsia="Microsoft YaHei" w:cs="Calibri"/>
                <w:sz w:val="18"/>
              </w:rPr>
              <w:t>n/a</w:t>
            </w:r>
          </w:p>
        </w:tc>
        <w:tc>
          <w:tcPr>
            <w:tcW w:type="dxa" w:w="2809"/>
            <w:shd w:val="clear" w:color="auto" w:fill="F2F5F9"/>
          </w:tcPr>
          <w:p>
            <w:pPr>
              <w:spacing w:after="20" w:before="20" w:line="252" w:lineRule="auto"/>
              <w:jc w:val="center"/>
            </w:pPr>
            <w:r>
              <w:rPr>
                <w:rFonts w:ascii="Calibri" w:hAnsi="Calibri" w:eastAsia="Microsoft YaHei" w:cs="Calibri"/>
                <w:sz w:val="18"/>
              </w:rPr>
              <w:t>n/a</w:t>
            </w:r>
          </w:p>
        </w:tc>
      </w:tr>
      <w:tr>
        <w:trPr>
          <w:cantSplit/>
        </w:trPr>
        <w:tc>
          <w:tcPr>
            <w:tcW w:type="dxa" w:w="610"/>
          </w:tcPr>
          <w:p>
            <w:pPr>
              <w:spacing w:after="20" w:before="20" w:line="252" w:lineRule="auto"/>
              <w:jc w:val="left"/>
            </w:pPr>
            <w:r>
              <w:rPr>
                <w:rFonts w:ascii="Calibri" w:hAnsi="Calibri" w:eastAsia="Microsoft YaHei" w:cs="Calibri"/>
                <w:sz w:val="18"/>
              </w:rPr>
              <w:t>USB</w:t>
            </w:r>
          </w:p>
        </w:tc>
        <w:tc>
          <w:tcPr>
            <w:tcW w:type="dxa" w:w="4302"/>
          </w:tcPr>
          <w:p>
            <w:pPr>
              <w:spacing w:after="20" w:before="20" w:line="252" w:lineRule="auto"/>
              <w:jc w:val="left"/>
            </w:pPr>
            <w:r>
              <w:rPr>
                <w:rFonts w:ascii="Calibri" w:hAnsi="Calibri" w:eastAsia="Microsoft YaHei" w:cs="Calibri"/>
                <w:sz w:val="18"/>
              </w:rPr>
              <w:t>BTIG added, about $200M per quarter</w:t>
            </w:r>
          </w:p>
        </w:tc>
        <w:tc>
          <w:tcPr>
            <w:tcW w:type="dxa" w:w="2031"/>
          </w:tcPr>
          <w:p>
            <w:pPr>
              <w:spacing w:after="20" w:before="20" w:line="252" w:lineRule="auto"/>
              <w:jc w:val="center"/>
            </w:pPr>
            <w:r>
              <w:rPr>
                <w:rFonts w:ascii="Calibri" w:hAnsi="Calibri" w:eastAsia="Microsoft YaHei" w:cs="Calibri"/>
                <w:sz w:val="18"/>
              </w:rPr>
              <w:t>n/a</w:t>
            </w:r>
          </w:p>
        </w:tc>
        <w:tc>
          <w:tcPr>
            <w:tcW w:type="dxa" w:w="2809"/>
          </w:tcPr>
          <w:p>
            <w:pPr>
              <w:spacing w:after="20" w:before="20" w:line="252" w:lineRule="auto"/>
              <w:jc w:val="left"/>
            </w:pPr>
            <w:r>
              <w:rPr>
                <w:rFonts w:ascii="Calibri" w:hAnsi="Calibri" w:eastAsia="Microsoft YaHei" w:cs="Calibri"/>
                <w:sz w:val="18"/>
              </w:rPr>
              <w:t>Higher (acquisition-driven)</w:t>
            </w:r>
          </w:p>
        </w:tc>
      </w:tr>
    </w:tbl>
    <w:p>
      <w:pPr>
        <w:spacing w:after="40"/>
      </w:pPr>
    </w:p>
    <w:p>
      <w:r>
        <w:rPr>
          <w:rFonts w:ascii="Calibri" w:hAnsi="Calibri" w:eastAsia="Microsoft YaHei" w:cs="Calibri"/>
          <w:b/>
          <w:sz w:val="21"/>
        </w:rPr>
        <w:t>Explaining the divergence</w:t>
      </w:r>
      <w:r>
        <w:rPr>
          <w:rFonts w:ascii="Calibri" w:hAnsi="Calibri" w:eastAsia="Microsoft YaHei" w:cs="Calibri"/>
          <w:sz w:val="21"/>
        </w:rPr>
        <w:t>: JPM's and MS's strength lies in ECM and M&amp;A for large corporates and AI/tech financing; BAC itself admits it is "lightly positioned in the active businesses". This is a structural divergence, not noise.</w:t>
      </w:r>
    </w:p>
    <w:p>
      <w:pPr>
        <w:pStyle w:val="Heading3"/>
      </w:pPr>
      <w:r>
        <w:rPr>
          <w:rFonts w:ascii="Calibri" w:hAnsi="Calibri" w:eastAsia="Microsoft YaHei" w:cs="Calibri"/>
          <w:b/>
          <w:color w:val="1F4E79"/>
          <w:sz w:val="24"/>
        </w:rPr>
        <w:t>3.3 Sales and trading (S&amp;T): equities vs. fixed income</w:t>
      </w:r>
    </w:p>
    <w:tbl>
      <w:tblPr>
        <w:tblStyle w:val="TableGrid"/>
        <w:tblW w:type="auto" w:w="0"/>
        <w:jc w:val="center"/>
        <w:tblLayout w:type="fixed"/>
        <w:tblLook w:firstColumn="1" w:firstRow="1" w:lastColumn="0" w:lastRow="0" w:noHBand="0" w:noVBand="1" w:val="04A0"/>
      </w:tblPr>
      <w:tblGrid>
        <w:gridCol w:w="645"/>
        <w:gridCol w:w="4553"/>
        <w:gridCol w:w="4553"/>
      </w:tblGrid>
      <w:tr>
        <w:trPr>
          <w:tblHeader w:val="true"/>
          <w:cantSplit/>
        </w:trPr>
        <w:tc>
          <w:tcPr>
            <w:tcW w:type="dxa" w:w="645"/>
            <w:shd w:val="clear" w:color="auto" w:fill="1F4E79"/>
          </w:tcPr>
          <w:p>
            <w:pPr>
              <w:spacing w:after="20" w:before="20" w:line="252" w:lineRule="auto"/>
              <w:jc w:val="center"/>
            </w:pPr>
            <w:r>
              <w:rPr>
                <w:rFonts w:ascii="Calibri" w:hAnsi="Calibri" w:eastAsia="Microsoft YaHei" w:cs="Calibri"/>
                <w:b/>
                <w:color w:val="FFFFFF"/>
                <w:sz w:val="18"/>
              </w:rPr>
              <w:t>Bank</w:t>
            </w:r>
          </w:p>
        </w:tc>
        <w:tc>
          <w:tcPr>
            <w:tcW w:type="dxa" w:w="4553"/>
            <w:shd w:val="clear" w:color="auto" w:fill="1F4E79"/>
          </w:tcPr>
          <w:p>
            <w:pPr>
              <w:spacing w:after="20" w:before="20" w:line="252" w:lineRule="auto"/>
              <w:jc w:val="center"/>
            </w:pPr>
            <w:r>
              <w:rPr>
                <w:rFonts w:ascii="Calibri" w:hAnsi="Calibri" w:eastAsia="Microsoft YaHei" w:cs="Calibri"/>
                <w:b/>
                <w:color w:val="FFFFFF"/>
                <w:sz w:val="18"/>
              </w:rPr>
              <w:t>Q3 guidance</w:t>
            </w:r>
          </w:p>
        </w:tc>
        <w:tc>
          <w:tcPr>
            <w:tcW w:type="dxa" w:w="4553"/>
            <w:shd w:val="clear" w:color="auto" w:fill="1F4E79"/>
          </w:tcPr>
          <w:p>
            <w:pPr>
              <w:spacing w:after="20" w:before="20" w:line="252" w:lineRule="auto"/>
              <w:jc w:val="center"/>
            </w:pPr>
            <w:r>
              <w:rPr>
                <w:rFonts w:ascii="Calibri" w:hAnsi="Calibri" w:eastAsia="Microsoft YaHei" w:cs="Calibri"/>
                <w:b/>
                <w:color w:val="FFFFFF"/>
                <w:sz w:val="18"/>
              </w:rPr>
              <w:t>Our assumption</w:t>
            </w:r>
          </w:p>
        </w:tc>
      </w:tr>
      <w:tr>
        <w:trPr>
          <w:cantSplit/>
        </w:trPr>
        <w:tc>
          <w:tcPr>
            <w:tcW w:type="dxa" w:w="645"/>
          </w:tcPr>
          <w:p>
            <w:pPr>
              <w:spacing w:after="20" w:before="20" w:line="252" w:lineRule="auto"/>
              <w:jc w:val="left"/>
            </w:pPr>
            <w:r>
              <w:rPr>
                <w:rFonts w:ascii="Calibri" w:hAnsi="Calibri" w:eastAsia="Microsoft YaHei" w:cs="Calibri"/>
                <w:sz w:val="18"/>
              </w:rPr>
              <w:t>JPM</w:t>
            </w:r>
          </w:p>
        </w:tc>
        <w:tc>
          <w:tcPr>
            <w:tcW w:type="dxa" w:w="4553"/>
          </w:tcPr>
          <w:p>
            <w:pPr>
              <w:spacing w:after="20" w:before="20" w:line="252" w:lineRule="auto"/>
              <w:jc w:val="left"/>
            </w:pPr>
            <w:r>
              <w:rPr>
                <w:rFonts w:ascii="Calibri" w:hAnsi="Calibri" w:eastAsia="Microsoft YaHei" w:cs="Calibri"/>
                <w:sz w:val="18"/>
              </w:rPr>
              <w:t>Markets YoY "mid-to-high teens" (Q3'25 $8.9B)</w:t>
            </w:r>
          </w:p>
        </w:tc>
        <w:tc>
          <w:tcPr>
            <w:tcW w:type="dxa" w:w="4553"/>
          </w:tcPr>
          <w:p>
            <w:pPr>
              <w:spacing w:after="20" w:before="20" w:line="252" w:lineRule="auto"/>
              <w:jc w:val="left"/>
            </w:pPr>
            <w:r>
              <w:rPr>
                <w:rFonts w:ascii="Calibri" w:hAnsi="Calibri" w:eastAsia="Microsoft YaHei" w:cs="Calibri"/>
                <w:sz w:val="18"/>
              </w:rPr>
              <w:t>About $10.4B; Q2 $12.1B was a record, so about -14% QoQ</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BAC</w:t>
            </w:r>
          </w:p>
        </w:tc>
        <w:tc>
          <w:tcPr>
            <w:tcW w:type="dxa" w:w="4553"/>
            <w:shd w:val="clear" w:color="auto" w:fill="F2F5F9"/>
          </w:tcPr>
          <w:p>
            <w:pPr>
              <w:spacing w:after="20" w:before="20" w:line="252" w:lineRule="auto"/>
              <w:jc w:val="left"/>
            </w:pPr>
            <w:r>
              <w:rPr>
                <w:rFonts w:ascii="Calibri" w:hAnsi="Calibri" w:eastAsia="Microsoft YaHei" w:cs="Calibri"/>
                <w:sz w:val="18"/>
              </w:rPr>
              <w:t>S&amp;T roughly flat YoY ($5.4B); equities up, fixed income down; Asia PB balances down</w:t>
            </w:r>
          </w:p>
        </w:tc>
        <w:tc>
          <w:tcPr>
            <w:tcW w:type="dxa" w:w="4553"/>
            <w:shd w:val="clear" w:color="auto" w:fill="F2F5F9"/>
          </w:tcPr>
          <w:p>
            <w:pPr>
              <w:spacing w:after="20" w:before="20" w:line="252" w:lineRule="auto"/>
              <w:jc w:val="left"/>
            </w:pPr>
            <w:r>
              <w:rPr>
                <w:rFonts w:ascii="Calibri" w:hAnsi="Calibri" w:eastAsia="Microsoft YaHei" w:cs="Calibri"/>
                <w:sz w:val="18"/>
              </w:rPr>
              <w:t>About $5.5B vs. Q2 $7.1B, about -22% QoQ</w:t>
            </w:r>
          </w:p>
        </w:tc>
      </w:tr>
      <w:tr>
        <w:trPr>
          <w:cantSplit/>
        </w:trPr>
        <w:tc>
          <w:tcPr>
            <w:tcW w:type="dxa" w:w="645"/>
          </w:tcPr>
          <w:p>
            <w:pPr>
              <w:spacing w:after="20" w:before="20" w:line="252" w:lineRule="auto"/>
              <w:jc w:val="left"/>
            </w:pPr>
            <w:r>
              <w:rPr>
                <w:rFonts w:ascii="Calibri" w:hAnsi="Calibri" w:eastAsia="Microsoft YaHei" w:cs="Calibri"/>
                <w:sz w:val="18"/>
              </w:rPr>
              <w:t>C</w:t>
            </w:r>
          </w:p>
        </w:tc>
        <w:tc>
          <w:tcPr>
            <w:tcW w:type="dxa" w:w="4553"/>
          </w:tcPr>
          <w:p>
            <w:pPr>
              <w:spacing w:after="20" w:before="20" w:line="252" w:lineRule="auto"/>
              <w:jc w:val="left"/>
            </w:pPr>
            <w:r>
              <w:rPr>
                <w:rFonts w:ascii="Calibri" w:hAnsi="Calibri" w:eastAsia="Microsoft YaHei" w:cs="Calibri"/>
                <w:sz w:val="18"/>
              </w:rPr>
              <w:t>Markets YoY "mid single digits"</w:t>
            </w:r>
          </w:p>
        </w:tc>
        <w:tc>
          <w:tcPr>
            <w:tcW w:type="dxa" w:w="4553"/>
          </w:tcPr>
          <w:p>
            <w:pPr>
              <w:spacing w:after="20" w:before="20" w:line="252" w:lineRule="auto"/>
              <w:jc w:val="center"/>
            </w:pPr>
            <w:r>
              <w:rPr>
                <w:rFonts w:ascii="Calibri" w:hAnsi="Calibri" w:eastAsia="Microsoft YaHei" w:cs="Calibri"/>
                <w:sz w:val="18"/>
              </w:rPr>
              <w:t>About -$0.7B QoQ</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GS</w:t>
            </w:r>
          </w:p>
        </w:tc>
        <w:tc>
          <w:tcPr>
            <w:tcW w:type="dxa" w:w="4553"/>
            <w:shd w:val="clear" w:color="auto" w:fill="F2F5F9"/>
          </w:tcPr>
          <w:p>
            <w:pPr>
              <w:spacing w:after="20" w:before="20" w:line="252" w:lineRule="auto"/>
              <w:jc w:val="left"/>
            </w:pPr>
            <w:r>
              <w:rPr>
                <w:rFonts w:ascii="Calibri" w:hAnsi="Calibri" w:eastAsia="Microsoft YaHei" w:cs="Calibri"/>
                <w:sz w:val="18"/>
              </w:rPr>
              <w:t>Equities "still very strong", FICC "relatively softer"</w:t>
            </w:r>
          </w:p>
        </w:tc>
        <w:tc>
          <w:tcPr>
            <w:tcW w:type="dxa" w:w="4553"/>
            <w:shd w:val="clear" w:color="auto" w:fill="F2F5F9"/>
          </w:tcPr>
          <w:p>
            <w:pPr>
              <w:spacing w:after="20" w:before="20" w:line="252" w:lineRule="auto"/>
              <w:jc w:val="left"/>
            </w:pPr>
            <w:r>
              <w:rPr>
                <w:rFonts w:ascii="Calibri" w:hAnsi="Calibri" w:eastAsia="Microsoft YaHei" w:cs="Calibri"/>
                <w:sz w:val="18"/>
              </w:rPr>
              <w:t>Equities -$0.3B, FICC -$0.6B QoQ</w:t>
            </w:r>
          </w:p>
        </w:tc>
      </w:tr>
      <w:tr>
        <w:trPr>
          <w:cantSplit/>
        </w:trPr>
        <w:tc>
          <w:tcPr>
            <w:tcW w:type="dxa" w:w="645"/>
          </w:tcPr>
          <w:p>
            <w:pPr>
              <w:spacing w:after="20" w:before="20" w:line="252" w:lineRule="auto"/>
              <w:jc w:val="left"/>
            </w:pPr>
            <w:r>
              <w:rPr>
                <w:rFonts w:ascii="Calibri" w:hAnsi="Calibri" w:eastAsia="Microsoft YaHei" w:cs="Calibri"/>
                <w:sz w:val="18"/>
              </w:rPr>
              <w:t>MS</w:t>
            </w:r>
          </w:p>
        </w:tc>
        <w:tc>
          <w:tcPr>
            <w:tcW w:type="dxa" w:w="4553"/>
          </w:tcPr>
          <w:p>
            <w:pPr>
              <w:spacing w:after="20" w:before="20" w:line="252" w:lineRule="auto"/>
              <w:jc w:val="center"/>
            </w:pPr>
            <w:r>
              <w:rPr>
                <w:rFonts w:ascii="Calibri" w:hAnsi="Calibri" w:eastAsia="Microsoft YaHei" w:cs="Calibri"/>
                <w:sz w:val="18"/>
              </w:rPr>
              <w:t>"3Q is no 2Q"</w:t>
            </w:r>
          </w:p>
        </w:tc>
        <w:tc>
          <w:tcPr>
            <w:tcW w:type="dxa" w:w="4553"/>
          </w:tcPr>
          <w:p>
            <w:pPr>
              <w:spacing w:after="20" w:before="20" w:line="252" w:lineRule="auto"/>
              <w:jc w:val="left"/>
            </w:pPr>
            <w:r>
              <w:rPr>
                <w:rFonts w:ascii="Calibri" w:hAnsi="Calibri" w:eastAsia="Microsoft YaHei" w:cs="Calibri"/>
                <w:sz w:val="18"/>
              </w:rPr>
              <w:t>Equities -$0.45B, FICC -$0.25B</w:t>
            </w:r>
          </w:p>
        </w:tc>
      </w:tr>
      <w:tr>
        <w:trPr>
          <w:cantSplit/>
        </w:trPr>
        <w:tc>
          <w:tcPr>
            <w:tcW w:type="dxa" w:w="645"/>
            <w:shd w:val="clear" w:color="auto" w:fill="F2F5F9"/>
          </w:tcPr>
          <w:p>
            <w:pPr>
              <w:spacing w:after="20" w:before="20" w:line="252" w:lineRule="auto"/>
              <w:jc w:val="left"/>
            </w:pPr>
            <w:r>
              <w:rPr>
                <w:rFonts w:ascii="Calibri" w:hAnsi="Calibri" w:eastAsia="Microsoft YaHei" w:cs="Calibri"/>
                <w:sz w:val="18"/>
              </w:rPr>
              <w:t>WFC</w:t>
            </w:r>
          </w:p>
        </w:tc>
        <w:tc>
          <w:tcPr>
            <w:tcW w:type="dxa" w:w="4553"/>
            <w:shd w:val="clear" w:color="auto" w:fill="F2F5F9"/>
          </w:tcPr>
          <w:p>
            <w:pPr>
              <w:spacing w:after="20" w:before="20" w:line="252" w:lineRule="auto"/>
              <w:jc w:val="left"/>
            </w:pPr>
            <w:r>
              <w:rPr>
                <w:rFonts w:ascii="Calibri" w:hAnsi="Calibri" w:eastAsia="Microsoft YaHei" w:cs="Calibri"/>
                <w:sz w:val="18"/>
              </w:rPr>
              <w:t>No explicit guidance</w:t>
            </w:r>
          </w:p>
        </w:tc>
        <w:tc>
          <w:tcPr>
            <w:tcW w:type="dxa" w:w="4553"/>
            <w:shd w:val="clear" w:color="auto" w:fill="F2F5F9"/>
          </w:tcPr>
          <w:p>
            <w:pPr>
              <w:spacing w:after="20" w:before="20" w:line="252" w:lineRule="auto"/>
              <w:jc w:val="left"/>
            </w:pPr>
            <w:r>
              <w:rPr>
                <w:rFonts w:ascii="Calibri" w:hAnsi="Calibri" w:eastAsia="Microsoft YaHei" w:cs="Calibri"/>
                <w:sz w:val="18"/>
              </w:rPr>
              <w:t>Non-interest income -$0.45B QoQ (Q2 was unusually strong)</w:t>
            </w:r>
          </w:p>
        </w:tc>
      </w:tr>
    </w:tbl>
    <w:p>
      <w:pPr>
        <w:spacing w:after="40"/>
      </w:pPr>
    </w:p>
    <w:p>
      <w:r>
        <w:rPr>
          <w:rFonts w:ascii="Calibri" w:hAnsi="Calibri" w:eastAsia="Microsoft YaHei" w:cs="Calibri"/>
          <w:b/>
          <w:sz w:val="21"/>
        </w:rPr>
        <w:t>Implications of equity/bond allocation and term structure</w:t>
      </w:r>
      <w:r>
        <w:rPr>
          <w:rFonts w:ascii="Calibri" w:hAnsi="Calibri" w:eastAsia="Microsoft YaHei" w:cs="Calibri"/>
          <w:sz w:val="21"/>
        </w:rPr>
        <w:t>: the equity side (PB, derivatives, cash equities) remained strong in Q3, which favours GS/MS/C. The fixed-income side is affected by the rapid rise in long-end rates and spread volatility, though large swings are themselves revenue for market-making. Whether money is made ultimately depends on hedging: in one-way yield shocks, proprietary inventory positions are at higher risk, while client-flow-driven market-making benefits.</w:t>
      </w:r>
    </w:p>
    <w:p>
      <w:pPr>
        <w:pStyle w:val="Heading3"/>
      </w:pPr>
      <w:r>
        <w:rPr>
          <w:rFonts w:ascii="Calibri" w:hAnsi="Calibri" w:eastAsia="Microsoft YaHei" w:cs="Calibri"/>
          <w:b/>
          <w:color w:val="1F4E79"/>
          <w:sz w:val="24"/>
        </w:rPr>
        <w:t>3.4 Brokerage, wealth management, asset management, ETFs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SCHW</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Q2 NIM +12bp QoQ to 3.00%; net interest revenue $3,357M (+19% YoY); client sweep cash $485.7B.</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Fitch believes cash-sorting pressure has eased, but cash as a share of client assets is still below its historical level.</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Its bank securities portfolio has a duration of about 3.5 years and about 4% floating rate, so higher rates plus repricing are a positive.</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But consensus has already pushed EPS to $1.67 (from $1.57 three months ago), and AOCI is already -43% of TCE with 21x leverage. Our model gives $1.65, slightly below consensus.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MS wealth management</w:t>
      </w:r>
      <w:r>
        <w:rPr>
          <w:rFonts w:ascii="Calibri" w:hAnsi="Calibri" w:eastAsia="Microsoft YaHei" w:cs="Calibri"/>
          <w:sz w:val="21"/>
        </w:rPr>
        <w:t>: Q2 net new assets were a record $148B, more than half from IPO-related employee-plan inflows. Q3 depends on how much converts into fee-paying assets.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BAC wealth (Merrill + Private Bank)</w:t>
      </w:r>
      <w:r>
        <w:rPr>
          <w:rFonts w:ascii="Calibri" w:hAnsi="Calibri" w:eastAsia="Microsoft YaHei" w:cs="Calibri"/>
          <w:sz w:val="21"/>
        </w:rPr>
        <w:t>: AUM fees +10-15% YoY.</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Market-linked asset-management fees</w:t>
      </w:r>
      <w:r>
        <w:rPr>
          <w:rFonts w:ascii="Calibri" w:hAnsi="Calibri" w:eastAsia="Microsoft YaHei" w:cs="Calibri"/>
          <w:sz w:val="21"/>
        </w:rPr>
        <w:t>: the S&amp;P 500 Q3 average was up about 4.8% QoQ (only +2% at period end). Firms that bill on beginning or average AUM (BLK, TROW, AMP, LPL) benefit from the higher average, but their share prices are more sensitive to the period-end level.</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ETFs and asset-manager share prices</w:t>
      </w:r>
      <w:r>
        <w:rPr>
          <w:rFonts w:ascii="Calibri" w:hAnsi="Calibri" w:eastAsia="Microsoft YaHei" w:cs="Calibri"/>
          <w:sz w:val="21"/>
        </w:rPr>
        <w:t>: in Q3, BLK +10.6%, IVZ +15.1%, BEN -2.5%, TROW -7.3%. BEN is +41% YTD and +48% over one year, so expectations are high.</w:t>
      </w:r>
    </w:p>
    <w:p>
      <w:pPr>
        <w:pStyle w:val="Heading3"/>
      </w:pPr>
      <w:r>
        <w:rPr>
          <w:rFonts w:ascii="Calibri" w:hAnsi="Calibri" w:eastAsia="Microsoft YaHei" w:cs="Calibri"/>
          <w:b/>
          <w:color w:val="1F4E79"/>
          <w:sz w:val="24"/>
        </w:rPr>
        <w:t>3.5 Exchanges, alternative managers, payments, mortgage</w:t>
      </w:r>
    </w:p>
    <w:p>
      <w:r>
        <w:rPr>
          <w:rFonts w:ascii="Calibri" w:hAnsi="Calibri" w:eastAsia="Microsoft YaHei" w:cs="Calibri"/>
          <w:sz w:val="21"/>
        </w:rPr>
        <w:t>These are outside our EPS-driver model and are covered only by price and qualitative judgement:</w:t>
      </w:r>
    </w:p>
    <w:tbl>
      <w:tblPr>
        <w:tblStyle w:val="TableGrid"/>
        <w:tblW w:type="auto" w:w="0"/>
        <w:jc w:val="center"/>
        <w:tblLayout w:type="fixed"/>
        <w:tblLook w:firstColumn="1" w:firstRow="1" w:lastColumn="0" w:lastRow="0" w:noHBand="0" w:noVBand="1" w:val="04A0"/>
      </w:tblPr>
      <w:tblGrid>
        <w:gridCol w:w="2690"/>
        <w:gridCol w:w="2013"/>
        <w:gridCol w:w="2358"/>
        <w:gridCol w:w="2690"/>
      </w:tblGrid>
      <w:tr>
        <w:trPr>
          <w:tblHeader w:val="true"/>
          <w:cantSplit/>
        </w:trPr>
        <w:tc>
          <w:tcPr>
            <w:tcW w:type="dxa" w:w="2690"/>
            <w:shd w:val="clear" w:color="auto" w:fill="1F4E79"/>
          </w:tcPr>
          <w:p>
            <w:pPr>
              <w:spacing w:after="20" w:before="20" w:line="252" w:lineRule="auto"/>
              <w:jc w:val="center"/>
            </w:pPr>
            <w:r>
              <w:rPr>
                <w:rFonts w:ascii="Calibri" w:hAnsi="Calibri" w:eastAsia="Microsoft YaHei" w:cs="Calibri"/>
                <w:b/>
                <w:color w:val="FFFFFF"/>
                <w:sz w:val="18"/>
              </w:rPr>
              <w:t>Category</w:t>
            </w:r>
          </w:p>
        </w:tc>
        <w:tc>
          <w:tcPr>
            <w:tcW w:type="dxa" w:w="2013"/>
            <w:shd w:val="clear" w:color="auto" w:fill="1F4E79"/>
          </w:tcPr>
          <w:p>
            <w:pPr>
              <w:spacing w:after="20" w:before="20" w:line="252" w:lineRule="auto"/>
              <w:jc w:val="center"/>
            </w:pPr>
            <w:r>
              <w:rPr>
                <w:rFonts w:ascii="Calibri" w:hAnsi="Calibri" w:eastAsia="Microsoft YaHei" w:cs="Calibri"/>
                <w:b/>
                <w:color w:val="FFFFFF"/>
                <w:sz w:val="18"/>
              </w:rPr>
              <w:t>Q3</w:t>
            </w:r>
          </w:p>
        </w:tc>
        <w:tc>
          <w:tcPr>
            <w:tcW w:type="dxa" w:w="2358"/>
            <w:shd w:val="clear" w:color="auto" w:fill="1F4E79"/>
          </w:tcPr>
          <w:p>
            <w:pPr>
              <w:spacing w:after="20" w:before="20" w:line="252" w:lineRule="auto"/>
              <w:jc w:val="center"/>
            </w:pPr>
            <w:r>
              <w:rPr>
                <w:rFonts w:ascii="Calibri" w:hAnsi="Calibri" w:eastAsia="Microsoft YaHei" w:cs="Calibri"/>
                <w:b/>
                <w:color w:val="FFFFFF"/>
                <w:sz w:val="18"/>
              </w:rPr>
              <w:t>YTD</w:t>
            </w:r>
          </w:p>
        </w:tc>
        <w:tc>
          <w:tcPr>
            <w:tcW w:type="dxa" w:w="2690"/>
            <w:shd w:val="clear" w:color="auto" w:fill="1F4E79"/>
          </w:tcPr>
          <w:p>
            <w:pPr>
              <w:spacing w:after="20" w:before="20" w:line="252" w:lineRule="auto"/>
              <w:jc w:val="center"/>
            </w:pPr>
            <w:r>
              <w:rPr>
                <w:rFonts w:ascii="Calibri" w:hAnsi="Calibri" w:eastAsia="Microsoft YaHei" w:cs="Calibri"/>
                <w:b/>
                <w:color w:val="FFFFFF"/>
                <w:sz w:val="18"/>
              </w:rPr>
              <w:t>Judgement</w:t>
            </w:r>
          </w:p>
        </w:tc>
      </w:tr>
      <w:tr>
        <w:trPr>
          <w:cantSplit/>
        </w:trPr>
        <w:tc>
          <w:tcPr>
            <w:tcW w:type="dxa" w:w="2690"/>
          </w:tcPr>
          <w:p>
            <w:pPr>
              <w:spacing w:after="20" w:before="20" w:line="252" w:lineRule="auto"/>
              <w:jc w:val="left"/>
            </w:pPr>
            <w:r>
              <w:rPr>
                <w:rFonts w:ascii="Calibri" w:hAnsi="Calibri" w:eastAsia="Microsoft YaHei" w:cs="Calibri"/>
                <w:sz w:val="18"/>
              </w:rPr>
              <w:t>Exchanges CME / ICE / NDAQ / CBOE</w:t>
            </w:r>
          </w:p>
        </w:tc>
        <w:tc>
          <w:tcPr>
            <w:tcW w:type="dxa" w:w="2013"/>
          </w:tcPr>
          <w:p>
            <w:pPr>
              <w:spacing w:after="20" w:before="20" w:line="252" w:lineRule="auto"/>
              <w:jc w:val="left"/>
            </w:pPr>
            <w:r>
              <w:rPr>
                <w:rFonts w:ascii="Calibri" w:hAnsi="Calibri" w:eastAsia="Microsoft YaHei" w:cs="Calibri"/>
                <w:sz w:val="18"/>
              </w:rPr>
              <w:t>+19% / +24% / +17% / +14%</w:t>
            </w:r>
          </w:p>
        </w:tc>
        <w:tc>
          <w:tcPr>
            <w:tcW w:type="dxa" w:w="2358"/>
          </w:tcPr>
          <w:p>
            <w:pPr>
              <w:spacing w:after="20" w:before="20" w:line="252" w:lineRule="auto"/>
              <w:jc w:val="left"/>
            </w:pPr>
            <w:r>
              <w:rPr>
                <w:rFonts w:ascii="Calibri" w:hAnsi="Calibri" w:eastAsia="Microsoft YaHei" w:cs="Calibri"/>
                <w:sz w:val="18"/>
              </w:rPr>
              <w:t>~0 / -5% / -5% / +11%</w:t>
            </w:r>
          </w:p>
        </w:tc>
        <w:tc>
          <w:tcPr>
            <w:tcW w:type="dxa" w:w="2690"/>
          </w:tcPr>
          <w:p>
            <w:pPr>
              <w:spacing w:after="20" w:before="20" w:line="252" w:lineRule="auto"/>
              <w:jc w:val="left"/>
            </w:pPr>
            <w:r>
              <w:rPr>
                <w:rFonts w:ascii="Calibri" w:hAnsi="Calibri" w:eastAsia="Microsoft YaHei" w:cs="Calibri"/>
                <w:sz w:val="18"/>
              </w:rPr>
              <w:t>Driven by rate volatility and derivatives volume; the strength has already been realised</w:t>
            </w:r>
          </w:p>
        </w:tc>
      </w:tr>
      <w:tr>
        <w:trPr>
          <w:cantSplit/>
        </w:trPr>
        <w:tc>
          <w:tcPr>
            <w:tcW w:type="dxa" w:w="2690"/>
            <w:shd w:val="clear" w:color="auto" w:fill="F2F5F9"/>
          </w:tcPr>
          <w:p>
            <w:pPr>
              <w:spacing w:after="20" w:before="20" w:line="252" w:lineRule="auto"/>
              <w:jc w:val="left"/>
            </w:pPr>
            <w:r>
              <w:rPr>
                <w:rFonts w:ascii="Calibri" w:hAnsi="Calibri" w:eastAsia="Microsoft YaHei" w:cs="Calibri"/>
                <w:sz w:val="18"/>
              </w:rPr>
              <w:t>Alternative managers BX / KKR / APO / ARES / CG / OWL</w:t>
            </w:r>
          </w:p>
        </w:tc>
        <w:tc>
          <w:tcPr>
            <w:tcW w:type="dxa" w:w="2013"/>
            <w:shd w:val="clear" w:color="auto" w:fill="F2F5F9"/>
          </w:tcPr>
          <w:p>
            <w:pPr>
              <w:spacing w:after="20" w:before="20" w:line="252" w:lineRule="auto"/>
              <w:jc w:val="left"/>
            </w:pPr>
            <w:r>
              <w:rPr>
                <w:rFonts w:ascii="Calibri" w:hAnsi="Calibri" w:eastAsia="Microsoft YaHei" w:cs="Calibri"/>
                <w:sz w:val="18"/>
              </w:rPr>
              <w:t>-4% / 0% / -2% / +6% / -5% / +6%</w:t>
            </w:r>
          </w:p>
        </w:tc>
        <w:tc>
          <w:tcPr>
            <w:tcW w:type="dxa" w:w="2358"/>
            <w:shd w:val="clear" w:color="auto" w:fill="F2F5F9"/>
          </w:tcPr>
          <w:p>
            <w:pPr>
              <w:spacing w:after="20" w:before="20" w:line="252" w:lineRule="auto"/>
              <w:jc w:val="left"/>
            </w:pPr>
            <w:r>
              <w:rPr>
                <w:rFonts w:ascii="Calibri" w:hAnsi="Calibri" w:eastAsia="Microsoft YaHei" w:cs="Calibri"/>
                <w:sz w:val="18"/>
              </w:rPr>
              <w:t>-25% / -28% / -20% / -25% / -30% / -36%</w:t>
            </w:r>
          </w:p>
        </w:tc>
        <w:tc>
          <w:tcPr>
            <w:tcW w:type="dxa" w:w="2690"/>
            <w:shd w:val="clear" w:color="auto" w:fill="F2F5F9"/>
          </w:tcPr>
          <w:p>
            <w:pPr>
              <w:spacing w:after="20" w:before="20" w:line="252" w:lineRule="auto"/>
              <w:jc w:val="left"/>
            </w:pPr>
            <w:r>
              <w:rPr>
                <w:rFonts w:ascii="Calibri" w:hAnsi="Calibri" w:eastAsia="Microsoft YaHei" w:cs="Calibri"/>
                <w:sz w:val="18"/>
              </w:rPr>
              <w:t>24-44% below highs; the market worries about private-credit valuations and the pace of IPO monetisation, and valuations have compressed</w:t>
            </w:r>
          </w:p>
        </w:tc>
      </w:tr>
      <w:tr>
        <w:trPr>
          <w:cantSplit/>
        </w:trPr>
        <w:tc>
          <w:tcPr>
            <w:tcW w:type="dxa" w:w="2690"/>
          </w:tcPr>
          <w:p>
            <w:pPr>
              <w:spacing w:after="20" w:before="20" w:line="252" w:lineRule="auto"/>
              <w:jc w:val="left"/>
            </w:pPr>
            <w:r>
              <w:rPr>
                <w:rFonts w:ascii="Calibri" w:hAnsi="Calibri" w:eastAsia="Microsoft YaHei" w:cs="Calibri"/>
                <w:sz w:val="18"/>
              </w:rPr>
              <w:t>Mortgage UWMC / RKT / PFSI</w:t>
            </w:r>
          </w:p>
        </w:tc>
        <w:tc>
          <w:tcPr>
            <w:tcW w:type="dxa" w:w="2013"/>
          </w:tcPr>
          <w:p>
            <w:pPr>
              <w:spacing w:after="20" w:before="20" w:line="252" w:lineRule="auto"/>
              <w:jc w:val="left"/>
            </w:pPr>
            <w:r>
              <w:rPr>
                <w:rFonts w:ascii="Calibri" w:hAnsi="Calibri" w:eastAsia="Microsoft YaHei" w:cs="Calibri"/>
                <w:sz w:val="18"/>
              </w:rPr>
              <w:t>-48% / -27% / -29%</w:t>
            </w:r>
          </w:p>
        </w:tc>
        <w:tc>
          <w:tcPr>
            <w:tcW w:type="dxa" w:w="2358"/>
          </w:tcPr>
          <w:p>
            <w:pPr>
              <w:spacing w:after="20" w:before="20" w:line="252" w:lineRule="auto"/>
              <w:jc w:val="left"/>
            </w:pPr>
            <w:r>
              <w:rPr>
                <w:rFonts w:ascii="Calibri" w:hAnsi="Calibri" w:eastAsia="Microsoft YaHei" w:cs="Calibri"/>
                <w:sz w:val="18"/>
              </w:rPr>
              <w:t>-70% / -38% / -53%</w:t>
            </w:r>
          </w:p>
        </w:tc>
        <w:tc>
          <w:tcPr>
            <w:tcW w:type="dxa" w:w="2690"/>
          </w:tcPr>
          <w:p>
            <w:pPr>
              <w:spacing w:after="20" w:before="20" w:line="252" w:lineRule="auto"/>
              <w:jc w:val="left"/>
            </w:pPr>
            <w:r>
              <w:rPr>
                <w:rFonts w:ascii="Calibri" w:hAnsi="Calibri" w:eastAsia="Microsoft YaHei" w:cs="Calibri"/>
                <w:sz w:val="18"/>
              </w:rPr>
              <w:t>Directly hit by higher mortgage rates</w:t>
            </w:r>
          </w:p>
        </w:tc>
      </w:tr>
      <w:tr>
        <w:trPr>
          <w:cantSplit/>
        </w:trPr>
        <w:tc>
          <w:tcPr>
            <w:tcW w:type="dxa" w:w="2690"/>
            <w:shd w:val="clear" w:color="auto" w:fill="F2F5F9"/>
          </w:tcPr>
          <w:p>
            <w:pPr>
              <w:spacing w:after="20" w:before="20" w:line="252" w:lineRule="auto"/>
              <w:jc w:val="left"/>
            </w:pPr>
            <w:r>
              <w:rPr>
                <w:rFonts w:ascii="Calibri" w:hAnsi="Calibri" w:eastAsia="Microsoft YaHei" w:cs="Calibri"/>
                <w:sz w:val="18"/>
              </w:rPr>
              <w:t>Payments / data V / MA / FIS / FISV / GPN</w:t>
            </w:r>
          </w:p>
        </w:tc>
        <w:tc>
          <w:tcPr>
            <w:tcW w:type="dxa" w:w="2013"/>
            <w:shd w:val="clear" w:color="auto" w:fill="F2F5F9"/>
          </w:tcPr>
          <w:p>
            <w:pPr>
              <w:spacing w:after="20" w:before="20" w:line="252" w:lineRule="auto"/>
              <w:jc w:val="left"/>
            </w:pPr>
            <w:r>
              <w:rPr>
                <w:rFonts w:ascii="Calibri" w:hAnsi="Calibri" w:eastAsia="Microsoft YaHei" w:cs="Calibri"/>
                <w:sz w:val="18"/>
              </w:rPr>
              <w:t>+5% / +8% / -14% / -8% / +13%</w:t>
            </w:r>
          </w:p>
        </w:tc>
        <w:tc>
          <w:tcPr>
            <w:tcW w:type="dxa" w:w="2358"/>
            <w:shd w:val="clear" w:color="auto" w:fill="F2F5F9"/>
          </w:tcPr>
          <w:p>
            <w:pPr>
              <w:spacing w:after="20" w:before="20" w:line="252" w:lineRule="auto"/>
              <w:jc w:val="left"/>
            </w:pPr>
            <w:r>
              <w:rPr>
                <w:rFonts w:ascii="Calibri" w:hAnsi="Calibri" w:eastAsia="Microsoft YaHei" w:cs="Calibri"/>
                <w:sz w:val="18"/>
              </w:rPr>
              <w:t>+3% / -3% / -49% / -32% / +5%</w:t>
            </w:r>
          </w:p>
        </w:tc>
        <w:tc>
          <w:tcPr>
            <w:tcW w:type="dxa" w:w="2690"/>
            <w:shd w:val="clear" w:color="auto" w:fill="F2F5F9"/>
          </w:tcPr>
          <w:p>
            <w:pPr>
              <w:spacing w:after="20" w:before="20" w:line="252" w:lineRule="auto"/>
              <w:jc w:val="left"/>
            </w:pPr>
            <w:r>
              <w:rPr>
                <w:rFonts w:ascii="Calibri" w:hAnsi="Calibri" w:eastAsia="Microsoft YaHei" w:cs="Calibri"/>
                <w:sz w:val="18"/>
              </w:rPr>
              <w:t>V/MA steady; FIS/FISV dragged by other factors</w:t>
            </w:r>
          </w:p>
        </w:tc>
      </w:tr>
      <w:tr>
        <w:trPr>
          <w:cantSplit/>
        </w:trPr>
        <w:tc>
          <w:tcPr>
            <w:tcW w:type="dxa" w:w="2690"/>
          </w:tcPr>
          <w:p>
            <w:pPr>
              <w:spacing w:after="20" w:before="20" w:line="252" w:lineRule="auto"/>
              <w:jc w:val="left"/>
            </w:pPr>
            <w:r>
              <w:rPr>
                <w:rFonts w:ascii="Calibri" w:hAnsi="Calibri" w:eastAsia="Microsoft YaHei" w:cs="Calibri"/>
                <w:sz w:val="18"/>
              </w:rPr>
              <w:t>Cards / consumer AXP / ALLY / SYF</w:t>
            </w:r>
          </w:p>
        </w:tc>
        <w:tc>
          <w:tcPr>
            <w:tcW w:type="dxa" w:w="2013"/>
          </w:tcPr>
          <w:p>
            <w:pPr>
              <w:spacing w:after="20" w:before="20" w:line="252" w:lineRule="auto"/>
              <w:jc w:val="left"/>
            </w:pPr>
            <w:r>
              <w:rPr>
                <w:rFonts w:ascii="Calibri" w:hAnsi="Calibri" w:eastAsia="Microsoft YaHei" w:cs="Calibri"/>
                <w:sz w:val="18"/>
              </w:rPr>
              <w:t>-10% / -18% / -6%</w:t>
            </w:r>
          </w:p>
        </w:tc>
        <w:tc>
          <w:tcPr>
            <w:tcW w:type="dxa" w:w="2358"/>
          </w:tcPr>
          <w:p>
            <w:pPr>
              <w:spacing w:after="20" w:before="20" w:line="252" w:lineRule="auto"/>
              <w:jc w:val="left"/>
            </w:pPr>
            <w:r>
              <w:rPr>
                <w:rFonts w:ascii="Calibri" w:hAnsi="Calibri" w:eastAsia="Microsoft YaHei" w:cs="Calibri"/>
                <w:sz w:val="18"/>
              </w:rPr>
              <w:t>-18% / -15% / -13%</w:t>
            </w:r>
          </w:p>
        </w:tc>
        <w:tc>
          <w:tcPr>
            <w:tcW w:type="dxa" w:w="2690"/>
          </w:tcPr>
          <w:p>
            <w:pPr>
              <w:spacing w:after="20" w:before="20" w:line="252" w:lineRule="auto"/>
              <w:jc w:val="left"/>
            </w:pPr>
            <w:r>
              <w:rPr>
                <w:rFonts w:ascii="Calibri" w:hAnsi="Calibri" w:eastAsia="Microsoft YaHei" w:cs="Calibri"/>
                <w:sz w:val="18"/>
              </w:rPr>
              <w:t>Worries about provisions and consumer-credit stress</w:t>
            </w:r>
          </w:p>
        </w:tc>
      </w:tr>
    </w:tbl>
    <w:p>
      <w:pPr>
        <w:spacing w:after="40"/>
      </w:pPr>
    </w:p>
    <w:p>
      <w:pPr>
        <w:pStyle w:val="Heading2"/>
      </w:pPr>
      <w:r>
        <w:rPr>
          <w:rFonts w:ascii="Calibri" w:hAnsi="Calibri" w:eastAsia="Microsoft YaHei" w:cs="Calibri"/>
          <w:b/>
          <w:color w:val="1F4E79"/>
          <w:sz w:val="28"/>
        </w:rPr>
        <w:t>4. EPS forecast by name and probability of beating consensus</w:t>
      </w:r>
    </w:p>
    <w:p>
      <w:r>
        <w:rPr>
          <w:rFonts w:ascii="Consolas" w:hAnsi="Consolas" w:eastAsia="Microsoft YaHei" w:cs="Consolas"/>
          <w:color w:val="8B1A1A"/>
          <w:sz w:val="19"/>
        </w:rPr>
        <w:t>q3_model.csv</w:t>
      </w:r>
      <w:r>
        <w:rPr>
          <w:rFonts w:ascii="Calibri" w:hAnsi="Calibri" w:eastAsia="Microsoft YaHei" w:cs="Calibri"/>
          <w:sz w:val="21"/>
        </w:rPr>
        <w:t xml:space="preserve"> (driver method = item-by-item bridge; prior method = prior). Consensus comes from several aggregator pages that disagree; sources are recorded in </w:t>
      </w:r>
      <w:r>
        <w:rPr>
          <w:rFonts w:ascii="Consolas" w:hAnsi="Consolas" w:eastAsia="Microsoft YaHei" w:cs="Consolas"/>
          <w:color w:val="8B1A1A"/>
          <w:sz w:val="19"/>
        </w:rPr>
        <w:t>consensus_q3_2026.csv</w:t>
      </w:r>
      <w:r>
        <w:rPr>
          <w:rFonts w:ascii="Calibri" w:hAnsi="Calibri" w:eastAsia="Microsoft YaHei" w:cs="Calibri"/>
          <w:sz w:val="21"/>
        </w:rPr>
        <w:t>.</w:t>
      </w:r>
    </w:p>
    <w:tbl>
      <w:tblPr>
        <w:tblStyle w:val="TableGrid"/>
        <w:tblW w:type="auto" w:w="0"/>
        <w:jc w:val="center"/>
        <w:tblLayout w:type="fixed"/>
        <w:tblLook w:firstColumn="1" w:firstRow="1" w:lastColumn="0" w:lastRow="0" w:noHBand="0" w:noVBand="1" w:val="04A0"/>
      </w:tblPr>
      <w:tblGrid>
        <w:gridCol w:w="697"/>
        <w:gridCol w:w="697"/>
        <w:gridCol w:w="965"/>
        <w:gridCol w:w="1049"/>
        <w:gridCol w:w="1049"/>
        <w:gridCol w:w="965"/>
        <w:gridCol w:w="789"/>
        <w:gridCol w:w="878"/>
        <w:gridCol w:w="2661"/>
      </w:tblGrid>
      <w:tr>
        <w:trPr>
          <w:tblHeader w:val="true"/>
          <w:cantSplit/>
        </w:trPr>
        <w:tc>
          <w:tcPr>
            <w:tcW w:type="dxa" w:w="697"/>
            <w:shd w:val="clear" w:color="auto" w:fill="1F4E79"/>
          </w:tcPr>
          <w:p>
            <w:pPr>
              <w:spacing w:after="20" w:before="20" w:line="252" w:lineRule="auto"/>
              <w:jc w:val="center"/>
            </w:pPr>
            <w:r>
              <w:rPr>
                <w:rFonts w:ascii="Calibri" w:hAnsi="Calibri" w:eastAsia="Microsoft YaHei" w:cs="Calibri"/>
                <w:b/>
                <w:color w:val="FFFFFF"/>
                <w:sz w:val="15"/>
              </w:rPr>
              <w:t>Ticker</w:t>
            </w:r>
          </w:p>
        </w:tc>
        <w:tc>
          <w:tcPr>
            <w:tcW w:type="dxa" w:w="697"/>
            <w:shd w:val="clear" w:color="auto" w:fill="1F4E79"/>
          </w:tcPr>
          <w:p>
            <w:pPr>
              <w:spacing w:after="20" w:before="20" w:line="252" w:lineRule="auto"/>
              <w:jc w:val="center"/>
            </w:pPr>
            <w:r>
              <w:rPr>
                <w:rFonts w:ascii="Calibri" w:hAnsi="Calibri" w:eastAsia="Microsoft YaHei" w:cs="Calibri"/>
                <w:b/>
                <w:color w:val="FFFFFF"/>
                <w:sz w:val="15"/>
              </w:rPr>
              <w:t>Q2 EPS</w:t>
            </w:r>
          </w:p>
        </w:tc>
        <w:tc>
          <w:tcPr>
            <w:tcW w:type="dxa" w:w="965"/>
            <w:shd w:val="clear" w:color="auto" w:fill="1F4E79"/>
          </w:tcPr>
          <w:p>
            <w:pPr>
              <w:spacing w:after="20" w:before="20" w:line="252" w:lineRule="auto"/>
              <w:jc w:val="center"/>
            </w:pPr>
            <w:r>
              <w:rPr>
                <w:rFonts w:ascii="Calibri" w:hAnsi="Calibri" w:eastAsia="Microsoft YaHei" w:cs="Calibri"/>
                <w:b/>
                <w:color w:val="FFFFFF"/>
                <w:sz w:val="15"/>
              </w:rPr>
              <w:t>Consensus</w:t>
            </w:r>
          </w:p>
        </w:tc>
        <w:tc>
          <w:tcPr>
            <w:tcW w:type="dxa" w:w="1049"/>
            <w:shd w:val="clear" w:color="auto" w:fill="1F4E79"/>
          </w:tcPr>
          <w:p>
            <w:pPr>
              <w:spacing w:after="20" w:before="20" w:line="252" w:lineRule="auto"/>
              <w:jc w:val="center"/>
            </w:pPr>
            <w:r>
              <w:rPr>
                <w:rFonts w:ascii="Calibri" w:hAnsi="Calibri" w:eastAsia="Microsoft YaHei" w:cs="Calibri"/>
                <w:b/>
                <w:color w:val="FFFFFF"/>
                <w:sz w:val="15"/>
              </w:rPr>
              <w:t>Model mean</w:t>
            </w:r>
          </w:p>
        </w:tc>
        <w:tc>
          <w:tcPr>
            <w:tcW w:type="dxa" w:w="1049"/>
            <w:shd w:val="clear" w:color="auto" w:fill="1F4E79"/>
          </w:tcPr>
          <w:p>
            <w:pPr>
              <w:spacing w:after="20" w:before="20" w:line="252" w:lineRule="auto"/>
              <w:jc w:val="center"/>
            </w:pPr>
            <w:r>
              <w:rPr>
                <w:rFonts w:ascii="Calibri" w:hAnsi="Calibri" w:eastAsia="Microsoft YaHei" w:cs="Calibri"/>
                <w:b/>
                <w:color w:val="FFFFFF"/>
                <w:sz w:val="15"/>
              </w:rPr>
              <w:t>P10-P90</w:t>
            </w:r>
          </w:p>
        </w:tc>
        <w:tc>
          <w:tcPr>
            <w:tcW w:type="dxa" w:w="965"/>
            <w:shd w:val="clear" w:color="auto" w:fill="1F4E79"/>
          </w:tcPr>
          <w:p>
            <w:pPr>
              <w:spacing w:after="20" w:before="20" w:line="252" w:lineRule="auto"/>
              <w:jc w:val="center"/>
            </w:pPr>
            <w:r>
              <w:rPr>
                <w:rFonts w:ascii="Calibri" w:hAnsi="Calibri" w:eastAsia="Microsoft YaHei" w:cs="Calibri"/>
                <w:b/>
                <w:color w:val="FFFFFF"/>
                <w:sz w:val="15"/>
              </w:rPr>
              <w:t>vs. cons.</w:t>
            </w:r>
          </w:p>
        </w:tc>
        <w:tc>
          <w:tcPr>
            <w:tcW w:type="dxa" w:w="789"/>
            <w:shd w:val="clear" w:color="auto" w:fill="1F4E79"/>
          </w:tcPr>
          <w:p>
            <w:pPr>
              <w:spacing w:after="20" w:before="20" w:line="252" w:lineRule="auto"/>
              <w:jc w:val="center"/>
            </w:pPr>
            <w:r>
              <w:rPr>
                <w:rFonts w:ascii="Calibri" w:hAnsi="Calibri" w:eastAsia="Microsoft YaHei" w:cs="Calibri"/>
                <w:b/>
                <w:color w:val="FFFFFF"/>
                <w:sz w:val="15"/>
              </w:rPr>
              <w:t>P(beat)</w:t>
            </w:r>
          </w:p>
        </w:tc>
        <w:tc>
          <w:tcPr>
            <w:tcW w:type="dxa" w:w="878"/>
            <w:shd w:val="clear" w:color="auto" w:fill="1F4E79"/>
          </w:tcPr>
          <w:p>
            <w:pPr>
              <w:spacing w:after="20" w:before="20" w:line="252" w:lineRule="auto"/>
              <w:jc w:val="center"/>
            </w:pPr>
            <w:r>
              <w:rPr>
                <w:rFonts w:ascii="Calibri" w:hAnsi="Calibri" w:eastAsia="Microsoft YaHei" w:cs="Calibri"/>
                <w:b/>
                <w:color w:val="FFFFFF"/>
                <w:sz w:val="15"/>
              </w:rPr>
              <w:t>P(&lt; -3%)</w:t>
            </w:r>
          </w:p>
        </w:tc>
        <w:tc>
          <w:tcPr>
            <w:tcW w:type="dxa" w:w="2661"/>
            <w:shd w:val="clear" w:color="auto" w:fill="1F4E79"/>
          </w:tcPr>
          <w:p>
            <w:pPr>
              <w:spacing w:after="20" w:before="20" w:line="252" w:lineRule="auto"/>
              <w:jc w:val="center"/>
            </w:pPr>
            <w:r>
              <w:rPr>
                <w:rFonts w:ascii="Calibri" w:hAnsi="Calibri" w:eastAsia="Microsoft YaHei" w:cs="Calibri"/>
                <w:b/>
                <w:color w:val="FFFFFF"/>
                <w:sz w:val="15"/>
              </w:rPr>
              <w:t>Method</w:t>
            </w:r>
          </w:p>
        </w:tc>
      </w:tr>
      <w:tr>
        <w:trPr>
          <w:cantSplit/>
        </w:trPr>
        <w:tc>
          <w:tcPr>
            <w:tcW w:type="dxa" w:w="697"/>
          </w:tcPr>
          <w:p>
            <w:pPr>
              <w:spacing w:after="20" w:before="20" w:line="252" w:lineRule="auto"/>
              <w:jc w:val="left"/>
            </w:pPr>
            <w:r>
              <w:rPr>
                <w:rFonts w:ascii="Calibri" w:hAnsi="Calibri" w:eastAsia="Microsoft YaHei" w:cs="Calibri"/>
                <w:sz w:val="15"/>
              </w:rPr>
              <w:t>FITB</w:t>
            </w:r>
          </w:p>
        </w:tc>
        <w:tc>
          <w:tcPr>
            <w:tcW w:type="dxa" w:w="697"/>
          </w:tcPr>
          <w:p>
            <w:pPr>
              <w:spacing w:after="20" w:before="20" w:line="252" w:lineRule="auto"/>
              <w:jc w:val="center"/>
            </w:pPr>
            <w:r>
              <w:rPr>
                <w:rFonts w:ascii="Calibri" w:hAnsi="Calibri" w:eastAsia="Microsoft YaHei" w:cs="Calibri"/>
                <w:sz w:val="15"/>
              </w:rPr>
              <w:t>0.83</w:t>
            </w:r>
          </w:p>
        </w:tc>
        <w:tc>
          <w:tcPr>
            <w:tcW w:type="dxa" w:w="965"/>
          </w:tcPr>
          <w:p>
            <w:pPr>
              <w:spacing w:after="20" w:before="20" w:line="252" w:lineRule="auto"/>
              <w:jc w:val="center"/>
            </w:pPr>
            <w:r>
              <w:rPr>
                <w:rFonts w:ascii="Calibri" w:hAnsi="Calibri" w:eastAsia="Microsoft YaHei" w:cs="Calibri"/>
                <w:sz w:val="15"/>
              </w:rPr>
              <w:t>0.84</w:t>
            </w:r>
          </w:p>
        </w:tc>
        <w:tc>
          <w:tcPr>
            <w:tcW w:type="dxa" w:w="1049"/>
          </w:tcPr>
          <w:p>
            <w:pPr>
              <w:spacing w:after="20" w:before="20" w:line="252" w:lineRule="auto"/>
              <w:jc w:val="center"/>
            </w:pPr>
            <w:r>
              <w:rPr>
                <w:rFonts w:ascii="Calibri" w:hAnsi="Calibri" w:eastAsia="Microsoft YaHei" w:cs="Calibri"/>
                <w:sz w:val="15"/>
              </w:rPr>
              <w:t>0.95</w:t>
            </w:r>
          </w:p>
        </w:tc>
        <w:tc>
          <w:tcPr>
            <w:tcW w:type="dxa" w:w="1049"/>
          </w:tcPr>
          <w:p>
            <w:pPr>
              <w:spacing w:after="20" w:before="20" w:line="252" w:lineRule="auto"/>
              <w:jc w:val="center"/>
            </w:pPr>
            <w:r>
              <w:rPr>
                <w:rFonts w:ascii="Calibri" w:hAnsi="Calibri" w:eastAsia="Microsoft YaHei" w:cs="Calibri"/>
                <w:sz w:val="15"/>
              </w:rPr>
              <w:t>0.81-1.08</w:t>
            </w:r>
          </w:p>
        </w:tc>
        <w:tc>
          <w:tcPr>
            <w:tcW w:type="dxa" w:w="965"/>
          </w:tcPr>
          <w:p>
            <w:pPr>
              <w:spacing w:after="20" w:before="20" w:line="252" w:lineRule="auto"/>
              <w:jc w:val="center"/>
            </w:pPr>
            <w:r>
              <w:rPr>
                <w:rFonts w:ascii="Calibri" w:hAnsi="Calibri" w:eastAsia="Microsoft YaHei" w:cs="Calibri"/>
                <w:sz w:val="15"/>
              </w:rPr>
              <w:t>+12.5%</w:t>
            </w:r>
          </w:p>
        </w:tc>
        <w:tc>
          <w:tcPr>
            <w:tcW w:type="dxa" w:w="789"/>
          </w:tcPr>
          <w:p>
            <w:pPr>
              <w:spacing w:after="20" w:before="20" w:line="252" w:lineRule="auto"/>
              <w:jc w:val="center"/>
            </w:pPr>
            <w:r>
              <w:rPr>
                <w:rFonts w:ascii="Calibri" w:hAnsi="Calibri" w:eastAsia="Microsoft YaHei" w:cs="Calibri"/>
                <w:sz w:val="15"/>
              </w:rPr>
              <w:t>84%</w:t>
            </w:r>
          </w:p>
        </w:tc>
        <w:tc>
          <w:tcPr>
            <w:tcW w:type="dxa" w:w="878"/>
          </w:tcPr>
          <w:p>
            <w:pPr>
              <w:spacing w:after="20" w:before="20" w:line="252" w:lineRule="auto"/>
              <w:jc w:val="center"/>
            </w:pPr>
            <w:r>
              <w:rPr>
                <w:rFonts w:ascii="Calibri" w:hAnsi="Calibri" w:eastAsia="Microsoft YaHei" w:cs="Calibri"/>
                <w:sz w:val="15"/>
              </w:rPr>
              <w:t>11%</w:t>
            </w:r>
          </w:p>
        </w:tc>
        <w:tc>
          <w:tcPr>
            <w:tcW w:type="dxa" w:w="2661"/>
          </w:tcPr>
          <w:p>
            <w:pPr>
              <w:spacing w:after="20" w:before="20" w:line="252" w:lineRule="auto"/>
              <w:jc w:val="center"/>
            </w:pPr>
            <w:r>
              <w:rPr>
                <w:rFonts w:ascii="Calibri" w:hAnsi="Calibri" w:eastAsia="Microsoft YaHei" w:cs="Calibri"/>
                <w:sz w:val="15"/>
              </w:rPr>
              <w:t>driver</w:t>
            </w:r>
          </w:p>
        </w:tc>
      </w:tr>
      <w:tr>
        <w:trPr>
          <w:cantSplit/>
        </w:trPr>
        <w:tc>
          <w:tcPr>
            <w:tcW w:type="dxa" w:w="697"/>
            <w:shd w:val="clear" w:color="auto" w:fill="F2F5F9"/>
          </w:tcPr>
          <w:p>
            <w:pPr>
              <w:spacing w:after="20" w:before="20" w:line="252" w:lineRule="auto"/>
              <w:jc w:val="left"/>
            </w:pPr>
            <w:r>
              <w:rPr>
                <w:rFonts w:ascii="Calibri" w:hAnsi="Calibri" w:eastAsia="Microsoft YaHei" w:cs="Calibri"/>
                <w:sz w:val="15"/>
              </w:rPr>
              <w:t>C</w:t>
            </w:r>
          </w:p>
        </w:tc>
        <w:tc>
          <w:tcPr>
            <w:tcW w:type="dxa" w:w="697"/>
            <w:shd w:val="clear" w:color="auto" w:fill="F2F5F9"/>
          </w:tcPr>
          <w:p>
            <w:pPr>
              <w:spacing w:after="20" w:before="20" w:line="252" w:lineRule="auto"/>
              <w:jc w:val="center"/>
            </w:pPr>
            <w:r>
              <w:rPr>
                <w:rFonts w:ascii="Calibri" w:hAnsi="Calibri" w:eastAsia="Microsoft YaHei" w:cs="Calibri"/>
                <w:sz w:val="15"/>
              </w:rPr>
              <w:t>3.15</w:t>
            </w:r>
          </w:p>
        </w:tc>
        <w:tc>
          <w:tcPr>
            <w:tcW w:type="dxa" w:w="965"/>
            <w:shd w:val="clear" w:color="auto" w:fill="F2F5F9"/>
          </w:tcPr>
          <w:p>
            <w:pPr>
              <w:spacing w:after="20" w:before="20" w:line="252" w:lineRule="auto"/>
              <w:jc w:val="center"/>
            </w:pPr>
            <w:r>
              <w:rPr>
                <w:rFonts w:ascii="Calibri" w:hAnsi="Calibri" w:eastAsia="Microsoft YaHei" w:cs="Calibri"/>
                <w:sz w:val="15"/>
              </w:rPr>
              <w:t>2.64</w:t>
            </w:r>
          </w:p>
        </w:tc>
        <w:tc>
          <w:tcPr>
            <w:tcW w:type="dxa" w:w="1049"/>
            <w:shd w:val="clear" w:color="auto" w:fill="F2F5F9"/>
          </w:tcPr>
          <w:p>
            <w:pPr>
              <w:spacing w:after="20" w:before="20" w:line="252" w:lineRule="auto"/>
              <w:jc w:val="center"/>
            </w:pPr>
            <w:r>
              <w:rPr>
                <w:rFonts w:ascii="Calibri" w:hAnsi="Calibri" w:eastAsia="Microsoft YaHei" w:cs="Calibri"/>
                <w:sz w:val="15"/>
              </w:rPr>
              <w:t>2.96</w:t>
            </w:r>
          </w:p>
        </w:tc>
        <w:tc>
          <w:tcPr>
            <w:tcW w:type="dxa" w:w="1049"/>
            <w:shd w:val="clear" w:color="auto" w:fill="F2F5F9"/>
          </w:tcPr>
          <w:p>
            <w:pPr>
              <w:spacing w:after="20" w:before="20" w:line="252" w:lineRule="auto"/>
              <w:jc w:val="center"/>
            </w:pPr>
            <w:r>
              <w:rPr>
                <w:rFonts w:ascii="Calibri" w:hAnsi="Calibri" w:eastAsia="Microsoft YaHei" w:cs="Calibri"/>
                <w:sz w:val="15"/>
              </w:rPr>
              <w:t>2.58-3.34</w:t>
            </w:r>
          </w:p>
        </w:tc>
        <w:tc>
          <w:tcPr>
            <w:tcW w:type="dxa" w:w="965"/>
            <w:shd w:val="clear" w:color="auto" w:fill="F2F5F9"/>
          </w:tcPr>
          <w:p>
            <w:pPr>
              <w:spacing w:after="20" w:before="20" w:line="252" w:lineRule="auto"/>
              <w:jc w:val="center"/>
            </w:pPr>
            <w:r>
              <w:rPr>
                <w:rFonts w:ascii="Calibri" w:hAnsi="Calibri" w:eastAsia="Microsoft YaHei" w:cs="Calibri"/>
                <w:sz w:val="15"/>
              </w:rPr>
              <w:t>+11.9%</w:t>
            </w:r>
          </w:p>
        </w:tc>
        <w:tc>
          <w:tcPr>
            <w:tcW w:type="dxa" w:w="789"/>
            <w:shd w:val="clear" w:color="auto" w:fill="F2F5F9"/>
          </w:tcPr>
          <w:p>
            <w:pPr>
              <w:spacing w:after="20" w:before="20" w:line="252" w:lineRule="auto"/>
              <w:jc w:val="center"/>
            </w:pPr>
            <w:r>
              <w:rPr>
                <w:rFonts w:ascii="Calibri" w:hAnsi="Calibri" w:eastAsia="Microsoft YaHei" w:cs="Calibri"/>
                <w:sz w:val="15"/>
              </w:rPr>
              <w:t>86%</w:t>
            </w:r>
          </w:p>
        </w:tc>
        <w:tc>
          <w:tcPr>
            <w:tcW w:type="dxa" w:w="878"/>
            <w:shd w:val="clear" w:color="auto" w:fill="F2F5F9"/>
          </w:tcPr>
          <w:p>
            <w:pPr>
              <w:spacing w:after="20" w:before="20" w:line="252" w:lineRule="auto"/>
              <w:jc w:val="center"/>
            </w:pPr>
            <w:r>
              <w:rPr>
                <w:rFonts w:ascii="Calibri" w:hAnsi="Calibri" w:eastAsia="Microsoft YaHei" w:cs="Calibri"/>
                <w:sz w:val="15"/>
              </w:rPr>
              <w:t>9%</w:t>
            </w:r>
          </w:p>
        </w:tc>
        <w:tc>
          <w:tcPr>
            <w:tcW w:type="dxa" w:w="2661"/>
            <w:shd w:val="clear" w:color="auto" w:fill="F2F5F9"/>
          </w:tcPr>
          <w:p>
            <w:pPr>
              <w:spacing w:after="20" w:before="20" w:line="252" w:lineRule="auto"/>
              <w:jc w:val="center"/>
            </w:pPr>
            <w:r>
              <w:rPr>
                <w:rFonts w:ascii="Calibri" w:hAnsi="Calibri" w:eastAsia="Microsoft YaHei" w:cs="Calibri"/>
                <w:sz w:val="15"/>
              </w:rPr>
              <w:t>driver</w:t>
            </w:r>
          </w:p>
        </w:tc>
      </w:tr>
      <w:tr>
        <w:trPr>
          <w:cantSplit/>
        </w:trPr>
        <w:tc>
          <w:tcPr>
            <w:tcW w:type="dxa" w:w="697"/>
          </w:tcPr>
          <w:p>
            <w:pPr>
              <w:spacing w:after="20" w:before="20" w:line="252" w:lineRule="auto"/>
              <w:jc w:val="left"/>
            </w:pPr>
            <w:r>
              <w:rPr>
                <w:rFonts w:ascii="Calibri" w:hAnsi="Calibri" w:eastAsia="Microsoft YaHei" w:cs="Calibri"/>
                <w:sz w:val="15"/>
              </w:rPr>
              <w:t>MS</w:t>
            </w:r>
          </w:p>
        </w:tc>
        <w:tc>
          <w:tcPr>
            <w:tcW w:type="dxa" w:w="697"/>
          </w:tcPr>
          <w:p>
            <w:pPr>
              <w:spacing w:after="20" w:before="20" w:line="252" w:lineRule="auto"/>
              <w:jc w:val="center"/>
            </w:pPr>
            <w:r>
              <w:rPr>
                <w:rFonts w:ascii="Calibri" w:hAnsi="Calibri" w:eastAsia="Microsoft YaHei" w:cs="Calibri"/>
                <w:sz w:val="15"/>
              </w:rPr>
              <w:t>3.46</w:t>
            </w:r>
          </w:p>
        </w:tc>
        <w:tc>
          <w:tcPr>
            <w:tcW w:type="dxa" w:w="965"/>
          </w:tcPr>
          <w:p>
            <w:pPr>
              <w:spacing w:after="20" w:before="20" w:line="252" w:lineRule="auto"/>
              <w:jc w:val="center"/>
            </w:pPr>
            <w:r>
              <w:rPr>
                <w:rFonts w:ascii="Calibri" w:hAnsi="Calibri" w:eastAsia="Microsoft YaHei" w:cs="Calibri"/>
                <w:sz w:val="15"/>
              </w:rPr>
              <w:t>3.09</w:t>
            </w:r>
          </w:p>
        </w:tc>
        <w:tc>
          <w:tcPr>
            <w:tcW w:type="dxa" w:w="1049"/>
          </w:tcPr>
          <w:p>
            <w:pPr>
              <w:spacing w:after="20" w:before="20" w:line="252" w:lineRule="auto"/>
              <w:jc w:val="center"/>
            </w:pPr>
            <w:r>
              <w:rPr>
                <w:rFonts w:ascii="Calibri" w:hAnsi="Calibri" w:eastAsia="Microsoft YaHei" w:cs="Calibri"/>
                <w:sz w:val="15"/>
              </w:rPr>
              <w:t>3.30</w:t>
            </w:r>
          </w:p>
        </w:tc>
        <w:tc>
          <w:tcPr>
            <w:tcW w:type="dxa" w:w="1049"/>
          </w:tcPr>
          <w:p>
            <w:pPr>
              <w:spacing w:after="20" w:before="20" w:line="252" w:lineRule="auto"/>
              <w:jc w:val="center"/>
            </w:pPr>
            <w:r>
              <w:rPr>
                <w:rFonts w:ascii="Calibri" w:hAnsi="Calibri" w:eastAsia="Microsoft YaHei" w:cs="Calibri"/>
                <w:sz w:val="15"/>
              </w:rPr>
              <w:t>2.81-3.80</w:t>
            </w:r>
          </w:p>
        </w:tc>
        <w:tc>
          <w:tcPr>
            <w:tcW w:type="dxa" w:w="965"/>
          </w:tcPr>
          <w:p>
            <w:pPr>
              <w:spacing w:after="20" w:before="20" w:line="252" w:lineRule="auto"/>
              <w:jc w:val="center"/>
            </w:pPr>
            <w:r>
              <w:rPr>
                <w:rFonts w:ascii="Calibri" w:hAnsi="Calibri" w:eastAsia="Microsoft YaHei" w:cs="Calibri"/>
                <w:sz w:val="15"/>
              </w:rPr>
              <w:t>+6.9%</w:t>
            </w:r>
          </w:p>
        </w:tc>
        <w:tc>
          <w:tcPr>
            <w:tcW w:type="dxa" w:w="789"/>
          </w:tcPr>
          <w:p>
            <w:pPr>
              <w:spacing w:after="20" w:before="20" w:line="252" w:lineRule="auto"/>
              <w:jc w:val="center"/>
            </w:pPr>
            <w:r>
              <w:rPr>
                <w:rFonts w:ascii="Calibri" w:hAnsi="Calibri" w:eastAsia="Microsoft YaHei" w:cs="Calibri"/>
                <w:sz w:val="15"/>
              </w:rPr>
              <w:t>71%</w:t>
            </w:r>
          </w:p>
        </w:tc>
        <w:tc>
          <w:tcPr>
            <w:tcW w:type="dxa" w:w="878"/>
          </w:tcPr>
          <w:p>
            <w:pPr>
              <w:spacing w:after="20" w:before="20" w:line="252" w:lineRule="auto"/>
              <w:jc w:val="center"/>
            </w:pPr>
            <w:r>
              <w:rPr>
                <w:rFonts w:ascii="Calibri" w:hAnsi="Calibri" w:eastAsia="Microsoft YaHei" w:cs="Calibri"/>
                <w:sz w:val="15"/>
              </w:rPr>
              <w:t>22%</w:t>
            </w:r>
          </w:p>
        </w:tc>
        <w:tc>
          <w:tcPr>
            <w:tcW w:type="dxa" w:w="2661"/>
          </w:tcPr>
          <w:p>
            <w:pPr>
              <w:spacing w:after="20" w:before="20" w:line="252" w:lineRule="auto"/>
              <w:jc w:val="center"/>
            </w:pPr>
            <w:r>
              <w:rPr>
                <w:rFonts w:ascii="Calibri" w:hAnsi="Calibri" w:eastAsia="Microsoft YaHei" w:cs="Calibri"/>
                <w:sz w:val="15"/>
              </w:rPr>
              <w:t>driver</w:t>
            </w:r>
          </w:p>
        </w:tc>
      </w:tr>
      <w:tr>
        <w:trPr>
          <w:cantSplit/>
        </w:trPr>
        <w:tc>
          <w:tcPr>
            <w:tcW w:type="dxa" w:w="697"/>
            <w:shd w:val="clear" w:color="auto" w:fill="F2F5F9"/>
          </w:tcPr>
          <w:p>
            <w:pPr>
              <w:spacing w:after="20" w:before="20" w:line="252" w:lineRule="auto"/>
              <w:jc w:val="left"/>
            </w:pPr>
            <w:r>
              <w:rPr>
                <w:rFonts w:ascii="Calibri" w:hAnsi="Calibri" w:eastAsia="Microsoft YaHei" w:cs="Calibri"/>
                <w:sz w:val="15"/>
              </w:rPr>
              <w:t>TFC</w:t>
            </w:r>
          </w:p>
        </w:tc>
        <w:tc>
          <w:tcPr>
            <w:tcW w:type="dxa" w:w="697"/>
            <w:shd w:val="clear" w:color="auto" w:fill="F2F5F9"/>
          </w:tcPr>
          <w:p>
            <w:pPr>
              <w:spacing w:after="20" w:before="20" w:line="252" w:lineRule="auto"/>
              <w:jc w:val="center"/>
            </w:pPr>
            <w:r>
              <w:rPr>
                <w:rFonts w:ascii="Calibri" w:hAnsi="Calibri" w:eastAsia="Microsoft YaHei" w:cs="Calibri"/>
                <w:sz w:val="15"/>
              </w:rPr>
              <w:t>1.23</w:t>
            </w:r>
          </w:p>
        </w:tc>
        <w:tc>
          <w:tcPr>
            <w:tcW w:type="dxa" w:w="965"/>
            <w:shd w:val="clear" w:color="auto" w:fill="F2F5F9"/>
          </w:tcPr>
          <w:p>
            <w:pPr>
              <w:spacing w:after="20" w:before="20" w:line="252" w:lineRule="auto"/>
              <w:jc w:val="center"/>
            </w:pPr>
            <w:r>
              <w:rPr>
                <w:rFonts w:ascii="Calibri" w:hAnsi="Calibri" w:eastAsia="Microsoft YaHei" w:cs="Calibri"/>
                <w:sz w:val="15"/>
              </w:rPr>
              <w:t>1.12</w:t>
            </w:r>
          </w:p>
        </w:tc>
        <w:tc>
          <w:tcPr>
            <w:tcW w:type="dxa" w:w="1049"/>
            <w:shd w:val="clear" w:color="auto" w:fill="F2F5F9"/>
          </w:tcPr>
          <w:p>
            <w:pPr>
              <w:spacing w:after="20" w:before="20" w:line="252" w:lineRule="auto"/>
              <w:jc w:val="center"/>
            </w:pPr>
            <w:r>
              <w:rPr>
                <w:rFonts w:ascii="Calibri" w:hAnsi="Calibri" w:eastAsia="Microsoft YaHei" w:cs="Calibri"/>
                <w:sz w:val="15"/>
              </w:rPr>
              <w:t>1.19</w:t>
            </w:r>
          </w:p>
        </w:tc>
        <w:tc>
          <w:tcPr>
            <w:tcW w:type="dxa" w:w="1049"/>
            <w:shd w:val="clear" w:color="auto" w:fill="F2F5F9"/>
          </w:tcPr>
          <w:p>
            <w:pPr>
              <w:spacing w:after="20" w:before="20" w:line="252" w:lineRule="auto"/>
              <w:jc w:val="center"/>
            </w:pPr>
            <w:r>
              <w:rPr>
                <w:rFonts w:ascii="Calibri" w:hAnsi="Calibri" w:eastAsia="Microsoft YaHei" w:cs="Calibri"/>
                <w:sz w:val="15"/>
              </w:rPr>
              <w:t>1.08-1.30</w:t>
            </w:r>
          </w:p>
        </w:tc>
        <w:tc>
          <w:tcPr>
            <w:tcW w:type="dxa" w:w="965"/>
            <w:shd w:val="clear" w:color="auto" w:fill="F2F5F9"/>
          </w:tcPr>
          <w:p>
            <w:pPr>
              <w:spacing w:after="20" w:before="20" w:line="252" w:lineRule="auto"/>
              <w:jc w:val="center"/>
            </w:pPr>
            <w:r>
              <w:rPr>
                <w:rFonts w:ascii="Calibri" w:hAnsi="Calibri" w:eastAsia="Microsoft YaHei" w:cs="Calibri"/>
                <w:sz w:val="15"/>
              </w:rPr>
              <w:t>+6.3%</w:t>
            </w:r>
          </w:p>
        </w:tc>
        <w:tc>
          <w:tcPr>
            <w:tcW w:type="dxa" w:w="789"/>
            <w:shd w:val="clear" w:color="auto" w:fill="F2F5F9"/>
          </w:tcPr>
          <w:p>
            <w:pPr>
              <w:spacing w:after="20" w:before="20" w:line="252" w:lineRule="auto"/>
              <w:jc w:val="center"/>
            </w:pPr>
            <w:r>
              <w:rPr>
                <w:rFonts w:ascii="Calibri" w:hAnsi="Calibri" w:eastAsia="Microsoft YaHei" w:cs="Calibri"/>
                <w:sz w:val="15"/>
              </w:rPr>
              <w:t>80%</w:t>
            </w:r>
          </w:p>
        </w:tc>
        <w:tc>
          <w:tcPr>
            <w:tcW w:type="dxa" w:w="878"/>
            <w:shd w:val="clear" w:color="auto" w:fill="F2F5F9"/>
          </w:tcPr>
          <w:p>
            <w:pPr>
              <w:spacing w:after="20" w:before="20" w:line="252" w:lineRule="auto"/>
              <w:jc w:val="center"/>
            </w:pPr>
            <w:r>
              <w:rPr>
                <w:rFonts w:ascii="Calibri" w:hAnsi="Calibri" w:eastAsia="Microsoft YaHei" w:cs="Calibri"/>
                <w:sz w:val="15"/>
              </w:rPr>
              <w:t>11%</w:t>
            </w:r>
          </w:p>
        </w:tc>
        <w:tc>
          <w:tcPr>
            <w:tcW w:type="dxa" w:w="2661"/>
            <w:shd w:val="clear" w:color="auto" w:fill="F2F5F9"/>
          </w:tcPr>
          <w:p>
            <w:pPr>
              <w:spacing w:after="20" w:before="20" w:line="252" w:lineRule="auto"/>
              <w:jc w:val="left"/>
            </w:pPr>
            <w:r>
              <w:rPr>
                <w:rFonts w:ascii="Calibri" w:hAnsi="Calibri" w:eastAsia="Microsoft YaHei" w:cs="Calibri"/>
                <w:sz w:val="15"/>
              </w:rPr>
              <w:t>driver (single-source consensus)</w:t>
            </w:r>
          </w:p>
        </w:tc>
      </w:tr>
      <w:tr>
        <w:trPr>
          <w:cantSplit/>
        </w:trPr>
        <w:tc>
          <w:tcPr>
            <w:tcW w:type="dxa" w:w="697"/>
          </w:tcPr>
          <w:p>
            <w:pPr>
              <w:spacing w:after="20" w:before="20" w:line="252" w:lineRule="auto"/>
              <w:jc w:val="left"/>
            </w:pPr>
            <w:r>
              <w:rPr>
                <w:rFonts w:ascii="Calibri" w:hAnsi="Calibri" w:eastAsia="Microsoft YaHei" w:cs="Calibri"/>
                <w:sz w:val="15"/>
              </w:rPr>
              <w:t>JPM</w:t>
            </w:r>
          </w:p>
        </w:tc>
        <w:tc>
          <w:tcPr>
            <w:tcW w:type="dxa" w:w="697"/>
          </w:tcPr>
          <w:p>
            <w:pPr>
              <w:spacing w:after="20" w:before="20" w:line="252" w:lineRule="auto"/>
              <w:jc w:val="center"/>
            </w:pPr>
            <w:r>
              <w:rPr>
                <w:rFonts w:ascii="Calibri" w:hAnsi="Calibri" w:eastAsia="Microsoft YaHei" w:cs="Calibri"/>
                <w:sz w:val="15"/>
              </w:rPr>
              <w:t>6.14</w:t>
            </w:r>
          </w:p>
        </w:tc>
        <w:tc>
          <w:tcPr>
            <w:tcW w:type="dxa" w:w="965"/>
          </w:tcPr>
          <w:p>
            <w:pPr>
              <w:spacing w:after="20" w:before="20" w:line="252" w:lineRule="auto"/>
              <w:jc w:val="center"/>
            </w:pPr>
            <w:r>
              <w:rPr>
                <w:rFonts w:ascii="Calibri" w:hAnsi="Calibri" w:eastAsia="Microsoft YaHei" w:cs="Calibri"/>
                <w:sz w:val="15"/>
              </w:rPr>
              <w:t>5.86</w:t>
            </w:r>
          </w:p>
        </w:tc>
        <w:tc>
          <w:tcPr>
            <w:tcW w:type="dxa" w:w="1049"/>
          </w:tcPr>
          <w:p>
            <w:pPr>
              <w:spacing w:after="20" w:before="20" w:line="252" w:lineRule="auto"/>
              <w:jc w:val="center"/>
            </w:pPr>
            <w:r>
              <w:rPr>
                <w:rFonts w:ascii="Calibri" w:hAnsi="Calibri" w:eastAsia="Microsoft YaHei" w:cs="Calibri"/>
                <w:sz w:val="15"/>
              </w:rPr>
              <w:t>6.10</w:t>
            </w:r>
          </w:p>
        </w:tc>
        <w:tc>
          <w:tcPr>
            <w:tcW w:type="dxa" w:w="1049"/>
          </w:tcPr>
          <w:p>
            <w:pPr>
              <w:spacing w:after="20" w:before="20" w:line="252" w:lineRule="auto"/>
              <w:jc w:val="center"/>
            </w:pPr>
            <w:r>
              <w:rPr>
                <w:rFonts w:ascii="Calibri" w:hAnsi="Calibri" w:eastAsia="Microsoft YaHei" w:cs="Calibri"/>
                <w:sz w:val="15"/>
              </w:rPr>
              <w:t>5.66-6.54</w:t>
            </w:r>
          </w:p>
        </w:tc>
        <w:tc>
          <w:tcPr>
            <w:tcW w:type="dxa" w:w="965"/>
          </w:tcPr>
          <w:p>
            <w:pPr>
              <w:spacing w:after="20" w:before="20" w:line="252" w:lineRule="auto"/>
              <w:jc w:val="center"/>
            </w:pPr>
            <w:r>
              <w:rPr>
                <w:rFonts w:ascii="Calibri" w:hAnsi="Calibri" w:eastAsia="Microsoft YaHei" w:cs="Calibri"/>
                <w:sz w:val="15"/>
              </w:rPr>
              <w:t>+4.0%</w:t>
            </w:r>
          </w:p>
        </w:tc>
        <w:tc>
          <w:tcPr>
            <w:tcW w:type="dxa" w:w="789"/>
          </w:tcPr>
          <w:p>
            <w:pPr>
              <w:spacing w:after="20" w:before="20" w:line="252" w:lineRule="auto"/>
              <w:jc w:val="center"/>
            </w:pPr>
            <w:r>
              <w:rPr>
                <w:rFonts w:ascii="Calibri" w:hAnsi="Calibri" w:eastAsia="Microsoft YaHei" w:cs="Calibri"/>
                <w:sz w:val="15"/>
              </w:rPr>
              <w:t>75%</w:t>
            </w:r>
          </w:p>
        </w:tc>
        <w:tc>
          <w:tcPr>
            <w:tcW w:type="dxa" w:w="878"/>
          </w:tcPr>
          <w:p>
            <w:pPr>
              <w:spacing w:after="20" w:before="20" w:line="252" w:lineRule="auto"/>
              <w:jc w:val="center"/>
            </w:pPr>
            <w:r>
              <w:rPr>
                <w:rFonts w:ascii="Calibri" w:hAnsi="Calibri" w:eastAsia="Microsoft YaHei" w:cs="Calibri"/>
                <w:sz w:val="15"/>
              </w:rPr>
              <w:t>12%</w:t>
            </w:r>
          </w:p>
        </w:tc>
        <w:tc>
          <w:tcPr>
            <w:tcW w:type="dxa" w:w="2661"/>
          </w:tcPr>
          <w:p>
            <w:pPr>
              <w:spacing w:after="20" w:before="20" w:line="252" w:lineRule="auto"/>
              <w:jc w:val="center"/>
            </w:pPr>
            <w:r>
              <w:rPr>
                <w:rFonts w:ascii="Calibri" w:hAnsi="Calibri" w:eastAsia="Microsoft YaHei" w:cs="Calibri"/>
                <w:sz w:val="15"/>
              </w:rPr>
              <w:t>driver</w:t>
            </w:r>
          </w:p>
        </w:tc>
      </w:tr>
      <w:tr>
        <w:trPr>
          <w:cantSplit/>
        </w:trPr>
        <w:tc>
          <w:tcPr>
            <w:tcW w:type="dxa" w:w="697"/>
            <w:shd w:val="clear" w:color="auto" w:fill="F2F5F9"/>
          </w:tcPr>
          <w:p>
            <w:pPr>
              <w:spacing w:after="20" w:before="20" w:line="252" w:lineRule="auto"/>
              <w:jc w:val="left"/>
            </w:pPr>
            <w:r>
              <w:rPr>
                <w:rFonts w:ascii="Calibri" w:hAnsi="Calibri" w:eastAsia="Microsoft YaHei" w:cs="Calibri"/>
                <w:sz w:val="15"/>
              </w:rPr>
              <w:t>BNY</w:t>
            </w:r>
          </w:p>
        </w:tc>
        <w:tc>
          <w:tcPr>
            <w:tcW w:type="dxa" w:w="697"/>
            <w:shd w:val="clear" w:color="auto" w:fill="F2F5F9"/>
          </w:tcPr>
          <w:p>
            <w:pPr>
              <w:spacing w:after="20" w:before="20" w:line="252" w:lineRule="auto"/>
              <w:jc w:val="center"/>
            </w:pPr>
            <w:r>
              <w:rPr>
                <w:rFonts w:ascii="Calibri" w:hAnsi="Calibri" w:eastAsia="Microsoft YaHei" w:cs="Calibri"/>
                <w:sz w:val="15"/>
              </w:rPr>
              <w:t>2.45</w:t>
            </w:r>
          </w:p>
        </w:tc>
        <w:tc>
          <w:tcPr>
            <w:tcW w:type="dxa" w:w="965"/>
            <w:shd w:val="clear" w:color="auto" w:fill="F2F5F9"/>
          </w:tcPr>
          <w:p>
            <w:pPr>
              <w:spacing w:after="20" w:before="20" w:line="252" w:lineRule="auto"/>
              <w:jc w:val="center"/>
            </w:pPr>
            <w:r>
              <w:rPr>
                <w:rFonts w:ascii="Calibri" w:hAnsi="Calibri" w:eastAsia="Microsoft YaHei" w:cs="Calibri"/>
                <w:sz w:val="15"/>
              </w:rPr>
              <w:t>2.26</w:t>
            </w:r>
          </w:p>
        </w:tc>
        <w:tc>
          <w:tcPr>
            <w:tcW w:type="dxa" w:w="1049"/>
            <w:shd w:val="clear" w:color="auto" w:fill="F2F5F9"/>
          </w:tcPr>
          <w:p>
            <w:pPr>
              <w:spacing w:after="20" w:before="20" w:line="252" w:lineRule="auto"/>
              <w:jc w:val="center"/>
            </w:pPr>
            <w:r>
              <w:rPr>
                <w:rFonts w:ascii="Calibri" w:hAnsi="Calibri" w:eastAsia="Microsoft YaHei" w:cs="Calibri"/>
                <w:sz w:val="15"/>
              </w:rPr>
              <w:t>2.35</w:t>
            </w:r>
          </w:p>
        </w:tc>
        <w:tc>
          <w:tcPr>
            <w:tcW w:type="dxa" w:w="1049"/>
            <w:shd w:val="clear" w:color="auto" w:fill="F2F5F9"/>
          </w:tcPr>
          <w:p>
            <w:pPr>
              <w:spacing w:after="20" w:before="20" w:line="252" w:lineRule="auto"/>
              <w:jc w:val="center"/>
            </w:pPr>
            <w:r>
              <w:rPr>
                <w:rFonts w:ascii="Calibri" w:hAnsi="Calibri" w:eastAsia="Microsoft YaHei" w:cs="Calibri"/>
                <w:sz w:val="15"/>
              </w:rPr>
              <w:t>2.21-2.49</w:t>
            </w:r>
          </w:p>
        </w:tc>
        <w:tc>
          <w:tcPr>
            <w:tcW w:type="dxa" w:w="965"/>
            <w:shd w:val="clear" w:color="auto" w:fill="F2F5F9"/>
          </w:tcPr>
          <w:p>
            <w:pPr>
              <w:spacing w:after="20" w:before="20" w:line="252" w:lineRule="auto"/>
              <w:jc w:val="center"/>
            </w:pPr>
            <w:r>
              <w:rPr>
                <w:rFonts w:ascii="Calibri" w:hAnsi="Calibri" w:eastAsia="Microsoft YaHei" w:cs="Calibri"/>
                <w:sz w:val="15"/>
              </w:rPr>
              <w:t>+4.0%</w:t>
            </w:r>
          </w:p>
        </w:tc>
        <w:tc>
          <w:tcPr>
            <w:tcW w:type="dxa" w:w="789"/>
            <w:shd w:val="clear" w:color="auto" w:fill="F2F5F9"/>
          </w:tcPr>
          <w:p>
            <w:pPr>
              <w:spacing w:after="20" w:before="20" w:line="252" w:lineRule="auto"/>
              <w:jc w:val="center"/>
            </w:pPr>
            <w:r>
              <w:rPr>
                <w:rFonts w:ascii="Calibri" w:hAnsi="Calibri" w:eastAsia="Microsoft YaHei" w:cs="Calibri"/>
                <w:sz w:val="15"/>
              </w:rPr>
              <w:t>79%</w:t>
            </w:r>
          </w:p>
        </w:tc>
        <w:tc>
          <w:tcPr>
            <w:tcW w:type="dxa" w:w="878"/>
            <w:shd w:val="clear" w:color="auto" w:fill="F2F5F9"/>
          </w:tcPr>
          <w:p>
            <w:pPr>
              <w:spacing w:after="20" w:before="20" w:line="252" w:lineRule="auto"/>
              <w:jc w:val="center"/>
            </w:pPr>
            <w:r>
              <w:rPr>
                <w:rFonts w:ascii="Calibri" w:hAnsi="Calibri" w:eastAsia="Microsoft YaHei" w:cs="Calibri"/>
                <w:sz w:val="15"/>
              </w:rPr>
              <w:t>8%</w:t>
            </w:r>
          </w:p>
        </w:tc>
        <w:tc>
          <w:tcPr>
            <w:tcW w:type="dxa" w:w="2661"/>
            <w:shd w:val="clear" w:color="auto" w:fill="F2F5F9"/>
          </w:tcPr>
          <w:p>
            <w:pPr>
              <w:spacing w:after="20" w:before="20" w:line="252" w:lineRule="auto"/>
              <w:jc w:val="center"/>
            </w:pPr>
            <w:r>
              <w:rPr>
                <w:rFonts w:ascii="Calibri" w:hAnsi="Calibri" w:eastAsia="Microsoft YaHei" w:cs="Calibri"/>
                <w:sz w:val="15"/>
              </w:rPr>
              <w:t>prior</w:t>
            </w:r>
          </w:p>
        </w:tc>
      </w:tr>
      <w:tr>
        <w:trPr>
          <w:cantSplit/>
        </w:trPr>
        <w:tc>
          <w:tcPr>
            <w:tcW w:type="dxa" w:w="697"/>
          </w:tcPr>
          <w:p>
            <w:pPr>
              <w:spacing w:after="20" w:before="20" w:line="252" w:lineRule="auto"/>
              <w:jc w:val="left"/>
            </w:pPr>
            <w:r>
              <w:rPr>
                <w:rFonts w:ascii="Calibri" w:hAnsi="Calibri" w:eastAsia="Microsoft YaHei" w:cs="Calibri"/>
                <w:sz w:val="15"/>
              </w:rPr>
              <w:t>KEY</w:t>
            </w:r>
          </w:p>
        </w:tc>
        <w:tc>
          <w:tcPr>
            <w:tcW w:type="dxa" w:w="697"/>
          </w:tcPr>
          <w:p>
            <w:pPr>
              <w:spacing w:after="20" w:before="20" w:line="252" w:lineRule="auto"/>
              <w:jc w:val="center"/>
            </w:pPr>
            <w:r>
              <w:rPr>
                <w:rFonts w:ascii="Calibri" w:hAnsi="Calibri" w:eastAsia="Microsoft YaHei" w:cs="Calibri"/>
                <w:sz w:val="15"/>
              </w:rPr>
              <w:t>0.44</w:t>
            </w:r>
          </w:p>
        </w:tc>
        <w:tc>
          <w:tcPr>
            <w:tcW w:type="dxa" w:w="965"/>
          </w:tcPr>
          <w:p>
            <w:pPr>
              <w:spacing w:after="20" w:before="20" w:line="252" w:lineRule="auto"/>
              <w:jc w:val="center"/>
            </w:pPr>
            <w:r>
              <w:rPr>
                <w:rFonts w:ascii="Calibri" w:hAnsi="Calibri" w:eastAsia="Microsoft YaHei" w:cs="Calibri"/>
                <w:sz w:val="15"/>
              </w:rPr>
              <w:t>0.46</w:t>
            </w:r>
          </w:p>
        </w:tc>
        <w:tc>
          <w:tcPr>
            <w:tcW w:type="dxa" w:w="1049"/>
          </w:tcPr>
          <w:p>
            <w:pPr>
              <w:spacing w:after="20" w:before="20" w:line="252" w:lineRule="auto"/>
              <w:jc w:val="center"/>
            </w:pPr>
            <w:r>
              <w:rPr>
                <w:rFonts w:ascii="Calibri" w:hAnsi="Calibri" w:eastAsia="Microsoft YaHei" w:cs="Calibri"/>
                <w:sz w:val="15"/>
              </w:rPr>
              <w:t>0.48</w:t>
            </w:r>
          </w:p>
        </w:tc>
        <w:tc>
          <w:tcPr>
            <w:tcW w:type="dxa" w:w="1049"/>
          </w:tcPr>
          <w:p>
            <w:pPr>
              <w:spacing w:after="20" w:before="20" w:line="252" w:lineRule="auto"/>
              <w:jc w:val="center"/>
            </w:pPr>
            <w:r>
              <w:rPr>
                <w:rFonts w:ascii="Calibri" w:hAnsi="Calibri" w:eastAsia="Microsoft YaHei" w:cs="Calibri"/>
                <w:sz w:val="15"/>
              </w:rPr>
              <w:t>0.42-0.54</w:t>
            </w:r>
          </w:p>
        </w:tc>
        <w:tc>
          <w:tcPr>
            <w:tcW w:type="dxa" w:w="965"/>
          </w:tcPr>
          <w:p>
            <w:pPr>
              <w:spacing w:after="20" w:before="20" w:line="252" w:lineRule="auto"/>
              <w:jc w:val="center"/>
            </w:pPr>
            <w:r>
              <w:rPr>
                <w:rFonts w:ascii="Calibri" w:hAnsi="Calibri" w:eastAsia="Microsoft YaHei" w:cs="Calibri"/>
                <w:sz w:val="15"/>
              </w:rPr>
              <w:t>+3.9%</w:t>
            </w:r>
          </w:p>
        </w:tc>
        <w:tc>
          <w:tcPr>
            <w:tcW w:type="dxa" w:w="789"/>
          </w:tcPr>
          <w:p>
            <w:pPr>
              <w:spacing w:after="20" w:before="20" w:line="252" w:lineRule="auto"/>
              <w:jc w:val="center"/>
            </w:pPr>
            <w:r>
              <w:rPr>
                <w:rFonts w:ascii="Calibri" w:hAnsi="Calibri" w:eastAsia="Microsoft YaHei" w:cs="Calibri"/>
                <w:sz w:val="15"/>
              </w:rPr>
              <w:t>65%</w:t>
            </w:r>
          </w:p>
        </w:tc>
        <w:tc>
          <w:tcPr>
            <w:tcW w:type="dxa" w:w="878"/>
          </w:tcPr>
          <w:p>
            <w:pPr>
              <w:spacing w:after="20" w:before="20" w:line="252" w:lineRule="auto"/>
              <w:jc w:val="center"/>
            </w:pPr>
            <w:r>
              <w:rPr>
                <w:rFonts w:ascii="Calibri" w:hAnsi="Calibri" w:eastAsia="Microsoft YaHei" w:cs="Calibri"/>
                <w:sz w:val="15"/>
              </w:rPr>
              <w:t>24%</w:t>
            </w:r>
          </w:p>
        </w:tc>
        <w:tc>
          <w:tcPr>
            <w:tcW w:type="dxa" w:w="2661"/>
          </w:tcPr>
          <w:p>
            <w:pPr>
              <w:spacing w:after="20" w:before="20" w:line="252" w:lineRule="auto"/>
              <w:jc w:val="center"/>
            </w:pPr>
            <w:r>
              <w:rPr>
                <w:rFonts w:ascii="Calibri" w:hAnsi="Calibri" w:eastAsia="Microsoft YaHei" w:cs="Calibri"/>
                <w:sz w:val="15"/>
              </w:rPr>
              <w:t>driver</w:t>
            </w:r>
          </w:p>
        </w:tc>
      </w:tr>
      <w:tr>
        <w:trPr>
          <w:cantSplit/>
        </w:trPr>
        <w:tc>
          <w:tcPr>
            <w:tcW w:type="dxa" w:w="697"/>
            <w:shd w:val="clear" w:color="auto" w:fill="F2F5F9"/>
          </w:tcPr>
          <w:p>
            <w:pPr>
              <w:spacing w:after="20" w:before="20" w:line="252" w:lineRule="auto"/>
              <w:jc w:val="left"/>
            </w:pPr>
            <w:r>
              <w:rPr>
                <w:rFonts w:ascii="Calibri" w:hAnsi="Calibri" w:eastAsia="Microsoft YaHei" w:cs="Calibri"/>
                <w:sz w:val="15"/>
              </w:rPr>
              <w:t>USB</w:t>
            </w:r>
          </w:p>
        </w:tc>
        <w:tc>
          <w:tcPr>
            <w:tcW w:type="dxa" w:w="697"/>
            <w:shd w:val="clear" w:color="auto" w:fill="F2F5F9"/>
          </w:tcPr>
          <w:p>
            <w:pPr>
              <w:spacing w:after="20" w:before="20" w:line="252" w:lineRule="auto"/>
              <w:jc w:val="center"/>
            </w:pPr>
            <w:r>
              <w:rPr>
                <w:rFonts w:ascii="Calibri" w:hAnsi="Calibri" w:eastAsia="Microsoft YaHei" w:cs="Calibri"/>
                <w:sz w:val="15"/>
              </w:rPr>
              <w:t>1.35</w:t>
            </w:r>
          </w:p>
        </w:tc>
        <w:tc>
          <w:tcPr>
            <w:tcW w:type="dxa" w:w="965"/>
            <w:shd w:val="clear" w:color="auto" w:fill="F2F5F9"/>
          </w:tcPr>
          <w:p>
            <w:pPr>
              <w:spacing w:after="20" w:before="20" w:line="252" w:lineRule="auto"/>
              <w:jc w:val="center"/>
            </w:pPr>
            <w:r>
              <w:rPr>
                <w:rFonts w:ascii="Calibri" w:hAnsi="Calibri" w:eastAsia="Microsoft YaHei" w:cs="Calibri"/>
                <w:sz w:val="15"/>
              </w:rPr>
              <w:t>1.32</w:t>
            </w:r>
          </w:p>
        </w:tc>
        <w:tc>
          <w:tcPr>
            <w:tcW w:type="dxa" w:w="1049"/>
            <w:shd w:val="clear" w:color="auto" w:fill="F2F5F9"/>
          </w:tcPr>
          <w:p>
            <w:pPr>
              <w:spacing w:after="20" w:before="20" w:line="252" w:lineRule="auto"/>
              <w:jc w:val="center"/>
            </w:pPr>
            <w:r>
              <w:rPr>
                <w:rFonts w:ascii="Calibri" w:hAnsi="Calibri" w:eastAsia="Microsoft YaHei" w:cs="Calibri"/>
                <w:sz w:val="15"/>
              </w:rPr>
              <w:t>1.36</w:t>
            </w:r>
          </w:p>
        </w:tc>
        <w:tc>
          <w:tcPr>
            <w:tcW w:type="dxa" w:w="1049"/>
            <w:shd w:val="clear" w:color="auto" w:fill="F2F5F9"/>
          </w:tcPr>
          <w:p>
            <w:pPr>
              <w:spacing w:after="20" w:before="20" w:line="252" w:lineRule="auto"/>
              <w:jc w:val="center"/>
            </w:pPr>
            <w:r>
              <w:rPr>
                <w:rFonts w:ascii="Calibri" w:hAnsi="Calibri" w:eastAsia="Microsoft YaHei" w:cs="Calibri"/>
                <w:sz w:val="15"/>
              </w:rPr>
              <w:t>1.24-1.47</w:t>
            </w:r>
          </w:p>
        </w:tc>
        <w:tc>
          <w:tcPr>
            <w:tcW w:type="dxa" w:w="965"/>
            <w:shd w:val="clear" w:color="auto" w:fill="F2F5F9"/>
          </w:tcPr>
          <w:p>
            <w:pPr>
              <w:spacing w:after="20" w:before="20" w:line="252" w:lineRule="auto"/>
              <w:jc w:val="center"/>
            </w:pPr>
            <w:r>
              <w:rPr>
                <w:rFonts w:ascii="Calibri" w:hAnsi="Calibri" w:eastAsia="Microsoft YaHei" w:cs="Calibri"/>
                <w:sz w:val="15"/>
              </w:rPr>
              <w:t>+2.6%</w:t>
            </w:r>
          </w:p>
        </w:tc>
        <w:tc>
          <w:tcPr>
            <w:tcW w:type="dxa" w:w="789"/>
            <w:shd w:val="clear" w:color="auto" w:fill="F2F5F9"/>
          </w:tcPr>
          <w:p>
            <w:pPr>
              <w:spacing w:after="20" w:before="20" w:line="252" w:lineRule="auto"/>
              <w:jc w:val="center"/>
            </w:pPr>
            <w:r>
              <w:rPr>
                <w:rFonts w:ascii="Calibri" w:hAnsi="Calibri" w:eastAsia="Microsoft YaHei" w:cs="Calibri"/>
                <w:sz w:val="15"/>
              </w:rPr>
              <w:t>64%</w:t>
            </w:r>
          </w:p>
        </w:tc>
        <w:tc>
          <w:tcPr>
            <w:tcW w:type="dxa" w:w="878"/>
            <w:shd w:val="clear" w:color="auto" w:fill="F2F5F9"/>
          </w:tcPr>
          <w:p>
            <w:pPr>
              <w:spacing w:after="20" w:before="20" w:line="252" w:lineRule="auto"/>
              <w:jc w:val="center"/>
            </w:pPr>
            <w:r>
              <w:rPr>
                <w:rFonts w:ascii="Calibri" w:hAnsi="Calibri" w:eastAsia="Microsoft YaHei" w:cs="Calibri"/>
                <w:sz w:val="15"/>
              </w:rPr>
              <w:t>21%</w:t>
            </w:r>
          </w:p>
        </w:tc>
        <w:tc>
          <w:tcPr>
            <w:tcW w:type="dxa" w:w="2661"/>
            <w:shd w:val="clear" w:color="auto" w:fill="F2F5F9"/>
          </w:tcPr>
          <w:p>
            <w:pPr>
              <w:spacing w:after="20" w:before="20" w:line="252" w:lineRule="auto"/>
              <w:jc w:val="center"/>
            </w:pPr>
            <w:r>
              <w:rPr>
                <w:rFonts w:ascii="Calibri" w:hAnsi="Calibri" w:eastAsia="Microsoft YaHei" w:cs="Calibri"/>
                <w:sz w:val="15"/>
              </w:rPr>
              <w:t>driver</w:t>
            </w:r>
          </w:p>
        </w:tc>
      </w:tr>
      <w:tr>
        <w:trPr>
          <w:cantSplit/>
        </w:trPr>
        <w:tc>
          <w:tcPr>
            <w:tcW w:type="dxa" w:w="697"/>
          </w:tcPr>
          <w:p>
            <w:pPr>
              <w:spacing w:after="20" w:before="20" w:line="252" w:lineRule="auto"/>
              <w:jc w:val="left"/>
            </w:pPr>
            <w:r>
              <w:rPr>
                <w:rFonts w:ascii="Calibri" w:hAnsi="Calibri" w:eastAsia="Microsoft YaHei" w:cs="Calibri"/>
                <w:sz w:val="15"/>
              </w:rPr>
              <w:t>COF</w:t>
            </w:r>
          </w:p>
        </w:tc>
        <w:tc>
          <w:tcPr>
            <w:tcW w:type="dxa" w:w="697"/>
          </w:tcPr>
          <w:p>
            <w:pPr>
              <w:spacing w:after="20" w:before="20" w:line="252" w:lineRule="auto"/>
              <w:jc w:val="center"/>
            </w:pPr>
            <w:r>
              <w:rPr>
                <w:rFonts w:ascii="Calibri" w:hAnsi="Calibri" w:eastAsia="Microsoft YaHei" w:cs="Calibri"/>
                <w:sz w:val="15"/>
              </w:rPr>
              <w:t>4.73</w:t>
            </w:r>
          </w:p>
        </w:tc>
        <w:tc>
          <w:tcPr>
            <w:tcW w:type="dxa" w:w="965"/>
          </w:tcPr>
          <w:p>
            <w:pPr>
              <w:spacing w:after="20" w:before="20" w:line="252" w:lineRule="auto"/>
              <w:jc w:val="center"/>
            </w:pPr>
            <w:r>
              <w:rPr>
                <w:rFonts w:ascii="Calibri" w:hAnsi="Calibri" w:eastAsia="Microsoft YaHei" w:cs="Calibri"/>
                <w:sz w:val="15"/>
              </w:rPr>
              <w:t>5.35</w:t>
            </w:r>
          </w:p>
        </w:tc>
        <w:tc>
          <w:tcPr>
            <w:tcW w:type="dxa" w:w="1049"/>
          </w:tcPr>
          <w:p>
            <w:pPr>
              <w:spacing w:after="20" w:before="20" w:line="252" w:lineRule="auto"/>
              <w:jc w:val="center"/>
            </w:pPr>
            <w:r>
              <w:rPr>
                <w:rFonts w:ascii="Calibri" w:hAnsi="Calibri" w:eastAsia="Microsoft YaHei" w:cs="Calibri"/>
                <w:sz w:val="15"/>
              </w:rPr>
              <w:t>5.41</w:t>
            </w:r>
          </w:p>
        </w:tc>
        <w:tc>
          <w:tcPr>
            <w:tcW w:type="dxa" w:w="1049"/>
          </w:tcPr>
          <w:p>
            <w:pPr>
              <w:spacing w:after="20" w:before="20" w:line="252" w:lineRule="auto"/>
              <w:jc w:val="center"/>
            </w:pPr>
            <w:r>
              <w:rPr>
                <w:rFonts w:ascii="Calibri" w:hAnsi="Calibri" w:eastAsia="Microsoft YaHei" w:cs="Calibri"/>
                <w:sz w:val="15"/>
              </w:rPr>
              <w:t>4.86-5.96</w:t>
            </w:r>
          </w:p>
        </w:tc>
        <w:tc>
          <w:tcPr>
            <w:tcW w:type="dxa" w:w="965"/>
          </w:tcPr>
          <w:p>
            <w:pPr>
              <w:spacing w:after="20" w:before="20" w:line="252" w:lineRule="auto"/>
              <w:jc w:val="center"/>
            </w:pPr>
            <w:r>
              <w:rPr>
                <w:rFonts w:ascii="Calibri" w:hAnsi="Calibri" w:eastAsia="Microsoft YaHei" w:cs="Calibri"/>
                <w:sz w:val="15"/>
              </w:rPr>
              <w:t>+1.0%</w:t>
            </w:r>
          </w:p>
        </w:tc>
        <w:tc>
          <w:tcPr>
            <w:tcW w:type="dxa" w:w="789"/>
          </w:tcPr>
          <w:p>
            <w:pPr>
              <w:spacing w:after="20" w:before="20" w:line="252" w:lineRule="auto"/>
              <w:jc w:val="center"/>
            </w:pPr>
            <w:r>
              <w:rPr>
                <w:rFonts w:ascii="Calibri" w:hAnsi="Calibri" w:eastAsia="Microsoft YaHei" w:cs="Calibri"/>
                <w:sz w:val="15"/>
              </w:rPr>
              <w:t>56%</w:t>
            </w:r>
          </w:p>
        </w:tc>
        <w:tc>
          <w:tcPr>
            <w:tcW w:type="dxa" w:w="878"/>
          </w:tcPr>
          <w:p>
            <w:pPr>
              <w:spacing w:after="20" w:before="20" w:line="252" w:lineRule="auto"/>
              <w:jc w:val="center"/>
            </w:pPr>
            <w:r>
              <w:rPr>
                <w:rFonts w:ascii="Calibri" w:hAnsi="Calibri" w:eastAsia="Microsoft YaHei" w:cs="Calibri"/>
                <w:sz w:val="15"/>
              </w:rPr>
              <w:t>30%</w:t>
            </w:r>
          </w:p>
        </w:tc>
        <w:tc>
          <w:tcPr>
            <w:tcW w:type="dxa" w:w="2661"/>
          </w:tcPr>
          <w:p>
            <w:pPr>
              <w:spacing w:after="20" w:before="20" w:line="252" w:lineRule="auto"/>
              <w:jc w:val="center"/>
            </w:pPr>
            <w:r>
              <w:rPr>
                <w:rFonts w:ascii="Calibri" w:hAnsi="Calibri" w:eastAsia="Microsoft YaHei" w:cs="Calibri"/>
                <w:sz w:val="15"/>
              </w:rPr>
              <w:t>prior</w:t>
            </w:r>
          </w:p>
        </w:tc>
      </w:tr>
      <w:tr>
        <w:trPr>
          <w:cantSplit/>
        </w:trPr>
        <w:tc>
          <w:tcPr>
            <w:tcW w:type="dxa" w:w="697"/>
            <w:shd w:val="clear" w:color="auto" w:fill="F2F5F9"/>
          </w:tcPr>
          <w:p>
            <w:pPr>
              <w:spacing w:after="20" w:before="20" w:line="252" w:lineRule="auto"/>
              <w:jc w:val="left"/>
            </w:pPr>
            <w:r>
              <w:rPr>
                <w:rFonts w:ascii="Calibri" w:hAnsi="Calibri" w:eastAsia="Microsoft YaHei" w:cs="Calibri"/>
                <w:sz w:val="15"/>
              </w:rPr>
              <w:t>PNC</w:t>
            </w:r>
          </w:p>
        </w:tc>
        <w:tc>
          <w:tcPr>
            <w:tcW w:type="dxa" w:w="697"/>
            <w:shd w:val="clear" w:color="auto" w:fill="F2F5F9"/>
          </w:tcPr>
          <w:p>
            <w:pPr>
              <w:spacing w:after="20" w:before="20" w:line="252" w:lineRule="auto"/>
              <w:jc w:val="center"/>
            </w:pPr>
            <w:r>
              <w:rPr>
                <w:rFonts w:ascii="Calibri" w:hAnsi="Calibri" w:eastAsia="Microsoft YaHei" w:cs="Calibri"/>
                <w:sz w:val="15"/>
              </w:rPr>
              <w:t>4.85</w:t>
            </w:r>
          </w:p>
        </w:tc>
        <w:tc>
          <w:tcPr>
            <w:tcW w:type="dxa" w:w="965"/>
            <w:shd w:val="clear" w:color="auto" w:fill="F2F5F9"/>
          </w:tcPr>
          <w:p>
            <w:pPr>
              <w:spacing w:after="20" w:before="20" w:line="252" w:lineRule="auto"/>
              <w:jc w:val="center"/>
            </w:pPr>
            <w:r>
              <w:rPr>
                <w:rFonts w:ascii="Calibri" w:hAnsi="Calibri" w:eastAsia="Microsoft YaHei" w:cs="Calibri"/>
                <w:sz w:val="15"/>
              </w:rPr>
              <w:t>4.89</w:t>
            </w:r>
          </w:p>
        </w:tc>
        <w:tc>
          <w:tcPr>
            <w:tcW w:type="dxa" w:w="1049"/>
            <w:shd w:val="clear" w:color="auto" w:fill="F2F5F9"/>
          </w:tcPr>
          <w:p>
            <w:pPr>
              <w:spacing w:after="20" w:before="20" w:line="252" w:lineRule="auto"/>
              <w:jc w:val="center"/>
            </w:pPr>
            <w:r>
              <w:rPr>
                <w:rFonts w:ascii="Calibri" w:hAnsi="Calibri" w:eastAsia="Microsoft YaHei" w:cs="Calibri"/>
                <w:sz w:val="15"/>
              </w:rPr>
              <w:t>4.92</w:t>
            </w:r>
          </w:p>
        </w:tc>
        <w:tc>
          <w:tcPr>
            <w:tcW w:type="dxa" w:w="1049"/>
            <w:shd w:val="clear" w:color="auto" w:fill="F2F5F9"/>
          </w:tcPr>
          <w:p>
            <w:pPr>
              <w:spacing w:after="20" w:before="20" w:line="252" w:lineRule="auto"/>
              <w:jc w:val="center"/>
            </w:pPr>
            <w:r>
              <w:rPr>
                <w:rFonts w:ascii="Calibri" w:hAnsi="Calibri" w:eastAsia="Microsoft YaHei" w:cs="Calibri"/>
                <w:sz w:val="15"/>
              </w:rPr>
              <w:t>4.59-5.25</w:t>
            </w:r>
          </w:p>
        </w:tc>
        <w:tc>
          <w:tcPr>
            <w:tcW w:type="dxa" w:w="965"/>
            <w:shd w:val="clear" w:color="auto" w:fill="F2F5F9"/>
          </w:tcPr>
          <w:p>
            <w:pPr>
              <w:spacing w:after="20" w:before="20" w:line="252" w:lineRule="auto"/>
              <w:jc w:val="center"/>
            </w:pPr>
            <w:r>
              <w:rPr>
                <w:rFonts w:ascii="Calibri" w:hAnsi="Calibri" w:eastAsia="Microsoft YaHei" w:cs="Calibri"/>
                <w:sz w:val="15"/>
              </w:rPr>
              <w:t>+0.5%</w:t>
            </w:r>
          </w:p>
        </w:tc>
        <w:tc>
          <w:tcPr>
            <w:tcW w:type="dxa" w:w="789"/>
            <w:shd w:val="clear" w:color="auto" w:fill="F2F5F9"/>
          </w:tcPr>
          <w:p>
            <w:pPr>
              <w:spacing w:after="20" w:before="20" w:line="252" w:lineRule="auto"/>
              <w:jc w:val="center"/>
            </w:pPr>
            <w:r>
              <w:rPr>
                <w:rFonts w:ascii="Calibri" w:hAnsi="Calibri" w:eastAsia="Microsoft YaHei" w:cs="Calibri"/>
                <w:sz w:val="15"/>
              </w:rPr>
              <w:t>54%</w:t>
            </w:r>
          </w:p>
        </w:tc>
        <w:tc>
          <w:tcPr>
            <w:tcW w:type="dxa" w:w="878"/>
            <w:shd w:val="clear" w:color="auto" w:fill="F2F5F9"/>
          </w:tcPr>
          <w:p>
            <w:pPr>
              <w:spacing w:after="20" w:before="20" w:line="252" w:lineRule="auto"/>
              <w:jc w:val="center"/>
            </w:pPr>
            <w:r>
              <w:rPr>
                <w:rFonts w:ascii="Calibri" w:hAnsi="Calibri" w:eastAsia="Microsoft YaHei" w:cs="Calibri"/>
                <w:sz w:val="15"/>
              </w:rPr>
              <w:t>25%</w:t>
            </w:r>
          </w:p>
        </w:tc>
        <w:tc>
          <w:tcPr>
            <w:tcW w:type="dxa" w:w="2661"/>
            <w:shd w:val="clear" w:color="auto" w:fill="F2F5F9"/>
          </w:tcPr>
          <w:p>
            <w:pPr>
              <w:spacing w:after="20" w:before="20" w:line="252" w:lineRule="auto"/>
              <w:jc w:val="left"/>
            </w:pPr>
            <w:r>
              <w:rPr>
                <w:rFonts w:ascii="Calibri" w:hAnsi="Calibri" w:eastAsia="Microsoft YaHei" w:cs="Calibri"/>
                <w:sz w:val="15"/>
              </w:rPr>
              <w:t>driver (adjusted basis)</w:t>
            </w:r>
          </w:p>
        </w:tc>
      </w:tr>
      <w:tr>
        <w:trPr>
          <w:cantSplit/>
        </w:trPr>
        <w:tc>
          <w:tcPr>
            <w:tcW w:type="dxa" w:w="697"/>
          </w:tcPr>
          <w:p>
            <w:pPr>
              <w:spacing w:after="20" w:before="20" w:line="252" w:lineRule="auto"/>
              <w:jc w:val="left"/>
            </w:pPr>
            <w:r>
              <w:rPr>
                <w:rFonts w:ascii="Calibri" w:hAnsi="Calibri" w:eastAsia="Microsoft YaHei" w:cs="Calibri"/>
                <w:sz w:val="15"/>
              </w:rPr>
              <w:t>MTB</w:t>
            </w:r>
          </w:p>
        </w:tc>
        <w:tc>
          <w:tcPr>
            <w:tcW w:type="dxa" w:w="697"/>
          </w:tcPr>
          <w:p>
            <w:pPr>
              <w:spacing w:after="20" w:before="20" w:line="252" w:lineRule="auto"/>
              <w:jc w:val="center"/>
            </w:pPr>
            <w:r>
              <w:rPr>
                <w:rFonts w:ascii="Calibri" w:hAnsi="Calibri" w:eastAsia="Microsoft YaHei" w:cs="Calibri"/>
                <w:sz w:val="15"/>
              </w:rPr>
              <w:t>5.32</w:t>
            </w:r>
          </w:p>
        </w:tc>
        <w:tc>
          <w:tcPr>
            <w:tcW w:type="dxa" w:w="965"/>
          </w:tcPr>
          <w:p>
            <w:pPr>
              <w:spacing w:after="20" w:before="20" w:line="252" w:lineRule="auto"/>
              <w:jc w:val="center"/>
            </w:pPr>
            <w:r>
              <w:rPr>
                <w:rFonts w:ascii="Calibri" w:hAnsi="Calibri" w:eastAsia="Microsoft YaHei" w:cs="Calibri"/>
                <w:sz w:val="15"/>
              </w:rPr>
              <w:t>4.91</w:t>
            </w:r>
          </w:p>
        </w:tc>
        <w:tc>
          <w:tcPr>
            <w:tcW w:type="dxa" w:w="1049"/>
          </w:tcPr>
          <w:p>
            <w:pPr>
              <w:spacing w:after="20" w:before="20" w:line="252" w:lineRule="auto"/>
              <w:jc w:val="center"/>
            </w:pPr>
            <w:r>
              <w:rPr>
                <w:rFonts w:ascii="Calibri" w:hAnsi="Calibri" w:eastAsia="Microsoft YaHei" w:cs="Calibri"/>
                <w:sz w:val="15"/>
              </w:rPr>
              <w:t>4.92</w:t>
            </w:r>
          </w:p>
        </w:tc>
        <w:tc>
          <w:tcPr>
            <w:tcW w:type="dxa" w:w="1049"/>
          </w:tcPr>
          <w:p>
            <w:pPr>
              <w:spacing w:after="20" w:before="20" w:line="252" w:lineRule="auto"/>
              <w:jc w:val="center"/>
            </w:pPr>
            <w:r>
              <w:rPr>
                <w:rFonts w:ascii="Calibri" w:hAnsi="Calibri" w:eastAsia="Microsoft YaHei" w:cs="Calibri"/>
                <w:sz w:val="15"/>
              </w:rPr>
              <w:t>4.47-5.38</w:t>
            </w:r>
          </w:p>
        </w:tc>
        <w:tc>
          <w:tcPr>
            <w:tcW w:type="dxa" w:w="965"/>
          </w:tcPr>
          <w:p>
            <w:pPr>
              <w:spacing w:after="20" w:before="20" w:line="252" w:lineRule="auto"/>
              <w:jc w:val="center"/>
            </w:pPr>
            <w:r>
              <w:rPr>
                <w:rFonts w:ascii="Calibri" w:hAnsi="Calibri" w:eastAsia="Microsoft YaHei" w:cs="Calibri"/>
                <w:sz w:val="15"/>
              </w:rPr>
              <w:t>+0.2%</w:t>
            </w:r>
          </w:p>
        </w:tc>
        <w:tc>
          <w:tcPr>
            <w:tcW w:type="dxa" w:w="789"/>
          </w:tcPr>
          <w:p>
            <w:pPr>
              <w:spacing w:after="20" w:before="20" w:line="252" w:lineRule="auto"/>
              <w:jc w:val="center"/>
            </w:pPr>
            <w:r>
              <w:rPr>
                <w:rFonts w:ascii="Calibri" w:hAnsi="Calibri" w:eastAsia="Microsoft YaHei" w:cs="Calibri"/>
                <w:sz w:val="15"/>
              </w:rPr>
              <w:t>51%</w:t>
            </w:r>
          </w:p>
        </w:tc>
        <w:tc>
          <w:tcPr>
            <w:tcW w:type="dxa" w:w="878"/>
          </w:tcPr>
          <w:p>
            <w:pPr>
              <w:spacing w:after="20" w:before="20" w:line="252" w:lineRule="auto"/>
              <w:jc w:val="center"/>
            </w:pPr>
            <w:r>
              <w:rPr>
                <w:rFonts w:ascii="Calibri" w:hAnsi="Calibri" w:eastAsia="Microsoft YaHei" w:cs="Calibri"/>
                <w:sz w:val="15"/>
              </w:rPr>
              <w:t>33%</w:t>
            </w:r>
          </w:p>
        </w:tc>
        <w:tc>
          <w:tcPr>
            <w:tcW w:type="dxa" w:w="2661"/>
          </w:tcPr>
          <w:p>
            <w:pPr>
              <w:spacing w:after="20" w:before="20" w:line="252" w:lineRule="auto"/>
              <w:jc w:val="center"/>
            </w:pPr>
            <w:r>
              <w:rPr>
                <w:rFonts w:ascii="Calibri" w:hAnsi="Calibri" w:eastAsia="Microsoft YaHei" w:cs="Calibri"/>
                <w:sz w:val="15"/>
              </w:rPr>
              <w:t>driver</w:t>
            </w:r>
          </w:p>
        </w:tc>
      </w:tr>
      <w:tr>
        <w:trPr>
          <w:cantSplit/>
        </w:trPr>
        <w:tc>
          <w:tcPr>
            <w:tcW w:type="dxa" w:w="697"/>
            <w:shd w:val="clear" w:color="auto" w:fill="F2F5F9"/>
          </w:tcPr>
          <w:p>
            <w:pPr>
              <w:spacing w:after="20" w:before="20" w:line="252" w:lineRule="auto"/>
              <w:jc w:val="left"/>
            </w:pPr>
            <w:r>
              <w:rPr>
                <w:rFonts w:ascii="Calibri" w:hAnsi="Calibri" w:eastAsia="Microsoft YaHei" w:cs="Calibri"/>
                <w:sz w:val="15"/>
              </w:rPr>
              <w:t>CFG</w:t>
            </w:r>
          </w:p>
        </w:tc>
        <w:tc>
          <w:tcPr>
            <w:tcW w:type="dxa" w:w="697"/>
            <w:shd w:val="clear" w:color="auto" w:fill="F2F5F9"/>
          </w:tcPr>
          <w:p>
            <w:pPr>
              <w:spacing w:after="20" w:before="20" w:line="252" w:lineRule="auto"/>
              <w:jc w:val="center"/>
            </w:pPr>
            <w:r>
              <w:rPr>
                <w:rFonts w:ascii="Calibri" w:hAnsi="Calibri" w:eastAsia="Microsoft YaHei" w:cs="Calibri"/>
                <w:sz w:val="15"/>
              </w:rPr>
              <w:t>1.30</w:t>
            </w:r>
          </w:p>
        </w:tc>
        <w:tc>
          <w:tcPr>
            <w:tcW w:type="dxa" w:w="965"/>
            <w:shd w:val="clear" w:color="auto" w:fill="F2F5F9"/>
          </w:tcPr>
          <w:p>
            <w:pPr>
              <w:spacing w:after="20" w:before="20" w:line="252" w:lineRule="auto"/>
              <w:jc w:val="center"/>
            </w:pPr>
            <w:r>
              <w:rPr>
                <w:rFonts w:ascii="Calibri" w:hAnsi="Calibri" w:eastAsia="Microsoft YaHei" w:cs="Calibri"/>
                <w:sz w:val="15"/>
              </w:rPr>
              <w:t>1.40</w:t>
            </w:r>
          </w:p>
        </w:tc>
        <w:tc>
          <w:tcPr>
            <w:tcW w:type="dxa" w:w="1049"/>
            <w:shd w:val="clear" w:color="auto" w:fill="F2F5F9"/>
          </w:tcPr>
          <w:p>
            <w:pPr>
              <w:spacing w:after="20" w:before="20" w:line="252" w:lineRule="auto"/>
              <w:jc w:val="center"/>
            </w:pPr>
            <w:r>
              <w:rPr>
                <w:rFonts w:ascii="Calibri" w:hAnsi="Calibri" w:eastAsia="Microsoft YaHei" w:cs="Calibri"/>
                <w:sz w:val="15"/>
              </w:rPr>
              <w:t>1.40</w:t>
            </w:r>
          </w:p>
        </w:tc>
        <w:tc>
          <w:tcPr>
            <w:tcW w:type="dxa" w:w="1049"/>
            <w:shd w:val="clear" w:color="auto" w:fill="F2F5F9"/>
          </w:tcPr>
          <w:p>
            <w:pPr>
              <w:spacing w:after="20" w:before="20" w:line="252" w:lineRule="auto"/>
              <w:jc w:val="center"/>
            </w:pPr>
            <w:r>
              <w:rPr>
                <w:rFonts w:ascii="Calibri" w:hAnsi="Calibri" w:eastAsia="Microsoft YaHei" w:cs="Calibri"/>
                <w:sz w:val="15"/>
              </w:rPr>
              <w:t>1.26-1.54</w:t>
            </w:r>
          </w:p>
        </w:tc>
        <w:tc>
          <w:tcPr>
            <w:tcW w:type="dxa" w:w="965"/>
            <w:shd w:val="clear" w:color="auto" w:fill="F2F5F9"/>
          </w:tcPr>
          <w:p>
            <w:pPr>
              <w:spacing w:after="20" w:before="20" w:line="252" w:lineRule="auto"/>
              <w:jc w:val="center"/>
            </w:pPr>
            <w:r>
              <w:rPr>
                <w:rFonts w:ascii="Calibri" w:hAnsi="Calibri" w:eastAsia="Microsoft YaHei" w:cs="Calibri"/>
                <w:sz w:val="15"/>
              </w:rPr>
              <w:t>-0.1%</w:t>
            </w:r>
          </w:p>
        </w:tc>
        <w:tc>
          <w:tcPr>
            <w:tcW w:type="dxa" w:w="789"/>
            <w:shd w:val="clear" w:color="auto" w:fill="F2F5F9"/>
          </w:tcPr>
          <w:p>
            <w:pPr>
              <w:spacing w:after="20" w:before="20" w:line="252" w:lineRule="auto"/>
              <w:jc w:val="center"/>
            </w:pPr>
            <w:r>
              <w:rPr>
                <w:rFonts w:ascii="Calibri" w:hAnsi="Calibri" w:eastAsia="Microsoft YaHei" w:cs="Calibri"/>
                <w:sz w:val="15"/>
              </w:rPr>
              <w:t>49%</w:t>
            </w:r>
          </w:p>
        </w:tc>
        <w:tc>
          <w:tcPr>
            <w:tcW w:type="dxa" w:w="878"/>
            <w:shd w:val="clear" w:color="auto" w:fill="F2F5F9"/>
          </w:tcPr>
          <w:p>
            <w:pPr>
              <w:spacing w:after="20" w:before="20" w:line="252" w:lineRule="auto"/>
              <w:jc w:val="center"/>
            </w:pPr>
            <w:r>
              <w:rPr>
                <w:rFonts w:ascii="Calibri" w:hAnsi="Calibri" w:eastAsia="Microsoft YaHei" w:cs="Calibri"/>
                <w:sz w:val="15"/>
              </w:rPr>
              <w:t>36%</w:t>
            </w:r>
          </w:p>
        </w:tc>
        <w:tc>
          <w:tcPr>
            <w:tcW w:type="dxa" w:w="2661"/>
            <w:shd w:val="clear" w:color="auto" w:fill="F2F5F9"/>
          </w:tcPr>
          <w:p>
            <w:pPr>
              <w:spacing w:after="20" w:before="20" w:line="252" w:lineRule="auto"/>
              <w:jc w:val="center"/>
            </w:pPr>
            <w:r>
              <w:rPr>
                <w:rFonts w:ascii="Calibri" w:hAnsi="Calibri" w:eastAsia="Microsoft YaHei" w:cs="Calibri"/>
                <w:sz w:val="15"/>
              </w:rPr>
              <w:t>driver</w:t>
            </w:r>
          </w:p>
        </w:tc>
      </w:tr>
      <w:tr>
        <w:trPr>
          <w:cantSplit/>
        </w:trPr>
        <w:tc>
          <w:tcPr>
            <w:tcW w:type="dxa" w:w="697"/>
          </w:tcPr>
          <w:p>
            <w:pPr>
              <w:spacing w:after="20" w:before="20" w:line="252" w:lineRule="auto"/>
              <w:jc w:val="left"/>
            </w:pPr>
            <w:r>
              <w:rPr>
                <w:rFonts w:ascii="Calibri" w:hAnsi="Calibri" w:eastAsia="Microsoft YaHei" w:cs="Calibri"/>
                <w:sz w:val="15"/>
              </w:rPr>
              <w:t>WFC</w:t>
            </w:r>
          </w:p>
        </w:tc>
        <w:tc>
          <w:tcPr>
            <w:tcW w:type="dxa" w:w="697"/>
          </w:tcPr>
          <w:p>
            <w:pPr>
              <w:spacing w:after="20" w:before="20" w:line="252" w:lineRule="auto"/>
              <w:jc w:val="center"/>
            </w:pPr>
            <w:r>
              <w:rPr>
                <w:rFonts w:ascii="Calibri" w:hAnsi="Calibri" w:eastAsia="Microsoft YaHei" w:cs="Calibri"/>
                <w:sz w:val="15"/>
              </w:rPr>
              <w:t>2.00</w:t>
            </w:r>
          </w:p>
        </w:tc>
        <w:tc>
          <w:tcPr>
            <w:tcW w:type="dxa" w:w="965"/>
          </w:tcPr>
          <w:p>
            <w:pPr>
              <w:spacing w:after="20" w:before="20" w:line="252" w:lineRule="auto"/>
              <w:jc w:val="center"/>
            </w:pPr>
            <w:r>
              <w:rPr>
                <w:rFonts w:ascii="Calibri" w:hAnsi="Calibri" w:eastAsia="Microsoft YaHei" w:cs="Calibri"/>
                <w:sz w:val="15"/>
              </w:rPr>
              <w:t>1.85</w:t>
            </w:r>
          </w:p>
        </w:tc>
        <w:tc>
          <w:tcPr>
            <w:tcW w:type="dxa" w:w="1049"/>
          </w:tcPr>
          <w:p>
            <w:pPr>
              <w:spacing w:after="20" w:before="20" w:line="252" w:lineRule="auto"/>
              <w:jc w:val="center"/>
            </w:pPr>
            <w:r>
              <w:rPr>
                <w:rFonts w:ascii="Calibri" w:hAnsi="Calibri" w:eastAsia="Microsoft YaHei" w:cs="Calibri"/>
                <w:sz w:val="15"/>
              </w:rPr>
              <w:t>1.84</w:t>
            </w:r>
          </w:p>
        </w:tc>
        <w:tc>
          <w:tcPr>
            <w:tcW w:type="dxa" w:w="1049"/>
          </w:tcPr>
          <w:p>
            <w:pPr>
              <w:spacing w:after="20" w:before="20" w:line="252" w:lineRule="auto"/>
              <w:jc w:val="center"/>
            </w:pPr>
            <w:r>
              <w:rPr>
                <w:rFonts w:ascii="Calibri" w:hAnsi="Calibri" w:eastAsia="Microsoft YaHei" w:cs="Calibri"/>
                <w:sz w:val="15"/>
              </w:rPr>
              <w:t>1.64-2.04</w:t>
            </w:r>
          </w:p>
        </w:tc>
        <w:tc>
          <w:tcPr>
            <w:tcW w:type="dxa" w:w="965"/>
          </w:tcPr>
          <w:p>
            <w:pPr>
              <w:spacing w:after="20" w:before="20" w:line="252" w:lineRule="auto"/>
              <w:jc w:val="center"/>
            </w:pPr>
            <w:r>
              <w:rPr>
                <w:rFonts w:ascii="Calibri" w:hAnsi="Calibri" w:eastAsia="Microsoft YaHei" w:cs="Calibri"/>
                <w:sz w:val="15"/>
              </w:rPr>
              <w:t>-0.5%</w:t>
            </w:r>
          </w:p>
        </w:tc>
        <w:tc>
          <w:tcPr>
            <w:tcW w:type="dxa" w:w="789"/>
          </w:tcPr>
          <w:p>
            <w:pPr>
              <w:spacing w:after="20" w:before="20" w:line="252" w:lineRule="auto"/>
              <w:jc w:val="center"/>
            </w:pPr>
            <w:r>
              <w:rPr>
                <w:rFonts w:ascii="Calibri" w:hAnsi="Calibri" w:eastAsia="Microsoft YaHei" w:cs="Calibri"/>
                <w:sz w:val="15"/>
              </w:rPr>
              <w:t>47%</w:t>
            </w:r>
          </w:p>
        </w:tc>
        <w:tc>
          <w:tcPr>
            <w:tcW w:type="dxa" w:w="878"/>
          </w:tcPr>
          <w:p>
            <w:pPr>
              <w:spacing w:after="20" w:before="20" w:line="252" w:lineRule="auto"/>
              <w:jc w:val="center"/>
            </w:pPr>
            <w:r>
              <w:rPr>
                <w:rFonts w:ascii="Calibri" w:hAnsi="Calibri" w:eastAsia="Microsoft YaHei" w:cs="Calibri"/>
                <w:sz w:val="15"/>
              </w:rPr>
              <w:t>39%</w:t>
            </w:r>
          </w:p>
        </w:tc>
        <w:tc>
          <w:tcPr>
            <w:tcW w:type="dxa" w:w="2661"/>
          </w:tcPr>
          <w:p>
            <w:pPr>
              <w:spacing w:after="20" w:before="20" w:line="252" w:lineRule="auto"/>
              <w:jc w:val="center"/>
            </w:pPr>
            <w:r>
              <w:rPr>
                <w:rFonts w:ascii="Calibri" w:hAnsi="Calibri" w:eastAsia="Microsoft YaHei" w:cs="Calibri"/>
                <w:sz w:val="15"/>
              </w:rPr>
              <w:t>driver</w:t>
            </w:r>
          </w:p>
        </w:tc>
      </w:tr>
      <w:tr>
        <w:trPr>
          <w:cantSplit/>
        </w:trPr>
        <w:tc>
          <w:tcPr>
            <w:tcW w:type="dxa" w:w="697"/>
            <w:shd w:val="clear" w:color="auto" w:fill="F2F5F9"/>
          </w:tcPr>
          <w:p>
            <w:pPr>
              <w:spacing w:after="20" w:before="20" w:line="252" w:lineRule="auto"/>
              <w:jc w:val="left"/>
            </w:pPr>
            <w:r>
              <w:rPr>
                <w:rFonts w:ascii="Calibri" w:hAnsi="Calibri" w:eastAsia="Microsoft YaHei" w:cs="Calibri"/>
                <w:sz w:val="15"/>
              </w:rPr>
              <w:t>SCHW</w:t>
            </w:r>
          </w:p>
        </w:tc>
        <w:tc>
          <w:tcPr>
            <w:tcW w:type="dxa" w:w="697"/>
            <w:shd w:val="clear" w:color="auto" w:fill="F2F5F9"/>
          </w:tcPr>
          <w:p>
            <w:pPr>
              <w:spacing w:after="20" w:before="20" w:line="252" w:lineRule="auto"/>
              <w:jc w:val="center"/>
            </w:pPr>
            <w:r>
              <w:rPr>
                <w:rFonts w:ascii="Calibri" w:hAnsi="Calibri" w:eastAsia="Microsoft YaHei" w:cs="Calibri"/>
                <w:sz w:val="15"/>
              </w:rPr>
              <w:t>1.62</w:t>
            </w:r>
          </w:p>
        </w:tc>
        <w:tc>
          <w:tcPr>
            <w:tcW w:type="dxa" w:w="965"/>
            <w:shd w:val="clear" w:color="auto" w:fill="F2F5F9"/>
          </w:tcPr>
          <w:p>
            <w:pPr>
              <w:spacing w:after="20" w:before="20" w:line="252" w:lineRule="auto"/>
              <w:jc w:val="center"/>
            </w:pPr>
            <w:r>
              <w:rPr>
                <w:rFonts w:ascii="Calibri" w:hAnsi="Calibri" w:eastAsia="Microsoft YaHei" w:cs="Calibri"/>
                <w:sz w:val="15"/>
              </w:rPr>
              <w:t>1.67</w:t>
            </w:r>
          </w:p>
        </w:tc>
        <w:tc>
          <w:tcPr>
            <w:tcW w:type="dxa" w:w="1049"/>
            <w:shd w:val="clear" w:color="auto" w:fill="F2F5F9"/>
          </w:tcPr>
          <w:p>
            <w:pPr>
              <w:spacing w:after="20" w:before="20" w:line="252" w:lineRule="auto"/>
              <w:jc w:val="center"/>
            </w:pPr>
            <w:r>
              <w:rPr>
                <w:rFonts w:ascii="Calibri" w:hAnsi="Calibri" w:eastAsia="Microsoft YaHei" w:cs="Calibri"/>
                <w:sz w:val="15"/>
              </w:rPr>
              <w:t>1.65</w:t>
            </w:r>
          </w:p>
        </w:tc>
        <w:tc>
          <w:tcPr>
            <w:tcW w:type="dxa" w:w="1049"/>
            <w:shd w:val="clear" w:color="auto" w:fill="F2F5F9"/>
          </w:tcPr>
          <w:p>
            <w:pPr>
              <w:spacing w:after="20" w:before="20" w:line="252" w:lineRule="auto"/>
              <w:jc w:val="center"/>
            </w:pPr>
            <w:r>
              <w:rPr>
                <w:rFonts w:ascii="Calibri" w:hAnsi="Calibri" w:eastAsia="Microsoft YaHei" w:cs="Calibri"/>
                <w:sz w:val="15"/>
              </w:rPr>
              <w:t>1.56-1.74</w:t>
            </w:r>
          </w:p>
        </w:tc>
        <w:tc>
          <w:tcPr>
            <w:tcW w:type="dxa" w:w="965"/>
            <w:shd w:val="clear" w:color="auto" w:fill="F2F5F9"/>
          </w:tcPr>
          <w:p>
            <w:pPr>
              <w:spacing w:after="20" w:before="20" w:line="252" w:lineRule="auto"/>
              <w:jc w:val="center"/>
            </w:pPr>
            <w:r>
              <w:rPr>
                <w:rFonts w:ascii="Calibri" w:hAnsi="Calibri" w:eastAsia="Microsoft YaHei" w:cs="Calibri"/>
                <w:sz w:val="15"/>
              </w:rPr>
              <w:t>-1.3%</w:t>
            </w:r>
          </w:p>
        </w:tc>
        <w:tc>
          <w:tcPr>
            <w:tcW w:type="dxa" w:w="789"/>
            <w:shd w:val="clear" w:color="auto" w:fill="F2F5F9"/>
          </w:tcPr>
          <w:p>
            <w:pPr>
              <w:spacing w:after="20" w:before="20" w:line="252" w:lineRule="auto"/>
              <w:jc w:val="center"/>
            </w:pPr>
            <w:r>
              <w:rPr>
                <w:rFonts w:ascii="Calibri" w:hAnsi="Calibri" w:eastAsia="Microsoft YaHei" w:cs="Calibri"/>
                <w:sz w:val="15"/>
              </w:rPr>
              <w:t>38%</w:t>
            </w:r>
          </w:p>
        </w:tc>
        <w:tc>
          <w:tcPr>
            <w:tcW w:type="dxa" w:w="878"/>
            <w:shd w:val="clear" w:color="auto" w:fill="F2F5F9"/>
          </w:tcPr>
          <w:p>
            <w:pPr>
              <w:spacing w:after="20" w:before="20" w:line="252" w:lineRule="auto"/>
              <w:jc w:val="center"/>
            </w:pPr>
            <w:r>
              <w:rPr>
                <w:rFonts w:ascii="Calibri" w:hAnsi="Calibri" w:eastAsia="Microsoft YaHei" w:cs="Calibri"/>
                <w:sz w:val="15"/>
              </w:rPr>
              <w:t>34%</w:t>
            </w:r>
          </w:p>
        </w:tc>
        <w:tc>
          <w:tcPr>
            <w:tcW w:type="dxa" w:w="2661"/>
            <w:shd w:val="clear" w:color="auto" w:fill="F2F5F9"/>
          </w:tcPr>
          <w:p>
            <w:pPr>
              <w:spacing w:after="20" w:before="20" w:line="252" w:lineRule="auto"/>
              <w:jc w:val="center"/>
            </w:pPr>
            <w:r>
              <w:rPr>
                <w:rFonts w:ascii="Calibri" w:hAnsi="Calibri" w:eastAsia="Microsoft YaHei" w:cs="Calibri"/>
                <w:sz w:val="15"/>
              </w:rPr>
              <w:t>driver</w:t>
            </w:r>
          </w:p>
        </w:tc>
      </w:tr>
      <w:tr>
        <w:trPr>
          <w:cantSplit/>
        </w:trPr>
        <w:tc>
          <w:tcPr>
            <w:tcW w:type="dxa" w:w="697"/>
          </w:tcPr>
          <w:p>
            <w:pPr>
              <w:spacing w:after="20" w:before="20" w:line="252" w:lineRule="auto"/>
              <w:jc w:val="left"/>
            </w:pPr>
            <w:r>
              <w:rPr>
                <w:rFonts w:ascii="Calibri" w:hAnsi="Calibri" w:eastAsia="Microsoft YaHei" w:cs="Calibri"/>
                <w:sz w:val="15"/>
              </w:rPr>
              <w:t>BAC</w:t>
            </w:r>
          </w:p>
        </w:tc>
        <w:tc>
          <w:tcPr>
            <w:tcW w:type="dxa" w:w="697"/>
          </w:tcPr>
          <w:p>
            <w:pPr>
              <w:spacing w:after="20" w:before="20" w:line="252" w:lineRule="auto"/>
              <w:jc w:val="center"/>
            </w:pPr>
            <w:r>
              <w:rPr>
                <w:rFonts w:ascii="Calibri" w:hAnsi="Calibri" w:eastAsia="Microsoft YaHei" w:cs="Calibri"/>
                <w:sz w:val="15"/>
              </w:rPr>
              <w:t>1.21</w:t>
            </w:r>
          </w:p>
        </w:tc>
        <w:tc>
          <w:tcPr>
            <w:tcW w:type="dxa" w:w="965"/>
          </w:tcPr>
          <w:p>
            <w:pPr>
              <w:spacing w:after="20" w:before="20" w:line="252" w:lineRule="auto"/>
              <w:jc w:val="center"/>
            </w:pPr>
            <w:r>
              <w:rPr>
                <w:rFonts w:ascii="Calibri" w:hAnsi="Calibri" w:eastAsia="Microsoft YaHei" w:cs="Calibri"/>
                <w:sz w:val="15"/>
              </w:rPr>
              <w:t>1.15</w:t>
            </w:r>
          </w:p>
        </w:tc>
        <w:tc>
          <w:tcPr>
            <w:tcW w:type="dxa" w:w="1049"/>
          </w:tcPr>
          <w:p>
            <w:pPr>
              <w:spacing w:after="20" w:before="20" w:line="252" w:lineRule="auto"/>
              <w:jc w:val="center"/>
            </w:pPr>
            <w:r>
              <w:rPr>
                <w:rFonts w:ascii="Calibri" w:hAnsi="Calibri" w:eastAsia="Microsoft YaHei" w:cs="Calibri"/>
                <w:sz w:val="15"/>
              </w:rPr>
              <w:t>1.09</w:t>
            </w:r>
          </w:p>
        </w:tc>
        <w:tc>
          <w:tcPr>
            <w:tcW w:type="dxa" w:w="1049"/>
          </w:tcPr>
          <w:p>
            <w:pPr>
              <w:spacing w:after="20" w:before="20" w:line="252" w:lineRule="auto"/>
              <w:jc w:val="center"/>
            </w:pPr>
            <w:r>
              <w:rPr>
                <w:rFonts w:ascii="Calibri" w:hAnsi="Calibri" w:eastAsia="Microsoft YaHei" w:cs="Calibri"/>
                <w:sz w:val="15"/>
              </w:rPr>
              <w:t>1.00-1.17</w:t>
            </w:r>
          </w:p>
        </w:tc>
        <w:tc>
          <w:tcPr>
            <w:tcW w:type="dxa" w:w="965"/>
          </w:tcPr>
          <w:p>
            <w:pPr>
              <w:spacing w:after="20" w:before="20" w:line="252" w:lineRule="auto"/>
              <w:jc w:val="center"/>
            </w:pPr>
            <w:r>
              <w:rPr>
                <w:rFonts w:ascii="Calibri" w:hAnsi="Calibri" w:eastAsia="Microsoft YaHei" w:cs="Calibri"/>
                <w:sz w:val="15"/>
              </w:rPr>
              <w:t>-5.5%</w:t>
            </w:r>
          </w:p>
        </w:tc>
        <w:tc>
          <w:tcPr>
            <w:tcW w:type="dxa" w:w="789"/>
          </w:tcPr>
          <w:p>
            <w:pPr>
              <w:spacing w:after="20" w:before="20" w:line="252" w:lineRule="auto"/>
              <w:jc w:val="center"/>
            </w:pPr>
            <w:r>
              <w:rPr>
                <w:rFonts w:ascii="Calibri" w:hAnsi="Calibri" w:eastAsia="Microsoft YaHei" w:cs="Calibri"/>
                <w:sz w:val="15"/>
              </w:rPr>
              <w:t>17%</w:t>
            </w:r>
          </w:p>
        </w:tc>
        <w:tc>
          <w:tcPr>
            <w:tcW w:type="dxa" w:w="878"/>
          </w:tcPr>
          <w:p>
            <w:pPr>
              <w:spacing w:after="20" w:before="20" w:line="252" w:lineRule="auto"/>
              <w:jc w:val="center"/>
            </w:pPr>
            <w:r>
              <w:rPr>
                <w:rFonts w:ascii="Calibri" w:hAnsi="Calibri" w:eastAsia="Microsoft YaHei" w:cs="Calibri"/>
                <w:sz w:val="15"/>
              </w:rPr>
              <w:t>67%</w:t>
            </w:r>
          </w:p>
        </w:tc>
        <w:tc>
          <w:tcPr>
            <w:tcW w:type="dxa" w:w="2661"/>
          </w:tcPr>
          <w:p>
            <w:pPr>
              <w:spacing w:after="20" w:before="20" w:line="252" w:lineRule="auto"/>
              <w:jc w:val="center"/>
            </w:pPr>
            <w:r>
              <w:rPr>
                <w:rFonts w:ascii="Calibri" w:hAnsi="Calibri" w:eastAsia="Microsoft YaHei" w:cs="Calibri"/>
                <w:sz w:val="15"/>
              </w:rPr>
              <w:t>driver</w:t>
            </w:r>
          </w:p>
        </w:tc>
      </w:tr>
      <w:tr>
        <w:trPr>
          <w:cantSplit/>
        </w:trPr>
        <w:tc>
          <w:tcPr>
            <w:tcW w:type="dxa" w:w="697"/>
            <w:shd w:val="clear" w:color="auto" w:fill="F2F5F9"/>
          </w:tcPr>
          <w:p>
            <w:pPr>
              <w:spacing w:after="20" w:before="20" w:line="252" w:lineRule="auto"/>
              <w:jc w:val="left"/>
            </w:pPr>
            <w:r>
              <w:rPr>
                <w:rFonts w:ascii="Calibri" w:hAnsi="Calibri" w:eastAsia="Microsoft YaHei" w:cs="Calibri"/>
                <w:sz w:val="15"/>
              </w:rPr>
              <w:t>HBAN</w:t>
            </w:r>
          </w:p>
        </w:tc>
        <w:tc>
          <w:tcPr>
            <w:tcW w:type="dxa" w:w="697"/>
            <w:shd w:val="clear" w:color="auto" w:fill="F2F5F9"/>
          </w:tcPr>
          <w:p>
            <w:pPr>
              <w:spacing w:after="20" w:before="20" w:line="252" w:lineRule="auto"/>
              <w:jc w:val="center"/>
            </w:pPr>
            <w:r>
              <w:rPr>
                <w:rFonts w:ascii="Calibri" w:hAnsi="Calibri" w:eastAsia="Microsoft YaHei" w:cs="Calibri"/>
                <w:sz w:val="15"/>
              </w:rPr>
              <w:t>0.33</w:t>
            </w:r>
          </w:p>
        </w:tc>
        <w:tc>
          <w:tcPr>
            <w:tcW w:type="dxa" w:w="965"/>
            <w:shd w:val="clear" w:color="auto" w:fill="F2F5F9"/>
          </w:tcPr>
          <w:p>
            <w:pPr>
              <w:spacing w:after="20" w:before="20" w:line="252" w:lineRule="auto"/>
              <w:jc w:val="center"/>
            </w:pPr>
            <w:r>
              <w:rPr>
                <w:rFonts w:ascii="Calibri" w:hAnsi="Calibri" w:eastAsia="Microsoft YaHei" w:cs="Calibri"/>
                <w:sz w:val="15"/>
              </w:rPr>
              <w:t>0.39</w:t>
            </w:r>
          </w:p>
        </w:tc>
        <w:tc>
          <w:tcPr>
            <w:tcW w:type="dxa" w:w="1049"/>
            <w:shd w:val="clear" w:color="auto" w:fill="F2F5F9"/>
          </w:tcPr>
          <w:p>
            <w:pPr>
              <w:spacing w:after="20" w:before="20" w:line="252" w:lineRule="auto"/>
              <w:jc w:val="center"/>
            </w:pPr>
            <w:r>
              <w:rPr>
                <w:rFonts w:ascii="Calibri" w:hAnsi="Calibri" w:eastAsia="Microsoft YaHei" w:cs="Calibri"/>
                <w:sz w:val="15"/>
              </w:rPr>
              <w:t>0.36</w:t>
            </w:r>
          </w:p>
        </w:tc>
        <w:tc>
          <w:tcPr>
            <w:tcW w:type="dxa" w:w="1049"/>
            <w:shd w:val="clear" w:color="auto" w:fill="F2F5F9"/>
          </w:tcPr>
          <w:p>
            <w:pPr>
              <w:spacing w:after="20" w:before="20" w:line="252" w:lineRule="auto"/>
              <w:jc w:val="center"/>
            </w:pPr>
            <w:r>
              <w:rPr>
                <w:rFonts w:ascii="Calibri" w:hAnsi="Calibri" w:eastAsia="Microsoft YaHei" w:cs="Calibri"/>
                <w:sz w:val="15"/>
              </w:rPr>
              <w:t>0.31-0.41</w:t>
            </w:r>
          </w:p>
        </w:tc>
        <w:tc>
          <w:tcPr>
            <w:tcW w:type="dxa" w:w="965"/>
            <w:shd w:val="clear" w:color="auto" w:fill="F2F5F9"/>
          </w:tcPr>
          <w:p>
            <w:pPr>
              <w:spacing w:after="20" w:before="20" w:line="252" w:lineRule="auto"/>
              <w:jc w:val="center"/>
            </w:pPr>
            <w:r>
              <w:rPr>
                <w:rFonts w:ascii="Calibri" w:hAnsi="Calibri" w:eastAsia="Microsoft YaHei" w:cs="Calibri"/>
                <w:sz w:val="15"/>
              </w:rPr>
              <w:t>-7.6%</w:t>
            </w:r>
          </w:p>
        </w:tc>
        <w:tc>
          <w:tcPr>
            <w:tcW w:type="dxa" w:w="789"/>
            <w:shd w:val="clear" w:color="auto" w:fill="F2F5F9"/>
          </w:tcPr>
          <w:p>
            <w:pPr>
              <w:spacing w:after="20" w:before="20" w:line="252" w:lineRule="auto"/>
              <w:jc w:val="center"/>
            </w:pPr>
            <w:r>
              <w:rPr>
                <w:rFonts w:ascii="Calibri" w:hAnsi="Calibri" w:eastAsia="Microsoft YaHei" w:cs="Calibri"/>
                <w:sz w:val="15"/>
              </w:rPr>
              <w:t>22%</w:t>
            </w:r>
          </w:p>
        </w:tc>
        <w:tc>
          <w:tcPr>
            <w:tcW w:type="dxa" w:w="878"/>
            <w:shd w:val="clear" w:color="auto" w:fill="F2F5F9"/>
          </w:tcPr>
          <w:p>
            <w:pPr>
              <w:spacing w:after="20" w:before="20" w:line="252" w:lineRule="auto"/>
              <w:jc w:val="center"/>
            </w:pPr>
            <w:r>
              <w:rPr>
                <w:rFonts w:ascii="Calibri" w:hAnsi="Calibri" w:eastAsia="Microsoft YaHei" w:cs="Calibri"/>
                <w:sz w:val="15"/>
              </w:rPr>
              <w:t>69%</w:t>
            </w:r>
          </w:p>
        </w:tc>
        <w:tc>
          <w:tcPr>
            <w:tcW w:type="dxa" w:w="2661"/>
            <w:shd w:val="clear" w:color="auto" w:fill="F2F5F9"/>
          </w:tcPr>
          <w:p>
            <w:pPr>
              <w:spacing w:after="20" w:before="20" w:line="252" w:lineRule="auto"/>
              <w:jc w:val="center"/>
            </w:pPr>
            <w:r>
              <w:rPr>
                <w:rFonts w:ascii="Calibri" w:hAnsi="Calibri" w:eastAsia="Microsoft YaHei" w:cs="Calibri"/>
                <w:sz w:val="15"/>
              </w:rPr>
              <w:t>driver</w:t>
            </w:r>
          </w:p>
        </w:tc>
      </w:tr>
      <w:tr>
        <w:trPr>
          <w:cantSplit/>
        </w:trPr>
        <w:tc>
          <w:tcPr>
            <w:tcW w:type="dxa" w:w="697"/>
          </w:tcPr>
          <w:p>
            <w:pPr>
              <w:spacing w:after="20" w:before="20" w:line="252" w:lineRule="auto"/>
              <w:jc w:val="left"/>
            </w:pPr>
            <w:r>
              <w:rPr>
                <w:rFonts w:ascii="Calibri" w:hAnsi="Calibri" w:eastAsia="Microsoft YaHei" w:cs="Calibri"/>
                <w:sz w:val="15"/>
              </w:rPr>
              <w:t>GS</w:t>
            </w:r>
          </w:p>
        </w:tc>
        <w:tc>
          <w:tcPr>
            <w:tcW w:type="dxa" w:w="697"/>
          </w:tcPr>
          <w:p>
            <w:pPr>
              <w:spacing w:after="20" w:before="20" w:line="252" w:lineRule="auto"/>
              <w:jc w:val="center"/>
            </w:pPr>
            <w:r>
              <w:rPr>
                <w:rFonts w:ascii="Calibri" w:hAnsi="Calibri" w:eastAsia="Microsoft YaHei" w:cs="Calibri"/>
                <w:sz w:val="15"/>
              </w:rPr>
              <w:t>20.98</w:t>
            </w:r>
          </w:p>
        </w:tc>
        <w:tc>
          <w:tcPr>
            <w:tcW w:type="dxa" w:w="965"/>
          </w:tcPr>
          <w:p>
            <w:pPr>
              <w:spacing w:after="20" w:before="20" w:line="252" w:lineRule="auto"/>
              <w:jc w:val="center"/>
            </w:pPr>
            <w:r>
              <w:rPr>
                <w:rFonts w:ascii="Calibri" w:hAnsi="Calibri" w:eastAsia="Microsoft YaHei" w:cs="Calibri"/>
                <w:sz w:val="15"/>
              </w:rPr>
              <w:t>15.39</w:t>
            </w:r>
          </w:p>
        </w:tc>
        <w:tc>
          <w:tcPr>
            <w:tcW w:type="dxa" w:w="1049"/>
          </w:tcPr>
          <w:p>
            <w:pPr>
              <w:spacing w:after="20" w:before="20" w:line="252" w:lineRule="auto"/>
              <w:jc w:val="center"/>
            </w:pPr>
            <w:r>
              <w:rPr>
                <w:rFonts w:ascii="Calibri" w:hAnsi="Calibri" w:eastAsia="Microsoft YaHei" w:cs="Calibri"/>
                <w:sz w:val="15"/>
              </w:rPr>
              <w:t>14.19</w:t>
            </w:r>
          </w:p>
        </w:tc>
        <w:tc>
          <w:tcPr>
            <w:tcW w:type="dxa" w:w="1049"/>
          </w:tcPr>
          <w:p>
            <w:pPr>
              <w:spacing w:after="20" w:before="20" w:line="252" w:lineRule="auto"/>
              <w:jc w:val="center"/>
            </w:pPr>
            <w:r>
              <w:rPr>
                <w:rFonts w:ascii="Calibri" w:hAnsi="Calibri" w:eastAsia="Microsoft YaHei" w:cs="Calibri"/>
                <w:sz w:val="15"/>
              </w:rPr>
              <w:t>9.57-18.84</w:t>
            </w:r>
          </w:p>
        </w:tc>
        <w:tc>
          <w:tcPr>
            <w:tcW w:type="dxa" w:w="965"/>
          </w:tcPr>
          <w:p>
            <w:pPr>
              <w:spacing w:after="20" w:before="20" w:line="252" w:lineRule="auto"/>
              <w:jc w:val="center"/>
            </w:pPr>
            <w:r>
              <w:rPr>
                <w:rFonts w:ascii="Calibri" w:hAnsi="Calibri" w:eastAsia="Microsoft YaHei" w:cs="Calibri"/>
                <w:sz w:val="15"/>
              </w:rPr>
              <w:t>-7.8%</w:t>
            </w:r>
          </w:p>
        </w:tc>
        <w:tc>
          <w:tcPr>
            <w:tcW w:type="dxa" w:w="789"/>
          </w:tcPr>
          <w:p>
            <w:pPr>
              <w:spacing w:after="20" w:before="20" w:line="252" w:lineRule="auto"/>
              <w:jc w:val="center"/>
            </w:pPr>
            <w:r>
              <w:rPr>
                <w:rFonts w:ascii="Calibri" w:hAnsi="Calibri" w:eastAsia="Microsoft YaHei" w:cs="Calibri"/>
                <w:sz w:val="15"/>
              </w:rPr>
              <w:t>37%</w:t>
            </w:r>
          </w:p>
        </w:tc>
        <w:tc>
          <w:tcPr>
            <w:tcW w:type="dxa" w:w="878"/>
          </w:tcPr>
          <w:p>
            <w:pPr>
              <w:spacing w:after="20" w:before="20" w:line="252" w:lineRule="auto"/>
              <w:jc w:val="center"/>
            </w:pPr>
            <w:r>
              <w:rPr>
                <w:rFonts w:ascii="Calibri" w:hAnsi="Calibri" w:eastAsia="Microsoft YaHei" w:cs="Calibri"/>
                <w:sz w:val="15"/>
              </w:rPr>
              <w:t>58%</w:t>
            </w:r>
          </w:p>
        </w:tc>
        <w:tc>
          <w:tcPr>
            <w:tcW w:type="dxa" w:w="2661"/>
          </w:tcPr>
          <w:p>
            <w:pPr>
              <w:spacing w:after="20" w:before="20" w:line="252" w:lineRule="auto"/>
              <w:jc w:val="center"/>
            </w:pPr>
            <w:r>
              <w:rPr>
                <w:rFonts w:ascii="Calibri" w:hAnsi="Calibri" w:eastAsia="Microsoft YaHei" w:cs="Calibri"/>
                <w:sz w:val="15"/>
              </w:rPr>
              <w:t>driver</w:t>
            </w:r>
          </w:p>
        </w:tc>
      </w:tr>
    </w:tbl>
    <w:p>
      <w:pPr>
        <w:spacing w:after="40"/>
      </w:pPr>
    </w:p>
    <w:p>
      <w:pPr>
        <w:pStyle w:val="Heading3"/>
      </w:pPr>
      <w:r>
        <w:rPr>
          <w:rFonts w:ascii="Calibri" w:hAnsi="Calibri" w:eastAsia="Microsoft YaHei" w:cs="Calibri"/>
          <w:b/>
          <w:color w:val="1F4E79"/>
          <w:sz w:val="24"/>
        </w:rPr>
        <w:t>4.1 Derivation of the key calls</w:t>
      </w:r>
    </w:p>
    <w:p>
      <w:r>
        <w:rPr>
          <w:rFonts w:ascii="Calibri" w:hAnsi="Calibri" w:eastAsia="Microsoft YaHei" w:cs="Calibri"/>
          <w:b/>
          <w:sz w:val="21"/>
        </w:rPr>
        <w:t>C (largest positive gap)</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Q2 EPS was $3.15, while Q3 consensus is $2.64 (-16%).</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Q1 and Q2 actuals beat consensus by +15.4% and +15.0%, showing the sell side is anchored on the old 10-11% ROTCE guidance; in September management changed its tone to "above 11% for the full year".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Our bridge: Markets -$0.7B, IB -$0.15B, Services/Wealth/USPB +$0.25B, expenses -$0.1B, provisions -$0.1B, for a total pre-tax -$0.6B, or about -0.19 EPS, plus a lower share count (1,736M to 1,710M).</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Risk: if Q2 contains non-recurring items we have not identified (we found no disclosure of a Visa gain), the base is too high.</w:t>
      </w:r>
    </w:p>
    <w:p>
      <w:r>
        <w:rPr>
          <w:rFonts w:ascii="Calibri" w:hAnsi="Calibri" w:eastAsia="Microsoft YaHei" w:cs="Calibri"/>
          <w:b/>
          <w:sz w:val="21"/>
        </w:rPr>
        <w:t>JPM</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After the full-year guidance raise, H2 NII is about $27.3B per quarter. Markets falls from $12.1B to about $10.4B and IB falls about $0.16B; the bridge totals about -$0.31B pre-tax.</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The sell side's $5.86 is conservative (a 4-quarter average beat of +4.6%, +9.8% in Q2); our $6.10 is more consistent.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Part of the upside is already priced in by the "whisper $6.09".</w:t>
      </w:r>
    </w:p>
    <w:p>
      <w:r>
        <w:rPr>
          <w:rFonts w:ascii="Calibri" w:hAnsi="Calibri" w:eastAsia="Microsoft YaHei" w:cs="Calibri"/>
          <w:b/>
          <w:sz w:val="21"/>
        </w:rPr>
        <w:t>MS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Management has explicitly lowered Q3 expectations (consensus $3.08-3.13 vs. Q2 $3.46). Our bridge is slightly above consensus, mainly because the bonus accrual falls with revenue and the tax rate goes from about 24% to 23%.</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A caveat: about $200M of unrealised carry reversal (about $0.05 of EPS) is already included.</w:t>
      </w:r>
    </w:p>
    <w:p>
      <w:r>
        <w:rPr>
          <w:rFonts w:ascii="Calibri" w:hAnsi="Calibri" w:eastAsia="Microsoft YaHei" w:cs="Calibri"/>
          <w:b/>
          <w:sz w:val="21"/>
        </w:rPr>
        <w:t>BAC (most worth worrying about)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On 9/14 Moynihan said Q3 IB fees would be $1.6-1.8B and S&amp;T flat YoY ($5.4B).</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Q2 S&amp;T was $7.1B and IB $2.1B, so these two lines alone are about -$1.95B of revenue quarter on quarter. The NII increment (about +$0.3B) and wealth fees (+$0.1B) offset only part of it.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Expenses are anchored near $18.6B. The result is EPS of about $1.09 vs. consensus of $1.14-1.17.</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Reality check: consensus revenue is $30.9-31.2B vs. $31.56B in Q2, meaning the sell side cut only $0.4-0.6B, inconsistent with management's "-$1.6B+ quarter-on-quarter revenue".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The biggest uncertainty in this call: the consensus basis may include FTE or treat the S&amp;T / NII overlap differently; also one data page (earningscalls.dev) shows Q3 EPS of $1.45, which is clearly wrong and was excluded.</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The stock already fell more than 5% on 9/14 and is -12.9% over one month, so a good part of the miss is already expected.</w:t>
      </w:r>
    </w:p>
    <w:p>
      <w:r>
        <w:rPr>
          <w:rFonts w:ascii="Calibri" w:hAnsi="Calibri" w:eastAsia="Microsoft YaHei" w:cs="Calibri"/>
          <w:b/>
          <w:sz w:val="21"/>
        </w:rPr>
        <w:t>GS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Solomon said three things: investing lines are "sharply weaker"; non-compensation expenses are up $500M+ QoQ (trading costs, technology spending, charitable giving pulled forward); and provisions are slightly higher.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MS Research cut Q3 EPS to $13.76 (19% below consensus at the time); the non-compensation expense revision alone cut consensus EPS by 12%.</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Our bridge gives $14.2, with a P10-P90 of $9.6-18.8, the widest range of any name. GS is also the most volatile (60-day volatility of 36%).</w:t>
      </w:r>
    </w:p>
    <w:p>
      <w:r>
        <w:rPr>
          <w:rFonts w:ascii="Calibri" w:hAnsi="Calibri" w:eastAsia="Microsoft YaHei" w:cs="Calibri"/>
          <w:b/>
          <w:sz w:val="21"/>
        </w:rPr>
        <w:t>HBAN</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Full-year NII growth was cut to about 35% (from 39-43%), which back-solves to roughly flat Q3 NII. Q2 EPS was $0.33, and the $0.39 consensus requires a large improvement.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Lower integration costs for the Cadence acquisition are the main positive but not enough to cover it. BAC and MS downgraded it in July.</w:t>
      </w:r>
    </w:p>
    <w:p>
      <w:r>
        <w:rPr>
          <w:rFonts w:ascii="Calibri" w:hAnsi="Calibri" w:eastAsia="Microsoft YaHei" w:cs="Calibri"/>
          <w:b/>
          <w:sz w:val="21"/>
        </w:rPr>
        <w:t>FITB</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Q2 adjusted EPS was $1.02 (GAAP $0.83, including $203M of merger costs). YTD merger costs are about 65% of the full-year total, so roughly one-third remains for H2 and Q3 (the systems-conversion quarter) is about $200M.</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On 9/15 management said NII and fee income are at the high end of guidance and expenses at the low end.</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The $0.84 consensus looks GAAP-based and conservative. But the Q3 AOCI hit of -7% of TCE is a risk.</w:t>
      </w:r>
    </w:p>
    <w:p>
      <w:r>
        <w:rPr>
          <w:rFonts w:ascii="Calibri" w:hAnsi="Calibri" w:eastAsia="Microsoft YaHei" w:cs="Calibri"/>
          <w:b/>
          <w:sz w:val="21"/>
        </w:rPr>
        <w:t>TFC (low confidence)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Consensus of $1.12 is below Q2's $1.23, while guidance is revenue +1%, NII +1.5%, expenses +2%.</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Question mark: Q2 other income of $208M (Q1 $102M) may contain one-offs; we have already deducted $60M.</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Consensus has a single source (MarketBeat), so we only say "leaning toward a beat" and give it little weight.</w:t>
      </w:r>
    </w:p>
    <w:p>
      <w:pPr>
        <w:pStyle w:val="Heading3"/>
      </w:pPr>
      <w:r>
        <w:rPr>
          <w:rFonts w:ascii="Calibri" w:hAnsi="Calibri" w:eastAsia="Microsoft YaHei" w:cs="Calibri"/>
          <w:b/>
          <w:color w:val="1F4E79"/>
          <w:sz w:val="24"/>
        </w:rPr>
        <w:t>4.2 Names without a driver model</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BNY</w:t>
      </w:r>
      <w:r>
        <w:rPr>
          <w:rFonts w:ascii="Calibri" w:hAnsi="Calibri" w:eastAsia="Microsoft YaHei" w:cs="Calibri"/>
          <w:sz w:val="21"/>
        </w:rPr>
        <w:t>: full-year revenue +10-11%, NII +12-13%, expenses +6-7%; the sell side's $2.25-2.27 is below Q2 because the Q2 base may contain non-recurring items. We lean +4%. But with 25.8x leverage, an AFS AOCI hit of -10.6% of TCE and +26% YTD, the stock is less sensitive to a "beat".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COF</w:t>
      </w:r>
      <w:r>
        <w:rPr>
          <w:rFonts w:ascii="Calibri" w:hAnsi="Calibri" w:eastAsia="Microsoft YaHei" w:cs="Calibri"/>
          <w:sz w:val="21"/>
        </w:rPr>
        <w:t>: card NCO rate 3.23% (-22bp QoQ), Discover integration costs down to $298M, but Q3 NIM is seasonally weak; adjusted consensus is $5.34-5.37 and we are neutral.</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STT / NTRS / RF / ZION</w:t>
      </w:r>
      <w:r>
        <w:rPr>
          <w:rFonts w:ascii="Calibri" w:hAnsi="Calibri" w:eastAsia="Microsoft YaHei" w:cs="Calibri"/>
          <w:sz w:val="21"/>
        </w:rPr>
        <w:t>: Q2 included a Visa gain or one-offs (ZION disclosed about $252M of pre-tax non-recurring items), so the base is not clean and we give no point estimate.</w:t>
      </w:r>
    </w:p>
    <w:p>
      <w:pPr>
        <w:pStyle w:val="Heading2"/>
      </w:pPr>
      <w:r>
        <w:rPr>
          <w:rFonts w:ascii="Calibri" w:hAnsi="Calibri" w:eastAsia="Microsoft YaHei" w:cs="Calibri"/>
          <w:b/>
          <w:color w:val="1F4E79"/>
          <w:sz w:val="28"/>
        </w:rPr>
        <w:t>5. Tiered list</w:t>
      </w:r>
    </w:p>
    <w:p>
      <w:r>
        <w:rPr>
          <w:rFonts w:ascii="Calibri" w:hAnsi="Calibri" w:eastAsia="Microsoft YaHei" w:cs="Calibri"/>
          <w:b/>
          <w:sz w:val="21"/>
        </w:rPr>
        <w:t>This is a composite score, not a trade instruction.</w:t>
      </w:r>
      <w:r>
        <w:rPr>
          <w:rFonts w:ascii="Calibri" w:hAnsi="Calibri" w:eastAsia="Microsoft YaHei" w:cs="Calibri"/>
          <w:sz w:val="21"/>
        </w:rPr>
        <w:t xml:space="preserve"> Composite = 0.5 x earnings score + 0.3 x price-momentum score + 0.2 x balance-sheet score (</w:t>
      </w:r>
      <w:r>
        <w:rPr>
          <w:rFonts w:ascii="Consolas" w:hAnsi="Consolas" w:eastAsia="Microsoft YaHei" w:cs="Consolas"/>
          <w:color w:val="8B1A1A"/>
          <w:sz w:val="19"/>
        </w:rPr>
        <w:t>summary_table.py</w:t>
      </w:r>
      <w:r>
        <w:rPr>
          <w:rFonts w:ascii="Calibri" w:hAnsi="Calibri" w:eastAsia="Microsoft YaHei" w:cs="Calibri"/>
          <w:sz w:val="21"/>
        </w:rPr>
        <w:t>).</w:t>
      </w:r>
    </w:p>
    <w:p>
      <w:pPr>
        <w:pStyle w:val="Heading3"/>
      </w:pPr>
      <w:r>
        <w:rPr>
          <w:rFonts w:ascii="Calibri" w:hAnsi="Calibri" w:eastAsia="Microsoft YaHei" w:cs="Calibri"/>
          <w:b/>
          <w:color w:val="1F4E79"/>
          <w:sz w:val="24"/>
        </w:rPr>
        <w:t>5.1 Leaning bullish (EPS likely better than consensus, with modest expectations)</w:t>
      </w:r>
    </w:p>
    <w:tbl>
      <w:tblPr>
        <w:tblStyle w:val="TableGrid"/>
        <w:tblW w:type="auto" w:w="0"/>
        <w:jc w:val="center"/>
        <w:tblLayout w:type="fixed"/>
        <w:tblLook w:firstColumn="1" w:firstRow="1" w:lastColumn="0" w:lastRow="0" w:noHBand="0" w:noVBand="1" w:val="04A0"/>
      </w:tblPr>
      <w:tblGrid>
        <w:gridCol w:w="1992"/>
        <w:gridCol w:w="3879"/>
        <w:gridCol w:w="3879"/>
      </w:tblGrid>
      <w:tr>
        <w:trPr>
          <w:tblHeader w:val="true"/>
          <w:cantSplit/>
        </w:trPr>
        <w:tc>
          <w:tcPr>
            <w:tcW w:type="dxa" w:w="1992"/>
            <w:shd w:val="clear" w:color="auto" w:fill="1F4E79"/>
          </w:tcPr>
          <w:p>
            <w:pPr>
              <w:spacing w:after="20" w:before="20" w:line="252" w:lineRule="auto"/>
              <w:jc w:val="center"/>
            </w:pPr>
            <w:r>
              <w:rPr>
                <w:rFonts w:ascii="Calibri" w:hAnsi="Calibri" w:eastAsia="Microsoft YaHei" w:cs="Calibri"/>
                <w:b/>
                <w:color w:val="FFFFFF"/>
                <w:sz w:val="18"/>
              </w:rPr>
              <w:t>Ticker</w:t>
            </w:r>
          </w:p>
        </w:tc>
        <w:tc>
          <w:tcPr>
            <w:tcW w:type="dxa" w:w="3879"/>
            <w:shd w:val="clear" w:color="auto" w:fill="1F4E79"/>
          </w:tcPr>
          <w:p>
            <w:pPr>
              <w:spacing w:after="20" w:before="20" w:line="252" w:lineRule="auto"/>
              <w:jc w:val="center"/>
            </w:pPr>
            <w:r>
              <w:rPr>
                <w:rFonts w:ascii="Calibri" w:hAnsi="Calibri" w:eastAsia="Microsoft YaHei" w:cs="Calibri"/>
                <w:b/>
                <w:color w:val="FFFFFF"/>
                <w:sz w:val="18"/>
              </w:rPr>
              <w:t>Rationale</w:t>
            </w:r>
          </w:p>
        </w:tc>
        <w:tc>
          <w:tcPr>
            <w:tcW w:type="dxa" w:w="3879"/>
            <w:shd w:val="clear" w:color="auto" w:fill="1F4E79"/>
          </w:tcPr>
          <w:p>
            <w:pPr>
              <w:spacing w:after="20" w:before="20" w:line="252" w:lineRule="auto"/>
              <w:jc w:val="center"/>
            </w:pPr>
            <w:r>
              <w:rPr>
                <w:rFonts w:ascii="Calibri" w:hAnsi="Calibri" w:eastAsia="Microsoft YaHei" w:cs="Calibri"/>
                <w:b/>
                <w:color w:val="FFFFFF"/>
                <w:sz w:val="18"/>
              </w:rPr>
              <w:t>Main risk</w:t>
            </w:r>
          </w:p>
        </w:tc>
      </w:tr>
      <w:tr>
        <w:trPr>
          <w:cantSplit/>
        </w:trPr>
        <w:tc>
          <w:tcPr>
            <w:tcW w:type="dxa" w:w="1992"/>
          </w:tcPr>
          <w:p>
            <w:pPr>
              <w:spacing w:after="20" w:before="20" w:line="252" w:lineRule="auto"/>
              <w:jc w:val="left"/>
            </w:pPr>
            <w:r>
              <w:rPr>
                <w:rFonts w:ascii="Calibri" w:hAnsi="Calibri" w:eastAsia="Microsoft YaHei" w:cs="Calibri"/>
                <w:b/>
                <w:sz w:val="18"/>
              </w:rPr>
              <w:t>C</w:t>
            </w:r>
          </w:p>
        </w:tc>
        <w:tc>
          <w:tcPr>
            <w:tcW w:type="dxa" w:w="3879"/>
          </w:tcPr>
          <w:p>
            <w:pPr>
              <w:spacing w:after="20" w:before="20" w:line="252" w:lineRule="auto"/>
              <w:jc w:val="left"/>
            </w:pPr>
            <w:r>
              <w:rPr>
                <w:rFonts w:ascii="Calibri" w:hAnsi="Calibri" w:eastAsia="Microsoft YaHei" w:cs="Calibri"/>
                <w:sz w:val="18"/>
              </w:rPr>
              <w:t>Consensus systematically low (two straight quarters of 15%+ beats); management raised full-year ROTCE; -7% in Q3 and 12% below its high</w:t>
            </w:r>
          </w:p>
        </w:tc>
        <w:tc>
          <w:tcPr>
            <w:tcW w:type="dxa" w:w="3879"/>
          </w:tcPr>
          <w:p>
            <w:pPr>
              <w:spacing w:after="20" w:before="20" w:line="252" w:lineRule="auto"/>
              <w:jc w:val="left"/>
            </w:pPr>
            <w:r>
              <w:rPr>
                <w:rFonts w:ascii="Calibri" w:hAnsi="Calibri" w:eastAsia="Microsoft YaHei" w:cs="Calibri"/>
                <w:sz w:val="18"/>
              </w:rPr>
              <w:t>Q2 base may contain unidentified one-offs</w:t>
            </w:r>
          </w:p>
        </w:tc>
      </w:tr>
      <w:tr>
        <w:trPr>
          <w:cantSplit/>
        </w:trPr>
        <w:tc>
          <w:tcPr>
            <w:tcW w:type="dxa" w:w="1992"/>
            <w:shd w:val="clear" w:color="auto" w:fill="F2F5F9"/>
          </w:tcPr>
          <w:p>
            <w:pPr>
              <w:spacing w:after="20" w:before="20" w:line="252" w:lineRule="auto"/>
              <w:jc w:val="left"/>
            </w:pPr>
            <w:r>
              <w:rPr>
                <w:rFonts w:ascii="Calibri" w:hAnsi="Calibri" w:eastAsia="Microsoft YaHei" w:cs="Calibri"/>
                <w:b/>
                <w:sz w:val="18"/>
              </w:rPr>
              <w:t>JPM</w:t>
            </w:r>
          </w:p>
        </w:tc>
        <w:tc>
          <w:tcPr>
            <w:tcW w:type="dxa" w:w="3879"/>
            <w:shd w:val="clear" w:color="auto" w:fill="F2F5F9"/>
          </w:tcPr>
          <w:p>
            <w:pPr>
              <w:spacing w:after="20" w:before="20" w:line="252" w:lineRule="auto"/>
              <w:jc w:val="left"/>
            </w:pPr>
            <w:r>
              <w:rPr>
                <w:rFonts w:ascii="Calibri" w:hAnsi="Calibri" w:eastAsia="Microsoft YaHei" w:cs="Calibri"/>
                <w:sz w:val="18"/>
              </w:rPr>
              <w:t>Guidance raised for NII and expenses, IB/Markets up mid-to-high teens YoY; provision guidance lowered (card NCO 3.2%)</w:t>
            </w:r>
          </w:p>
        </w:tc>
        <w:tc>
          <w:tcPr>
            <w:tcW w:type="dxa" w:w="3879"/>
            <w:shd w:val="clear" w:color="auto" w:fill="F2F5F9"/>
          </w:tcPr>
          <w:p>
            <w:pPr>
              <w:spacing w:after="20" w:before="20" w:line="252" w:lineRule="auto"/>
              <w:jc w:val="left"/>
            </w:pPr>
            <w:r>
              <w:rPr>
                <w:rFonts w:ascii="Calibri" w:hAnsi="Calibri" w:eastAsia="Microsoft YaHei" w:cs="Calibri"/>
                <w:sz w:val="18"/>
              </w:rPr>
              <w:t>Expenses keep being raised; the "whisper" is already above consensus</w:t>
            </w:r>
          </w:p>
        </w:tc>
      </w:tr>
      <w:tr>
        <w:trPr>
          <w:cantSplit/>
        </w:trPr>
        <w:tc>
          <w:tcPr>
            <w:tcW w:type="dxa" w:w="1992"/>
          </w:tcPr>
          <w:p>
            <w:pPr>
              <w:spacing w:after="20" w:before="20" w:line="252" w:lineRule="auto"/>
              <w:jc w:val="left"/>
            </w:pPr>
            <w:r>
              <w:rPr>
                <w:rFonts w:ascii="Calibri" w:hAnsi="Calibri" w:eastAsia="Microsoft YaHei" w:cs="Calibri"/>
                <w:b/>
                <w:sz w:val="18"/>
              </w:rPr>
              <w:t>MS</w:t>
            </w:r>
          </w:p>
        </w:tc>
        <w:tc>
          <w:tcPr>
            <w:tcW w:type="dxa" w:w="3879"/>
          </w:tcPr>
          <w:p>
            <w:pPr>
              <w:spacing w:after="20" w:before="20" w:line="252" w:lineRule="auto"/>
              <w:jc w:val="left"/>
            </w:pPr>
            <w:r>
              <w:rPr>
                <w:rFonts w:ascii="Calibri" w:hAnsi="Calibri" w:eastAsia="Microsoft YaHei" w:cs="Calibri"/>
                <w:sz w:val="18"/>
              </w:rPr>
              <w:t>Management has already lowered expectations; wealth management + 100+ sell-side mandates; stock -10.9% (1 month)</w:t>
            </w:r>
          </w:p>
        </w:tc>
        <w:tc>
          <w:tcPr>
            <w:tcW w:type="dxa" w:w="3879"/>
          </w:tcPr>
          <w:p>
            <w:pPr>
              <w:spacing w:after="20" w:before="20" w:line="252" w:lineRule="auto"/>
              <w:jc w:val="left"/>
            </w:pPr>
            <w:r>
              <w:rPr>
                <w:rFonts w:ascii="Calibri" w:hAnsi="Calibri" w:eastAsia="Microsoft YaHei" w:cs="Calibri"/>
                <w:sz w:val="18"/>
              </w:rPr>
              <w:t>IPO-related flows in Q2 are not sustainable; UBS M&amp;A rumour (9/24) is a distraction</w:t>
            </w:r>
          </w:p>
        </w:tc>
      </w:tr>
      <w:tr>
        <w:trPr>
          <w:cantSplit/>
        </w:trPr>
        <w:tc>
          <w:tcPr>
            <w:tcW w:type="dxa" w:w="1992"/>
            <w:shd w:val="clear" w:color="auto" w:fill="F2F5F9"/>
          </w:tcPr>
          <w:p>
            <w:pPr>
              <w:spacing w:after="20" w:before="20" w:line="252" w:lineRule="auto"/>
              <w:jc w:val="left"/>
            </w:pPr>
            <w:r>
              <w:rPr>
                <w:rFonts w:ascii="Calibri" w:hAnsi="Calibri" w:eastAsia="Microsoft YaHei" w:cs="Calibri"/>
                <w:b/>
                <w:sz w:val="18"/>
              </w:rPr>
              <w:t>FITB</w:t>
            </w:r>
          </w:p>
        </w:tc>
        <w:tc>
          <w:tcPr>
            <w:tcW w:type="dxa" w:w="3879"/>
            <w:shd w:val="clear" w:color="auto" w:fill="F2F5F9"/>
          </w:tcPr>
          <w:p>
            <w:pPr>
              <w:spacing w:after="20" w:before="20" w:line="252" w:lineRule="auto"/>
              <w:jc w:val="left"/>
            </w:pPr>
            <w:r>
              <w:rPr>
                <w:rFonts w:ascii="Calibri" w:hAnsi="Calibri" w:eastAsia="Microsoft YaHei" w:cs="Calibri"/>
                <w:sz w:val="18"/>
              </w:rPr>
              <w:t>All Q3 guidance for the Comerica integration is at the high end; conversion complete</w:t>
            </w:r>
          </w:p>
        </w:tc>
        <w:tc>
          <w:tcPr>
            <w:tcW w:type="dxa" w:w="3879"/>
            <w:shd w:val="clear" w:color="auto" w:fill="F2F5F9"/>
          </w:tcPr>
          <w:p>
            <w:pPr>
              <w:spacing w:after="20" w:before="20" w:line="252" w:lineRule="auto"/>
              <w:jc w:val="left"/>
            </w:pPr>
            <w:r>
              <w:rPr>
                <w:rFonts w:ascii="Calibri" w:hAnsi="Calibri" w:eastAsia="Microsoft YaHei" w:cs="Calibri"/>
                <w:sz w:val="18"/>
              </w:rPr>
              <w:t>Size of merger costs (consensus range $0.34-1.11 is very wide); AOCI hit about -7% of TCE</w:t>
            </w:r>
          </w:p>
        </w:tc>
      </w:tr>
      <w:tr>
        <w:trPr>
          <w:cantSplit/>
        </w:trPr>
        <w:tc>
          <w:tcPr>
            <w:tcW w:type="dxa" w:w="1992"/>
          </w:tcPr>
          <w:p>
            <w:pPr>
              <w:spacing w:after="20" w:before="20" w:line="252" w:lineRule="auto"/>
              <w:jc w:val="left"/>
            </w:pPr>
            <w:r>
              <w:rPr>
                <w:rFonts w:ascii="Calibri" w:hAnsi="Calibri" w:eastAsia="Microsoft YaHei" w:cs="Calibri"/>
                <w:b/>
                <w:sz w:val="18"/>
              </w:rPr>
              <w:t>USB</w:t>
            </w:r>
          </w:p>
        </w:tc>
        <w:tc>
          <w:tcPr>
            <w:tcW w:type="dxa" w:w="3879"/>
          </w:tcPr>
          <w:p>
            <w:pPr>
              <w:spacing w:after="20" w:before="20" w:line="252" w:lineRule="auto"/>
              <w:jc w:val="left"/>
            </w:pPr>
            <w:r>
              <w:rPr>
                <w:rFonts w:ascii="Calibri" w:hAnsi="Calibri" w:eastAsia="Microsoft YaHei" w:cs="Calibri"/>
                <w:sz w:val="18"/>
              </w:rPr>
              <w:t>NII at the high end, fee income +12-14%, NIM improving; consensus slightly low</w:t>
            </w:r>
          </w:p>
        </w:tc>
        <w:tc>
          <w:tcPr>
            <w:tcW w:type="dxa" w:w="3879"/>
          </w:tcPr>
          <w:p>
            <w:pPr>
              <w:spacing w:after="20" w:before="20" w:line="252" w:lineRule="auto"/>
              <w:jc w:val="left"/>
            </w:pPr>
            <w:r>
              <w:rPr>
                <w:rFonts w:ascii="Calibri" w:hAnsi="Calibri" w:eastAsia="Microsoft YaHei" w:cs="Calibri"/>
                <w:sz w:val="18"/>
              </w:rPr>
              <w:t>$160M Amazon reserve; securities AOCI already -17% of TCE</w:t>
            </w:r>
          </w:p>
        </w:tc>
      </w:tr>
      <w:tr>
        <w:trPr>
          <w:cantSplit/>
        </w:trPr>
        <w:tc>
          <w:tcPr>
            <w:tcW w:type="dxa" w:w="1992"/>
            <w:shd w:val="clear" w:color="auto" w:fill="F2F5F9"/>
          </w:tcPr>
          <w:p>
            <w:pPr>
              <w:spacing w:after="20" w:before="20" w:line="252" w:lineRule="auto"/>
              <w:jc w:val="left"/>
            </w:pPr>
            <w:r>
              <w:rPr>
                <w:rFonts w:ascii="Calibri" w:hAnsi="Calibri" w:eastAsia="Microsoft YaHei" w:cs="Calibri"/>
                <w:b/>
                <w:sz w:val="18"/>
              </w:rPr>
              <w:t>TFC</w:t>
            </w:r>
            <w:r>
              <w:rPr>
                <w:rFonts w:ascii="Calibri" w:hAnsi="Calibri" w:eastAsia="Microsoft YaHei" w:cs="Calibri"/>
                <w:sz w:val="18"/>
              </w:rPr>
              <w:t xml:space="preserve"> (low confidence)</w:t>
            </w:r>
          </w:p>
        </w:tc>
        <w:tc>
          <w:tcPr>
            <w:tcW w:type="dxa" w:w="3879"/>
            <w:shd w:val="clear" w:color="auto" w:fill="F2F5F9"/>
          </w:tcPr>
          <w:p>
            <w:pPr>
              <w:spacing w:after="20" w:before="20" w:line="252" w:lineRule="auto"/>
              <w:jc w:val="left"/>
            </w:pPr>
            <w:r>
              <w:rPr>
                <w:rFonts w:ascii="Calibri" w:hAnsi="Calibri" w:eastAsia="Microsoft YaHei" w:cs="Calibri"/>
                <w:sz w:val="18"/>
              </w:rPr>
              <w:t>Guidance and consensus disagree; leaning toward a beat</w:t>
            </w:r>
          </w:p>
        </w:tc>
        <w:tc>
          <w:tcPr>
            <w:tcW w:type="dxa" w:w="3879"/>
            <w:shd w:val="clear" w:color="auto" w:fill="F2F5F9"/>
          </w:tcPr>
          <w:p>
            <w:pPr>
              <w:spacing w:after="20" w:before="20" w:line="252" w:lineRule="auto"/>
              <w:jc w:val="left"/>
            </w:pPr>
            <w:r>
              <w:rPr>
                <w:rFonts w:ascii="Calibri" w:hAnsi="Calibri" w:eastAsia="Microsoft YaHei" w:cs="Calibri"/>
                <w:sz w:val="18"/>
              </w:rPr>
              <w:t>Single-source consensus</w:t>
            </w:r>
          </w:p>
        </w:tc>
      </w:tr>
    </w:tbl>
    <w:p>
      <w:pPr>
        <w:spacing w:after="40"/>
      </w:pPr>
    </w:p>
    <w:p>
      <w:pPr>
        <w:pStyle w:val="Heading3"/>
      </w:pPr>
      <w:r>
        <w:rPr>
          <w:rFonts w:ascii="Calibri" w:hAnsi="Calibri" w:eastAsia="Microsoft YaHei" w:cs="Calibri"/>
          <w:b/>
          <w:color w:val="1F4E79"/>
          <w:sz w:val="24"/>
        </w:rPr>
        <w:t>5.2 Neutral (information mostly in the price, or drivers offset)</w:t>
      </w:r>
    </w:p>
    <w:p>
      <w:r>
        <w:rPr>
          <w:rFonts w:ascii="Calibri" w:hAnsi="Calibri" w:eastAsia="Microsoft YaHei" w:cs="Calibri"/>
          <w:sz w:val="21"/>
        </w:rPr>
        <w:t>PNC, MTB, CFG, KEY, WFC, COF.</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KEY</w:t>
      </w:r>
      <w:r>
        <w:rPr>
          <w:rFonts w:ascii="Calibri" w:hAnsi="Calibri" w:eastAsia="Microsoft YaHei" w:cs="Calibri"/>
          <w:sz w:val="21"/>
        </w:rPr>
        <w:t>: EPS slightly better, but AFS duration of 4.4 years and a Q3 AOCI hit of -8.2% of TCE make it one of the most sensitive regionals; -12% in Q3.</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WFC</w:t>
      </w:r>
      <w:r>
        <w:rPr>
          <w:rFonts w:ascii="Calibri" w:hAnsi="Calibri" w:eastAsia="Microsoft YaHei" w:cs="Calibri"/>
          <w:sz w:val="21"/>
        </w:rPr>
        <w:t>: EPS roughly in line with consensus; but it is -12.5% YTD and -7.8% over one month, expectations are low, and with the asset cap lifted the market expects some upward revision to NII guidance (a positive surprise if it comes).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PNC</w:t>
      </w:r>
      <w:r>
        <w:rPr>
          <w:rFonts w:ascii="Calibri" w:hAnsi="Calibri" w:eastAsia="Microsoft YaHei" w:cs="Calibri"/>
          <w:sz w:val="21"/>
        </w:rPr>
        <w:t>: full-year guidance is clear and EPS is almost identical to consensus. Note the adjusted basis (about $50M of integration costs in Q3).</w:t>
      </w:r>
    </w:p>
    <w:p>
      <w:pPr>
        <w:pStyle w:val="Heading3"/>
      </w:pPr>
      <w:r>
        <w:rPr>
          <w:rFonts w:ascii="Calibri" w:hAnsi="Calibri" w:eastAsia="Microsoft YaHei" w:cs="Calibri"/>
          <w:b/>
          <w:color w:val="1F4E79"/>
          <w:sz w:val="24"/>
        </w:rPr>
        <w:t>5.3 Leaning bearish (EPS risk skewed down, or the narrative is against them)</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4876"/>
            <w:shd w:val="clear" w:color="auto" w:fill="1F4E79"/>
          </w:tcPr>
          <w:p>
            <w:pPr>
              <w:spacing w:after="20" w:before="20" w:line="252" w:lineRule="auto"/>
              <w:jc w:val="center"/>
            </w:pPr>
            <w:r>
              <w:rPr>
                <w:rFonts w:ascii="Calibri" w:hAnsi="Calibri" w:eastAsia="Microsoft YaHei" w:cs="Calibri"/>
                <w:b/>
                <w:color w:val="FFFFFF"/>
                <w:sz w:val="18"/>
              </w:rPr>
              <w:t>Ticker</w:t>
            </w:r>
          </w:p>
        </w:tc>
        <w:tc>
          <w:tcPr>
            <w:tcW w:type="dxa" w:w="4876"/>
            <w:shd w:val="clear" w:color="auto" w:fill="1F4E79"/>
          </w:tcPr>
          <w:p>
            <w:pPr>
              <w:spacing w:after="20" w:before="20" w:line="252" w:lineRule="auto"/>
              <w:jc w:val="center"/>
            </w:pPr>
            <w:r>
              <w:rPr>
                <w:rFonts w:ascii="Calibri" w:hAnsi="Calibri" w:eastAsia="Microsoft YaHei" w:cs="Calibri"/>
                <w:b/>
                <w:color w:val="FFFFFF"/>
                <w:sz w:val="18"/>
              </w:rPr>
              <w:t>Rationale</w:t>
            </w:r>
          </w:p>
        </w:tc>
      </w:tr>
      <w:tr>
        <w:trPr>
          <w:cantSplit/>
        </w:trPr>
        <w:tc>
          <w:tcPr>
            <w:tcW w:type="dxa" w:w="4876"/>
          </w:tcPr>
          <w:p>
            <w:pPr>
              <w:spacing w:after="20" w:before="20" w:line="252" w:lineRule="auto"/>
              <w:jc w:val="left"/>
            </w:pPr>
            <w:r>
              <w:rPr>
                <w:rFonts w:ascii="Calibri" w:hAnsi="Calibri" w:eastAsia="Microsoft YaHei" w:cs="Calibri"/>
                <w:b/>
                <w:sz w:val="18"/>
              </w:rPr>
              <w:t>GS</w:t>
            </w:r>
          </w:p>
        </w:tc>
        <w:tc>
          <w:tcPr>
            <w:tcW w:type="dxa" w:w="4876"/>
          </w:tcPr>
          <w:p>
            <w:pPr>
              <w:spacing w:after="20" w:before="20" w:line="252" w:lineRule="auto"/>
              <w:jc w:val="left"/>
            </w:pPr>
            <w:r>
              <w:rPr>
                <w:rFonts w:ascii="Calibri" w:hAnsi="Calibri" w:eastAsia="Microsoft YaHei" w:cs="Calibri"/>
                <w:sz w:val="18"/>
              </w:rPr>
              <w:t>Management has already spelled out three Q3 headwinds; the consensus range is wide and some estimates have not caught up; but the stock is already -10.5% (Q3) / -21.8% below its high, a sizeable cushion</w:t>
            </w:r>
          </w:p>
        </w:tc>
      </w:tr>
      <w:tr>
        <w:trPr>
          <w:cantSplit/>
        </w:trPr>
        <w:tc>
          <w:tcPr>
            <w:tcW w:type="dxa" w:w="4876"/>
            <w:shd w:val="clear" w:color="auto" w:fill="F2F5F9"/>
          </w:tcPr>
          <w:p>
            <w:pPr>
              <w:spacing w:after="20" w:before="20" w:line="252" w:lineRule="auto"/>
              <w:jc w:val="left"/>
            </w:pPr>
            <w:r>
              <w:rPr>
                <w:rFonts w:ascii="Calibri" w:hAnsi="Calibri" w:eastAsia="Microsoft YaHei" w:cs="Calibri"/>
                <w:b/>
                <w:sz w:val="18"/>
              </w:rPr>
              <w:t>BAC</w:t>
            </w:r>
          </w:p>
        </w:tc>
        <w:tc>
          <w:tcPr>
            <w:tcW w:type="dxa" w:w="4876"/>
            <w:shd w:val="clear" w:color="auto" w:fill="F2F5F9"/>
          </w:tcPr>
          <w:p>
            <w:pPr>
              <w:spacing w:after="20" w:before="20" w:line="252" w:lineRule="auto"/>
              <w:jc w:val="left"/>
            </w:pPr>
            <w:r>
              <w:rPr>
                <w:rFonts w:ascii="Calibri" w:hAnsi="Calibri" w:eastAsia="Microsoft YaHei" w:cs="Calibri"/>
                <w:sz w:val="18"/>
              </w:rPr>
              <w:t>Management's IB/S&amp;T guidance is inconsistent with consensus; expenses are sticky; but this is "bad news already made public", NII is at the high end, and HTM losses do not enter capital</w:t>
            </w:r>
          </w:p>
        </w:tc>
      </w:tr>
      <w:tr>
        <w:trPr>
          <w:cantSplit/>
        </w:trPr>
        <w:tc>
          <w:tcPr>
            <w:tcW w:type="dxa" w:w="4876"/>
          </w:tcPr>
          <w:p>
            <w:pPr>
              <w:spacing w:after="20" w:before="20" w:line="252" w:lineRule="auto"/>
              <w:jc w:val="left"/>
            </w:pPr>
            <w:r>
              <w:rPr>
                <w:rFonts w:ascii="Calibri" w:hAnsi="Calibri" w:eastAsia="Microsoft YaHei" w:cs="Calibri"/>
                <w:b/>
                <w:sz w:val="18"/>
              </w:rPr>
              <w:t>HBAN</w:t>
            </w:r>
          </w:p>
        </w:tc>
        <w:tc>
          <w:tcPr>
            <w:tcW w:type="dxa" w:w="4876"/>
          </w:tcPr>
          <w:p>
            <w:pPr>
              <w:spacing w:after="20" w:before="20" w:line="252" w:lineRule="auto"/>
              <w:jc w:val="left"/>
            </w:pPr>
            <w:r>
              <w:rPr>
                <w:rFonts w:ascii="Calibri" w:hAnsi="Calibri" w:eastAsia="Microsoft YaHei" w:cs="Calibri"/>
                <w:sz w:val="18"/>
              </w:rPr>
              <w:t>NII growth cut while consensus requires improvement; downgraded by several firms</w:t>
            </w:r>
          </w:p>
        </w:tc>
      </w:tr>
      <w:tr>
        <w:trPr>
          <w:cantSplit/>
        </w:trPr>
        <w:tc>
          <w:tcPr>
            <w:tcW w:type="dxa" w:w="4876"/>
            <w:shd w:val="clear" w:color="auto" w:fill="F2F5F9"/>
          </w:tcPr>
          <w:p>
            <w:pPr>
              <w:spacing w:after="20" w:before="20" w:line="252" w:lineRule="auto"/>
              <w:jc w:val="left"/>
            </w:pPr>
            <w:r>
              <w:rPr>
                <w:rFonts w:ascii="Calibri" w:hAnsi="Calibri" w:eastAsia="Microsoft YaHei" w:cs="Calibri"/>
                <w:b/>
                <w:sz w:val="18"/>
              </w:rPr>
              <w:t>SCHW</w:t>
            </w:r>
          </w:p>
        </w:tc>
        <w:tc>
          <w:tcPr>
            <w:tcW w:type="dxa" w:w="4876"/>
            <w:shd w:val="clear" w:color="auto" w:fill="F2F5F9"/>
          </w:tcPr>
          <w:p>
            <w:pPr>
              <w:spacing w:after="20" w:before="20" w:line="252" w:lineRule="auto"/>
              <w:jc w:val="left"/>
            </w:pPr>
            <w:r>
              <w:rPr>
                <w:rFonts w:ascii="Calibri" w:hAnsi="Calibri" w:eastAsia="Microsoft YaHei" w:cs="Calibri"/>
                <w:sz w:val="18"/>
              </w:rPr>
              <w:t>Consensus is up 6% (3 months) while we are slightly below; AOCI/TCE -43%, 21x leverage</w:t>
            </w:r>
          </w:p>
        </w:tc>
      </w:tr>
      <w:tr>
        <w:trPr>
          <w:cantSplit/>
        </w:trPr>
        <w:tc>
          <w:tcPr>
            <w:tcW w:type="dxa" w:w="4876"/>
          </w:tcPr>
          <w:p>
            <w:pPr>
              <w:spacing w:after="20" w:before="20" w:line="252" w:lineRule="auto"/>
              <w:jc w:val="left"/>
            </w:pPr>
            <w:r>
              <w:rPr>
                <w:rFonts w:ascii="Calibri" w:hAnsi="Calibri" w:eastAsia="Microsoft YaHei" w:cs="Calibri"/>
                <w:b/>
                <w:sz w:val="18"/>
              </w:rPr>
              <w:t>Alternative managers / mortgage / some payments</w:t>
            </w:r>
          </w:p>
        </w:tc>
        <w:tc>
          <w:tcPr>
            <w:tcW w:type="dxa" w:w="4876"/>
          </w:tcPr>
          <w:p>
            <w:pPr>
              <w:spacing w:after="20" w:before="20" w:line="252" w:lineRule="auto"/>
              <w:jc w:val="left"/>
            </w:pPr>
            <w:r>
              <w:rPr>
                <w:rFonts w:ascii="Calibri" w:hAnsi="Calibri" w:eastAsia="Microsoft YaHei" w:cs="Calibri"/>
                <w:sz w:val="18"/>
              </w:rPr>
              <w:t>Price and qualitative judgement only; no driver model</w:t>
            </w:r>
          </w:p>
        </w:tc>
      </w:tr>
    </w:tbl>
    <w:p>
      <w:pPr>
        <w:spacing w:after="40"/>
      </w:pPr>
    </w:p>
    <w:p>
      <w:pPr>
        <w:pStyle w:val="Heading2"/>
      </w:pPr>
      <w:r>
        <w:rPr>
          <w:rFonts w:ascii="Calibri" w:hAnsi="Calibri" w:eastAsia="Microsoft YaHei" w:cs="Calibri"/>
          <w:b/>
          <w:color w:val="1F4E79"/>
          <w:sz w:val="28"/>
        </w:rPr>
        <w:t>6. Expected market reaction</w:t>
      </w:r>
    </w:p>
    <w:p>
      <w:pPr>
        <w:pStyle w:val="Heading3"/>
      </w:pPr>
      <w:r>
        <w:rPr>
          <w:rFonts w:ascii="Calibri" w:hAnsi="Calibri" w:eastAsia="Microsoft YaHei" w:cs="Calibri"/>
          <w:b/>
          <w:color w:val="1F4E79"/>
          <w:sz w:val="24"/>
        </w:rPr>
        <w:t>6.1 Price backdrop</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XLF ±0% in Q3, -7.1% in September, 8.4% below its 52-week high. KBWB -8.1% in September, KRE -6.7% in Q3 (regionals weaker than the large banks).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Large banks over one month: GS -10.6%, MS -10.9%, BAC -12.9%, JPM -6.1%, C -4.2%, WFC -7.8%.</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Distance from 52-week high: C -12%, JPM -9%, MS -17%, GS -22%, BAC -17%, WFC -15%.</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Tech: SMH +71.6% YTD, QQQ only 0.7% below its high. XLF is about -1% YTD.</w:t>
      </w:r>
    </w:p>
    <w:p>
      <w:pPr>
        <w:pStyle w:val="Heading3"/>
      </w:pPr>
      <w:r>
        <w:rPr>
          <w:rFonts w:ascii="Calibri" w:hAnsi="Calibri" w:eastAsia="Microsoft YaHei" w:cs="Calibri"/>
          <w:b/>
          <w:color w:val="1F4E79"/>
          <w:sz w:val="24"/>
        </w:rPr>
        <w:t>6.2 Heuristic one-day move (= 2 x 60-day volatility / sqrt(252))</w:t>
      </w:r>
    </w:p>
    <w:tbl>
      <w:tblPr>
        <w:tblStyle w:val="TableGrid"/>
        <w:tblW w:type="auto" w:w="0"/>
        <w:jc w:val="center"/>
        <w:tblLayout w:type="fixed"/>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cantSplit/>
        </w:trPr>
        <w:tc>
          <w:tcPr>
            <w:tcW w:type="dxa" w:w="975"/>
            <w:shd w:val="clear" w:color="auto" w:fill="1F4E79"/>
          </w:tcPr>
          <w:p>
            <w:pPr>
              <w:spacing w:after="20" w:before="20" w:line="252" w:lineRule="auto"/>
              <w:jc w:val="center"/>
            </w:pPr>
            <w:r>
              <w:rPr>
                <w:rFonts w:ascii="Calibri" w:hAnsi="Calibri" w:eastAsia="Microsoft YaHei" w:cs="Calibri"/>
                <w:b/>
                <w:color w:val="FFFFFF"/>
                <w:sz w:val="15"/>
              </w:rPr>
              <w:t>GS</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MS</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C</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WFC</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JPM</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BAC</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USB</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PNC</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SCHW</w:t>
            </w:r>
          </w:p>
        </w:tc>
        <w:tc>
          <w:tcPr>
            <w:tcW w:type="dxa" w:w="975"/>
            <w:shd w:val="clear" w:color="auto" w:fill="1F4E79"/>
          </w:tcPr>
          <w:p>
            <w:pPr>
              <w:spacing w:after="20" w:before="20" w:line="252" w:lineRule="auto"/>
              <w:jc w:val="center"/>
            </w:pPr>
            <w:r>
              <w:rPr>
                <w:rFonts w:ascii="Calibri" w:hAnsi="Calibri" w:eastAsia="Microsoft YaHei" w:cs="Calibri"/>
                <w:b/>
                <w:color w:val="FFFFFF"/>
                <w:sz w:val="15"/>
              </w:rPr>
              <w:t>FITB</w:t>
            </w:r>
          </w:p>
        </w:tc>
      </w:tr>
      <w:tr>
        <w:trPr>
          <w:cantSplit/>
        </w:trPr>
        <w:tc>
          <w:tcPr>
            <w:tcW w:type="dxa" w:w="975"/>
          </w:tcPr>
          <w:p>
            <w:pPr>
              <w:spacing w:after="20" w:before="20" w:line="252" w:lineRule="auto"/>
              <w:jc w:val="left"/>
            </w:pPr>
            <w:r>
              <w:rPr>
                <w:rFonts w:ascii="Calibri" w:hAnsi="Calibri" w:eastAsia="Microsoft YaHei" w:cs="Calibri"/>
                <w:sz w:val="15"/>
              </w:rPr>
              <w:t>±4.5%</w:t>
            </w:r>
          </w:p>
        </w:tc>
        <w:tc>
          <w:tcPr>
            <w:tcW w:type="dxa" w:w="975"/>
          </w:tcPr>
          <w:p>
            <w:pPr>
              <w:spacing w:after="20" w:before="20" w:line="252" w:lineRule="auto"/>
              <w:jc w:val="center"/>
            </w:pPr>
            <w:r>
              <w:rPr>
                <w:rFonts w:ascii="Calibri" w:hAnsi="Calibri" w:eastAsia="Microsoft YaHei" w:cs="Calibri"/>
                <w:sz w:val="15"/>
              </w:rPr>
              <w:t>±3.4%</w:t>
            </w:r>
          </w:p>
        </w:tc>
        <w:tc>
          <w:tcPr>
            <w:tcW w:type="dxa" w:w="975"/>
          </w:tcPr>
          <w:p>
            <w:pPr>
              <w:spacing w:after="20" w:before="20" w:line="252" w:lineRule="auto"/>
              <w:jc w:val="center"/>
            </w:pPr>
            <w:r>
              <w:rPr>
                <w:rFonts w:ascii="Calibri" w:hAnsi="Calibri" w:eastAsia="Microsoft YaHei" w:cs="Calibri"/>
                <w:sz w:val="15"/>
              </w:rPr>
              <w:t>±3.4%</w:t>
            </w:r>
          </w:p>
        </w:tc>
        <w:tc>
          <w:tcPr>
            <w:tcW w:type="dxa" w:w="975"/>
          </w:tcPr>
          <w:p>
            <w:pPr>
              <w:spacing w:after="20" w:before="20" w:line="252" w:lineRule="auto"/>
              <w:jc w:val="center"/>
            </w:pPr>
            <w:r>
              <w:rPr>
                <w:rFonts w:ascii="Calibri" w:hAnsi="Calibri" w:eastAsia="Microsoft YaHei" w:cs="Calibri"/>
                <w:sz w:val="15"/>
              </w:rPr>
              <w:t>±3.0%</w:t>
            </w:r>
          </w:p>
        </w:tc>
        <w:tc>
          <w:tcPr>
            <w:tcW w:type="dxa" w:w="975"/>
          </w:tcPr>
          <w:p>
            <w:pPr>
              <w:spacing w:after="20" w:before="20" w:line="252" w:lineRule="auto"/>
              <w:jc w:val="center"/>
            </w:pPr>
            <w:r>
              <w:rPr>
                <w:rFonts w:ascii="Calibri" w:hAnsi="Calibri" w:eastAsia="Microsoft YaHei" w:cs="Calibri"/>
                <w:sz w:val="15"/>
              </w:rPr>
              <w:t>±2.3%</w:t>
            </w:r>
          </w:p>
        </w:tc>
        <w:tc>
          <w:tcPr>
            <w:tcW w:type="dxa" w:w="975"/>
          </w:tcPr>
          <w:p>
            <w:pPr>
              <w:spacing w:after="20" w:before="20" w:line="252" w:lineRule="auto"/>
              <w:jc w:val="center"/>
            </w:pPr>
            <w:r>
              <w:rPr>
                <w:rFonts w:ascii="Calibri" w:hAnsi="Calibri" w:eastAsia="Microsoft YaHei" w:cs="Calibri"/>
                <w:sz w:val="15"/>
              </w:rPr>
              <w:t>±2.6%</w:t>
            </w:r>
          </w:p>
        </w:tc>
        <w:tc>
          <w:tcPr>
            <w:tcW w:type="dxa" w:w="975"/>
          </w:tcPr>
          <w:p>
            <w:pPr>
              <w:spacing w:after="20" w:before="20" w:line="252" w:lineRule="auto"/>
              <w:jc w:val="center"/>
            </w:pPr>
            <w:r>
              <w:rPr>
                <w:rFonts w:ascii="Calibri" w:hAnsi="Calibri" w:eastAsia="Microsoft YaHei" w:cs="Calibri"/>
                <w:sz w:val="15"/>
              </w:rPr>
              <w:t>±2.4%</w:t>
            </w:r>
          </w:p>
        </w:tc>
        <w:tc>
          <w:tcPr>
            <w:tcW w:type="dxa" w:w="975"/>
          </w:tcPr>
          <w:p>
            <w:pPr>
              <w:spacing w:after="20" w:before="20" w:line="252" w:lineRule="auto"/>
              <w:jc w:val="center"/>
            </w:pPr>
            <w:r>
              <w:rPr>
                <w:rFonts w:ascii="Calibri" w:hAnsi="Calibri" w:eastAsia="Microsoft YaHei" w:cs="Calibri"/>
                <w:sz w:val="15"/>
              </w:rPr>
              <w:t>±2.1%</w:t>
            </w:r>
          </w:p>
        </w:tc>
        <w:tc>
          <w:tcPr>
            <w:tcW w:type="dxa" w:w="975"/>
          </w:tcPr>
          <w:p>
            <w:pPr>
              <w:spacing w:after="20" w:before="20" w:line="252" w:lineRule="auto"/>
              <w:jc w:val="center"/>
            </w:pPr>
            <w:r>
              <w:rPr>
                <w:rFonts w:ascii="Calibri" w:hAnsi="Calibri" w:eastAsia="Microsoft YaHei" w:cs="Calibri"/>
                <w:sz w:val="15"/>
              </w:rPr>
              <w:t>±2.9%</w:t>
            </w:r>
          </w:p>
        </w:tc>
        <w:tc>
          <w:tcPr>
            <w:tcW w:type="dxa" w:w="975"/>
          </w:tcPr>
          <w:p>
            <w:pPr>
              <w:spacing w:after="20" w:before="20" w:line="252" w:lineRule="auto"/>
              <w:jc w:val="center"/>
            </w:pPr>
            <w:r>
              <w:rPr>
                <w:rFonts w:ascii="Calibri" w:hAnsi="Calibri" w:eastAsia="Microsoft YaHei" w:cs="Calibri"/>
                <w:sz w:val="15"/>
              </w:rPr>
              <w:t>±2.5%</w:t>
            </w:r>
          </w:p>
        </w:tc>
      </w:tr>
    </w:tbl>
    <w:p>
      <w:pPr>
        <w:spacing w:after="40"/>
      </w:pPr>
    </w:p>
    <w:p>
      <w:r>
        <w:rPr>
          <w:rFonts w:ascii="Calibri" w:hAnsi="Calibri" w:eastAsia="Microsoft YaHei" w:cs="Calibri"/>
          <w:sz w:val="21"/>
        </w:rPr>
        <w:t>This is a rough proxy, not option-implied; check actual option-implied volatility before trading.</w:t>
      </w:r>
    </w:p>
    <w:p>
      <w:pPr>
        <w:pStyle w:val="Heading3"/>
      </w:pPr>
      <w:r>
        <w:rPr>
          <w:rFonts w:ascii="Calibri" w:hAnsi="Calibri" w:eastAsia="Microsoft YaHei" w:cs="Calibri"/>
          <w:b/>
          <w:color w:val="1F4E79"/>
          <w:sz w:val="24"/>
        </w:rPr>
        <w:t>6.3 Our reaction calls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"Buy the news" more likely</w:t>
      </w:r>
      <w:r>
        <w:rPr>
          <w:rFonts w:ascii="Calibri" w:hAnsi="Calibri" w:eastAsia="Microsoft YaHei" w:cs="Calibri"/>
          <w:sz w:val="21"/>
        </w:rPr>
        <w:t>: C, JPM, MS. An EPS beat + solid guidance + a 4-11% decline over the past month make relative strength more likely. But JPM's whisper is already above consensus, so there is limited room.</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Possible "bad news already priced"</w:t>
      </w:r>
      <w:r>
        <w:rPr>
          <w:rFonts w:ascii="Calibri" w:hAnsi="Calibri" w:eastAsia="Microsoft YaHei" w:cs="Calibri"/>
          <w:sz w:val="21"/>
        </w:rPr>
        <w:t>: BAC, GS. If EPS misses but NII guidance or buyback/capital guidance is good, the reaction may be milder than expected (BAC already had a -5% one-day reaction).</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"Sell the news" risk</w:t>
      </w:r>
      <w:r>
        <w:rPr>
          <w:rFonts w:ascii="Calibri" w:hAnsi="Calibri" w:eastAsia="Microsoft YaHei" w:cs="Calibri"/>
          <w:sz w:val="21"/>
        </w:rPr>
        <w:t>: STT (+38.6% YTD), BNY (+25.6%), BEN (+40.8%), IBKR.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Regional banks</w:t>
      </w:r>
      <w:r>
        <w:rPr>
          <w:rFonts w:ascii="Calibri" w:hAnsi="Calibri" w:eastAsia="Microsoft YaHei" w:cs="Calibri"/>
          <w:sz w:val="21"/>
        </w:rPr>
        <w:t>: reactions depend more on comments about AOCI/TBV, deposit costs, CRE and NDFI exposure than on EPS itself.</w:t>
      </w:r>
    </w:p>
    <w:p>
      <w:pPr>
        <w:pStyle w:val="Heading2"/>
      </w:pPr>
      <w:r>
        <w:rPr>
          <w:rFonts w:ascii="Calibri" w:hAnsi="Calibri" w:eastAsia="Microsoft YaHei" w:cs="Calibri"/>
          <w:b/>
          <w:color w:val="1F4E79"/>
          <w:sz w:val="28"/>
        </w:rPr>
        <w:t>7. Balance-sheet risk (</w:t>
      </w:r>
      <w:r>
        <w:rPr>
          <w:rFonts w:ascii="Consolas" w:hAnsi="Consolas" w:eastAsia="Microsoft YaHei" w:cs="Consolas"/>
          <w:color w:val="8B1A1A"/>
          <w:sz w:val="26"/>
        </w:rPr>
        <w:t>risk_scorecard.csv</w:t>
      </w:r>
      <w:r>
        <w:rPr>
          <w:rFonts w:ascii="Calibri" w:hAnsi="Calibri" w:eastAsia="Microsoft YaHei" w:cs="Calibri"/>
          <w:b/>
          <w:color w:val="1F4E79"/>
          <w:sz w:val="28"/>
        </w:rPr>
        <w:t>)</w:t>
      </w:r>
    </w:p>
    <w:tbl>
      <w:tblPr>
        <w:tblStyle w:val="TableGrid"/>
        <w:tblW w:type="auto" w:w="0"/>
        <w:jc w:val="center"/>
        <w:tblLayout w:type="fixed"/>
        <w:tblLook w:firstColumn="1" w:firstRow="1" w:lastColumn="0" w:lastRow="0" w:noHBand="0" w:noVBand="1" w:val="04A0"/>
      </w:tblPr>
      <w:tblGrid>
        <w:gridCol w:w="672"/>
        <w:gridCol w:w="1169"/>
        <w:gridCol w:w="1169"/>
        <w:gridCol w:w="1011"/>
        <w:gridCol w:w="2303"/>
        <w:gridCol w:w="3426"/>
      </w:tblGrid>
      <w:tr>
        <w:trPr>
          <w:tblHeader w:val="true"/>
          <w:cantSplit/>
        </w:trPr>
        <w:tc>
          <w:tcPr>
            <w:tcW w:type="dxa" w:w="672"/>
            <w:shd w:val="clear" w:color="auto" w:fill="1F4E79"/>
          </w:tcPr>
          <w:p>
            <w:pPr>
              <w:spacing w:after="20" w:before="20" w:line="252" w:lineRule="auto"/>
              <w:jc w:val="center"/>
            </w:pPr>
            <w:r>
              <w:rPr>
                <w:rFonts w:ascii="Calibri" w:hAnsi="Calibri" w:eastAsia="Microsoft YaHei" w:cs="Calibri"/>
                <w:b/>
                <w:color w:val="FFFFFF"/>
                <w:sz w:val="17"/>
              </w:rPr>
              <w:t>Ticker</w:t>
            </w:r>
          </w:p>
        </w:tc>
        <w:tc>
          <w:tcPr>
            <w:tcW w:type="dxa" w:w="1169"/>
            <w:shd w:val="clear" w:color="auto" w:fill="1F4E79"/>
          </w:tcPr>
          <w:p>
            <w:pPr>
              <w:spacing w:after="20" w:before="20" w:line="252" w:lineRule="auto"/>
              <w:jc w:val="center"/>
            </w:pPr>
            <w:r>
              <w:rPr>
                <w:rFonts w:ascii="Calibri" w:hAnsi="Calibri" w:eastAsia="Microsoft YaHei" w:cs="Calibri"/>
                <w:b/>
                <w:color w:val="FFFFFF"/>
                <w:sz w:val="17"/>
              </w:rPr>
              <w:t>TCE / assets</w:t>
            </w:r>
          </w:p>
        </w:tc>
        <w:tc>
          <w:tcPr>
            <w:tcW w:type="dxa" w:w="1169"/>
            <w:shd w:val="clear" w:color="auto" w:fill="1F4E79"/>
          </w:tcPr>
          <w:p>
            <w:pPr>
              <w:spacing w:after="20" w:before="20" w:line="252" w:lineRule="auto"/>
              <w:jc w:val="center"/>
            </w:pPr>
            <w:r>
              <w:rPr>
                <w:rFonts w:ascii="Calibri" w:hAnsi="Calibri" w:eastAsia="Microsoft YaHei" w:cs="Calibri"/>
                <w:b/>
                <w:color w:val="FFFFFF"/>
                <w:sz w:val="17"/>
              </w:rPr>
              <w:t>Leverage (x)</w:t>
            </w:r>
          </w:p>
        </w:tc>
        <w:tc>
          <w:tcPr>
            <w:tcW w:type="dxa" w:w="1011"/>
            <w:shd w:val="clear" w:color="auto" w:fill="1F4E79"/>
          </w:tcPr>
          <w:p>
            <w:pPr>
              <w:spacing w:after="20" w:before="20" w:line="252" w:lineRule="auto"/>
              <w:jc w:val="center"/>
            </w:pPr>
            <w:r>
              <w:rPr>
                <w:rFonts w:ascii="Calibri" w:hAnsi="Calibri" w:eastAsia="Microsoft YaHei" w:cs="Calibri"/>
                <w:b/>
                <w:color w:val="FFFFFF"/>
                <w:sz w:val="17"/>
              </w:rPr>
              <w:t>AOCI / TCE</w:t>
            </w:r>
          </w:p>
        </w:tc>
        <w:tc>
          <w:tcPr>
            <w:tcW w:type="dxa" w:w="2303"/>
            <w:shd w:val="clear" w:color="auto" w:fill="1F4E79"/>
          </w:tcPr>
          <w:p>
            <w:pPr>
              <w:spacing w:after="20" w:before="20" w:line="252" w:lineRule="auto"/>
              <w:jc w:val="center"/>
            </w:pPr>
            <w:r>
              <w:rPr>
                <w:rFonts w:ascii="Calibri" w:hAnsi="Calibri" w:eastAsia="Microsoft YaHei" w:cs="Calibri"/>
                <w:b/>
                <w:color w:val="FFFFFF"/>
                <w:sz w:val="17"/>
              </w:rPr>
              <w:t>Q3 incremental AFS hit / TCE</w:t>
            </w:r>
          </w:p>
        </w:tc>
        <w:tc>
          <w:tcPr>
            <w:tcW w:type="dxa" w:w="3426"/>
            <w:shd w:val="clear" w:color="auto" w:fill="1F4E79"/>
          </w:tcPr>
          <w:p>
            <w:pPr>
              <w:spacing w:after="20" w:before="20" w:line="252" w:lineRule="auto"/>
              <w:jc w:val="center"/>
            </w:pPr>
            <w:r>
              <w:rPr>
                <w:rFonts w:ascii="Calibri" w:hAnsi="Calibri" w:eastAsia="Microsoft YaHei" w:cs="Calibri"/>
                <w:b/>
                <w:color w:val="FFFFFF"/>
                <w:sz w:val="17"/>
              </w:rPr>
              <w:t>Note</w:t>
            </w:r>
          </w:p>
        </w:tc>
      </w:tr>
      <w:tr>
        <w:trPr>
          <w:cantSplit/>
        </w:trPr>
        <w:tc>
          <w:tcPr>
            <w:tcW w:type="dxa" w:w="672"/>
          </w:tcPr>
          <w:p>
            <w:pPr>
              <w:spacing w:after="20" w:before="20" w:line="252" w:lineRule="auto"/>
              <w:jc w:val="left"/>
            </w:pPr>
            <w:r>
              <w:rPr>
                <w:rFonts w:ascii="Calibri" w:hAnsi="Calibri" w:eastAsia="Microsoft YaHei" w:cs="Calibri"/>
                <w:sz w:val="17"/>
              </w:rPr>
              <w:t>BNY</w:t>
            </w:r>
          </w:p>
        </w:tc>
        <w:tc>
          <w:tcPr>
            <w:tcW w:type="dxa" w:w="1169"/>
          </w:tcPr>
          <w:p>
            <w:pPr>
              <w:spacing w:after="20" w:before="20" w:line="252" w:lineRule="auto"/>
              <w:jc w:val="center"/>
            </w:pPr>
            <w:r>
              <w:rPr>
                <w:rFonts w:ascii="Calibri" w:hAnsi="Calibri" w:eastAsia="Microsoft YaHei" w:cs="Calibri"/>
                <w:sz w:val="17"/>
              </w:rPr>
              <w:t>3.9%</w:t>
            </w:r>
          </w:p>
        </w:tc>
        <w:tc>
          <w:tcPr>
            <w:tcW w:type="dxa" w:w="1169"/>
          </w:tcPr>
          <w:p>
            <w:pPr>
              <w:spacing w:after="20" w:before="20" w:line="252" w:lineRule="auto"/>
              <w:jc w:val="center"/>
            </w:pPr>
            <w:r>
              <w:rPr>
                <w:rFonts w:ascii="Calibri" w:hAnsi="Calibri" w:eastAsia="Microsoft YaHei" w:cs="Calibri"/>
                <w:sz w:val="17"/>
              </w:rPr>
              <w:t>25.8</w:t>
            </w:r>
          </w:p>
        </w:tc>
        <w:tc>
          <w:tcPr>
            <w:tcW w:type="dxa" w:w="1011"/>
          </w:tcPr>
          <w:p>
            <w:pPr>
              <w:spacing w:after="20" w:before="20" w:line="252" w:lineRule="auto"/>
              <w:jc w:val="center"/>
            </w:pPr>
            <w:r>
              <w:rPr>
                <w:rFonts w:ascii="Calibri" w:hAnsi="Calibri" w:eastAsia="Microsoft YaHei" w:cs="Calibri"/>
                <w:sz w:val="17"/>
              </w:rPr>
              <w:t>-17.0%</w:t>
            </w:r>
          </w:p>
        </w:tc>
        <w:tc>
          <w:tcPr>
            <w:tcW w:type="dxa" w:w="2303"/>
          </w:tcPr>
          <w:p>
            <w:pPr>
              <w:spacing w:after="20" w:before="20" w:line="252" w:lineRule="auto"/>
              <w:jc w:val="center"/>
            </w:pPr>
            <w:r>
              <w:rPr>
                <w:rFonts w:ascii="Calibri" w:hAnsi="Calibri" w:eastAsia="Microsoft YaHei" w:cs="Calibri"/>
                <w:b/>
                <w:sz w:val="17"/>
              </w:rPr>
              <w:t>-10.6%</w:t>
            </w:r>
          </w:p>
        </w:tc>
        <w:tc>
          <w:tcPr>
            <w:tcW w:type="dxa" w:w="3426"/>
          </w:tcPr>
          <w:p>
            <w:pPr>
              <w:spacing w:after="20" w:before="20" w:line="252" w:lineRule="auto"/>
              <w:jc w:val="left"/>
            </w:pPr>
            <w:r>
              <w:rPr>
                <w:rFonts w:ascii="Calibri" w:hAnsi="Calibri" w:eastAsia="Microsoft YaHei" w:cs="Calibri"/>
                <w:sz w:val="17"/>
              </w:rPr>
              <w:t>Fallback duration used</w:t>
            </w: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KEY</w:t>
            </w:r>
          </w:p>
        </w:tc>
        <w:tc>
          <w:tcPr>
            <w:tcW w:type="dxa" w:w="1169"/>
            <w:shd w:val="clear" w:color="auto" w:fill="F2F5F9"/>
          </w:tcPr>
          <w:p>
            <w:pPr>
              <w:spacing w:after="20" w:before="20" w:line="252" w:lineRule="auto"/>
              <w:jc w:val="center"/>
            </w:pPr>
            <w:r>
              <w:rPr>
                <w:rFonts w:ascii="Calibri" w:hAnsi="Calibri" w:eastAsia="Microsoft YaHei" w:cs="Calibri"/>
                <w:sz w:val="17"/>
              </w:rPr>
              <w:t>7.6%</w:t>
            </w:r>
          </w:p>
        </w:tc>
        <w:tc>
          <w:tcPr>
            <w:tcW w:type="dxa" w:w="1169"/>
            <w:shd w:val="clear" w:color="auto" w:fill="F2F5F9"/>
          </w:tcPr>
          <w:p>
            <w:pPr>
              <w:spacing w:after="20" w:before="20" w:line="252" w:lineRule="auto"/>
              <w:jc w:val="center"/>
            </w:pPr>
            <w:r>
              <w:rPr>
                <w:rFonts w:ascii="Calibri" w:hAnsi="Calibri" w:eastAsia="Microsoft YaHei" w:cs="Calibri"/>
                <w:sz w:val="17"/>
              </w:rPr>
              <w:t>13.2</w:t>
            </w:r>
          </w:p>
        </w:tc>
        <w:tc>
          <w:tcPr>
            <w:tcW w:type="dxa" w:w="1011"/>
            <w:shd w:val="clear" w:color="auto" w:fill="F2F5F9"/>
          </w:tcPr>
          <w:p>
            <w:pPr>
              <w:spacing w:after="20" w:before="20" w:line="252" w:lineRule="auto"/>
              <w:jc w:val="center"/>
            </w:pPr>
            <w:r>
              <w:rPr>
                <w:rFonts w:ascii="Calibri" w:hAnsi="Calibri" w:eastAsia="Microsoft YaHei" w:cs="Calibri"/>
                <w:sz w:val="17"/>
              </w:rPr>
              <w:t>-16.2%</w:t>
            </w:r>
          </w:p>
        </w:tc>
        <w:tc>
          <w:tcPr>
            <w:tcW w:type="dxa" w:w="2303"/>
            <w:shd w:val="clear" w:color="auto" w:fill="F2F5F9"/>
          </w:tcPr>
          <w:p>
            <w:pPr>
              <w:spacing w:after="20" w:before="20" w:line="252" w:lineRule="auto"/>
              <w:jc w:val="center"/>
            </w:pPr>
            <w:r>
              <w:rPr>
                <w:rFonts w:ascii="Calibri" w:hAnsi="Calibri" w:eastAsia="Microsoft YaHei" w:cs="Calibri"/>
                <w:b/>
                <w:sz w:val="17"/>
              </w:rPr>
              <w:t>-8.2%</w:t>
            </w:r>
          </w:p>
        </w:tc>
        <w:tc>
          <w:tcPr>
            <w:tcW w:type="dxa" w:w="3426"/>
            <w:shd w:val="clear" w:color="auto" w:fill="F2F5F9"/>
          </w:tcPr>
          <w:p>
            <w:pPr>
              <w:spacing w:after="20" w:before="20" w:line="252" w:lineRule="auto"/>
              <w:jc w:val="center"/>
            </w:pPr>
          </w:p>
        </w:tc>
      </w:tr>
      <w:tr>
        <w:trPr>
          <w:cantSplit/>
        </w:trPr>
        <w:tc>
          <w:tcPr>
            <w:tcW w:type="dxa" w:w="672"/>
          </w:tcPr>
          <w:p>
            <w:pPr>
              <w:spacing w:after="20" w:before="20" w:line="252" w:lineRule="auto"/>
              <w:jc w:val="left"/>
            </w:pPr>
            <w:r>
              <w:rPr>
                <w:rFonts w:ascii="Calibri" w:hAnsi="Calibri" w:eastAsia="Microsoft YaHei" w:cs="Calibri"/>
                <w:sz w:val="17"/>
              </w:rPr>
              <w:t>ALLY</w:t>
            </w:r>
          </w:p>
        </w:tc>
        <w:tc>
          <w:tcPr>
            <w:tcW w:type="dxa" w:w="1169"/>
          </w:tcPr>
          <w:p>
            <w:pPr>
              <w:spacing w:after="20" w:before="20" w:line="252" w:lineRule="auto"/>
              <w:jc w:val="center"/>
            </w:pPr>
            <w:r>
              <w:rPr>
                <w:rFonts w:ascii="Calibri" w:hAnsi="Calibri" w:eastAsia="Microsoft YaHei" w:cs="Calibri"/>
                <w:sz w:val="17"/>
              </w:rPr>
              <w:t>6.7%</w:t>
            </w:r>
          </w:p>
        </w:tc>
        <w:tc>
          <w:tcPr>
            <w:tcW w:type="dxa" w:w="1169"/>
          </w:tcPr>
          <w:p>
            <w:pPr>
              <w:spacing w:after="20" w:before="20" w:line="252" w:lineRule="auto"/>
              <w:jc w:val="center"/>
            </w:pPr>
            <w:r>
              <w:rPr>
                <w:rFonts w:ascii="Calibri" w:hAnsi="Calibri" w:eastAsia="Microsoft YaHei" w:cs="Calibri"/>
                <w:sz w:val="17"/>
              </w:rPr>
              <w:t>15.0</w:t>
            </w:r>
          </w:p>
        </w:tc>
        <w:tc>
          <w:tcPr>
            <w:tcW w:type="dxa" w:w="1011"/>
          </w:tcPr>
          <w:p>
            <w:pPr>
              <w:spacing w:after="20" w:before="20" w:line="252" w:lineRule="auto"/>
              <w:jc w:val="center"/>
            </w:pPr>
            <w:r>
              <w:rPr>
                <w:rFonts w:ascii="Calibri" w:hAnsi="Calibri" w:eastAsia="Microsoft YaHei" w:cs="Calibri"/>
                <w:sz w:val="17"/>
              </w:rPr>
              <w:t>-20.4%</w:t>
            </w:r>
          </w:p>
        </w:tc>
        <w:tc>
          <w:tcPr>
            <w:tcW w:type="dxa" w:w="2303"/>
          </w:tcPr>
          <w:p>
            <w:pPr>
              <w:spacing w:after="20" w:before="20" w:line="252" w:lineRule="auto"/>
              <w:jc w:val="center"/>
            </w:pPr>
            <w:r>
              <w:rPr>
                <w:rFonts w:ascii="Calibri" w:hAnsi="Calibri" w:eastAsia="Microsoft YaHei" w:cs="Calibri"/>
                <w:sz w:val="17"/>
              </w:rPr>
              <w:t>-7.8%</w:t>
            </w:r>
          </w:p>
        </w:tc>
        <w:tc>
          <w:tcPr>
            <w:tcW w:type="dxa" w:w="3426"/>
          </w:tcPr>
          <w:p>
            <w:pPr>
              <w:spacing w:after="20" w:before="20" w:line="252" w:lineRule="auto"/>
              <w:jc w:val="left"/>
            </w:pPr>
            <w:r>
              <w:rPr>
                <w:rFonts w:ascii="Calibri" w:hAnsi="Calibri" w:eastAsia="Microsoft YaHei" w:cs="Calibri"/>
                <w:sz w:val="17"/>
              </w:rPr>
              <w:t>AFS duration about 6 years</w:t>
            </w: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FITB</w:t>
            </w:r>
          </w:p>
        </w:tc>
        <w:tc>
          <w:tcPr>
            <w:tcW w:type="dxa" w:w="1169"/>
            <w:shd w:val="clear" w:color="auto" w:fill="F2F5F9"/>
          </w:tcPr>
          <w:p>
            <w:pPr>
              <w:spacing w:after="20" w:before="20" w:line="252" w:lineRule="auto"/>
              <w:jc w:val="center"/>
            </w:pPr>
            <w:r>
              <w:rPr>
                <w:rFonts w:ascii="Calibri" w:hAnsi="Calibri" w:eastAsia="Microsoft YaHei" w:cs="Calibri"/>
                <w:sz w:val="17"/>
              </w:rPr>
              <w:t>7.0%</w:t>
            </w:r>
          </w:p>
        </w:tc>
        <w:tc>
          <w:tcPr>
            <w:tcW w:type="dxa" w:w="1169"/>
            <w:shd w:val="clear" w:color="auto" w:fill="F2F5F9"/>
          </w:tcPr>
          <w:p>
            <w:pPr>
              <w:spacing w:after="20" w:before="20" w:line="252" w:lineRule="auto"/>
              <w:jc w:val="center"/>
            </w:pPr>
            <w:r>
              <w:rPr>
                <w:rFonts w:ascii="Calibri" w:hAnsi="Calibri" w:eastAsia="Microsoft YaHei" w:cs="Calibri"/>
                <w:sz w:val="17"/>
              </w:rPr>
              <w:t>14.3</w:t>
            </w:r>
          </w:p>
        </w:tc>
        <w:tc>
          <w:tcPr>
            <w:tcW w:type="dxa" w:w="1011"/>
            <w:shd w:val="clear" w:color="auto" w:fill="F2F5F9"/>
          </w:tcPr>
          <w:p>
            <w:pPr>
              <w:spacing w:after="20" w:before="20" w:line="252" w:lineRule="auto"/>
              <w:jc w:val="center"/>
            </w:pPr>
            <w:r>
              <w:rPr>
                <w:rFonts w:ascii="Calibri" w:hAnsi="Calibri" w:eastAsia="Microsoft YaHei" w:cs="Calibri"/>
                <w:sz w:val="17"/>
              </w:rPr>
              <w:t>-15.6%</w:t>
            </w:r>
          </w:p>
        </w:tc>
        <w:tc>
          <w:tcPr>
            <w:tcW w:type="dxa" w:w="2303"/>
            <w:shd w:val="clear" w:color="auto" w:fill="F2F5F9"/>
          </w:tcPr>
          <w:p>
            <w:pPr>
              <w:spacing w:after="20" w:before="20" w:line="252" w:lineRule="auto"/>
              <w:jc w:val="center"/>
            </w:pPr>
            <w:r>
              <w:rPr>
                <w:rFonts w:ascii="Calibri" w:hAnsi="Calibri" w:eastAsia="Microsoft YaHei" w:cs="Calibri"/>
                <w:b/>
                <w:sz w:val="17"/>
              </w:rPr>
              <w:t>-7.0%</w:t>
            </w:r>
          </w:p>
        </w:tc>
        <w:tc>
          <w:tcPr>
            <w:tcW w:type="dxa" w:w="3426"/>
            <w:shd w:val="clear" w:color="auto" w:fill="F2F5F9"/>
          </w:tcPr>
          <w:p>
            <w:pPr>
              <w:spacing w:after="20" w:before="20" w:line="252" w:lineRule="auto"/>
              <w:jc w:val="center"/>
            </w:pPr>
          </w:p>
        </w:tc>
      </w:tr>
      <w:tr>
        <w:trPr>
          <w:cantSplit/>
        </w:trPr>
        <w:tc>
          <w:tcPr>
            <w:tcW w:type="dxa" w:w="672"/>
          </w:tcPr>
          <w:p>
            <w:pPr>
              <w:spacing w:after="20" w:before="20" w:line="252" w:lineRule="auto"/>
              <w:jc w:val="left"/>
            </w:pPr>
            <w:r>
              <w:rPr>
                <w:rFonts w:ascii="Calibri" w:hAnsi="Calibri" w:eastAsia="Microsoft YaHei" w:cs="Calibri"/>
                <w:sz w:val="17"/>
              </w:rPr>
              <w:t>NTRS</w:t>
            </w:r>
          </w:p>
        </w:tc>
        <w:tc>
          <w:tcPr>
            <w:tcW w:type="dxa" w:w="1169"/>
          </w:tcPr>
          <w:p>
            <w:pPr>
              <w:spacing w:after="20" w:before="20" w:line="252" w:lineRule="auto"/>
              <w:jc w:val="center"/>
            </w:pPr>
            <w:r>
              <w:rPr>
                <w:rFonts w:ascii="Calibri" w:hAnsi="Calibri" w:eastAsia="Microsoft YaHei" w:cs="Calibri"/>
                <w:sz w:val="17"/>
              </w:rPr>
              <w:t>6.5%</w:t>
            </w:r>
          </w:p>
        </w:tc>
        <w:tc>
          <w:tcPr>
            <w:tcW w:type="dxa" w:w="1169"/>
          </w:tcPr>
          <w:p>
            <w:pPr>
              <w:spacing w:after="20" w:before="20" w:line="252" w:lineRule="auto"/>
              <w:jc w:val="center"/>
            </w:pPr>
            <w:r>
              <w:rPr>
                <w:rFonts w:ascii="Calibri" w:hAnsi="Calibri" w:eastAsia="Microsoft YaHei" w:cs="Calibri"/>
                <w:sz w:val="17"/>
              </w:rPr>
              <w:t>15.3</w:t>
            </w:r>
          </w:p>
        </w:tc>
        <w:tc>
          <w:tcPr>
            <w:tcW w:type="dxa" w:w="1011"/>
          </w:tcPr>
          <w:p>
            <w:pPr>
              <w:spacing w:after="20" w:before="20" w:line="252" w:lineRule="auto"/>
              <w:jc w:val="center"/>
            </w:pPr>
            <w:r>
              <w:rPr>
                <w:rFonts w:ascii="Calibri" w:hAnsi="Calibri" w:eastAsia="Microsoft YaHei" w:cs="Calibri"/>
                <w:sz w:val="17"/>
              </w:rPr>
              <w:t>-4.7%</w:t>
            </w:r>
          </w:p>
        </w:tc>
        <w:tc>
          <w:tcPr>
            <w:tcW w:type="dxa" w:w="2303"/>
          </w:tcPr>
          <w:p>
            <w:pPr>
              <w:spacing w:after="20" w:before="20" w:line="252" w:lineRule="auto"/>
              <w:jc w:val="center"/>
            </w:pPr>
            <w:r>
              <w:rPr>
                <w:rFonts w:ascii="Calibri" w:hAnsi="Calibri" w:eastAsia="Microsoft YaHei" w:cs="Calibri"/>
                <w:sz w:val="17"/>
              </w:rPr>
              <w:t>-6.5%</w:t>
            </w:r>
          </w:p>
        </w:tc>
        <w:tc>
          <w:tcPr>
            <w:tcW w:type="dxa" w:w="3426"/>
          </w:tcPr>
          <w:p>
            <w:pPr>
              <w:spacing w:after="20" w:before="20" w:line="252" w:lineRule="auto"/>
              <w:jc w:val="left"/>
            </w:pPr>
            <w:r>
              <w:rPr>
                <w:rFonts w:ascii="Calibri" w:hAnsi="Calibri" w:eastAsia="Microsoft YaHei" w:cs="Calibri"/>
                <w:sz w:val="17"/>
              </w:rPr>
              <w:t>Fallback duration</w:t>
            </w: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COF</w:t>
            </w:r>
          </w:p>
        </w:tc>
        <w:tc>
          <w:tcPr>
            <w:tcW w:type="dxa" w:w="1169"/>
            <w:shd w:val="clear" w:color="auto" w:fill="F2F5F9"/>
          </w:tcPr>
          <w:p>
            <w:pPr>
              <w:spacing w:after="20" w:before="20" w:line="252" w:lineRule="auto"/>
              <w:jc w:val="center"/>
            </w:pPr>
            <w:r>
              <w:rPr>
                <w:rFonts w:ascii="Calibri" w:hAnsi="Calibri" w:eastAsia="Microsoft YaHei" w:cs="Calibri"/>
                <w:sz w:val="17"/>
              </w:rPr>
              <w:t>9.0%</w:t>
            </w:r>
          </w:p>
        </w:tc>
        <w:tc>
          <w:tcPr>
            <w:tcW w:type="dxa" w:w="1169"/>
            <w:shd w:val="clear" w:color="auto" w:fill="F2F5F9"/>
          </w:tcPr>
          <w:p>
            <w:pPr>
              <w:spacing w:after="20" w:before="20" w:line="252" w:lineRule="auto"/>
              <w:jc w:val="center"/>
            </w:pPr>
            <w:r>
              <w:rPr>
                <w:rFonts w:ascii="Calibri" w:hAnsi="Calibri" w:eastAsia="Microsoft YaHei" w:cs="Calibri"/>
                <w:sz w:val="17"/>
              </w:rPr>
              <w:t>11.2</w:t>
            </w:r>
          </w:p>
        </w:tc>
        <w:tc>
          <w:tcPr>
            <w:tcW w:type="dxa" w:w="1011"/>
            <w:shd w:val="clear" w:color="auto" w:fill="F2F5F9"/>
          </w:tcPr>
          <w:p>
            <w:pPr>
              <w:spacing w:after="20" w:before="20" w:line="252" w:lineRule="auto"/>
              <w:jc w:val="center"/>
            </w:pPr>
            <w:r>
              <w:rPr>
                <w:rFonts w:ascii="Calibri" w:hAnsi="Calibri" w:eastAsia="Microsoft YaHei" w:cs="Calibri"/>
                <w:sz w:val="17"/>
              </w:rPr>
              <w:t>-10.4%</w:t>
            </w:r>
          </w:p>
        </w:tc>
        <w:tc>
          <w:tcPr>
            <w:tcW w:type="dxa" w:w="2303"/>
            <w:shd w:val="clear" w:color="auto" w:fill="F2F5F9"/>
          </w:tcPr>
          <w:p>
            <w:pPr>
              <w:spacing w:after="20" w:before="20" w:line="252" w:lineRule="auto"/>
              <w:jc w:val="center"/>
            </w:pPr>
            <w:r>
              <w:rPr>
                <w:rFonts w:ascii="Calibri" w:hAnsi="Calibri" w:eastAsia="Microsoft YaHei" w:cs="Calibri"/>
                <w:sz w:val="17"/>
              </w:rPr>
              <w:t>-5.3%</w:t>
            </w:r>
          </w:p>
        </w:tc>
        <w:tc>
          <w:tcPr>
            <w:tcW w:type="dxa" w:w="3426"/>
            <w:shd w:val="clear" w:color="auto" w:fill="F2F5F9"/>
          </w:tcPr>
          <w:p>
            <w:pPr>
              <w:spacing w:after="20" w:before="20" w:line="252" w:lineRule="auto"/>
              <w:jc w:val="center"/>
            </w:pPr>
          </w:p>
        </w:tc>
      </w:tr>
      <w:tr>
        <w:trPr>
          <w:cantSplit/>
        </w:trPr>
        <w:tc>
          <w:tcPr>
            <w:tcW w:type="dxa" w:w="672"/>
          </w:tcPr>
          <w:p>
            <w:pPr>
              <w:spacing w:after="20" w:before="20" w:line="252" w:lineRule="auto"/>
              <w:jc w:val="left"/>
            </w:pPr>
            <w:r>
              <w:rPr>
                <w:rFonts w:ascii="Calibri" w:hAnsi="Calibri" w:eastAsia="Microsoft YaHei" w:cs="Calibri"/>
                <w:sz w:val="17"/>
              </w:rPr>
              <w:t>RF</w:t>
            </w:r>
          </w:p>
        </w:tc>
        <w:tc>
          <w:tcPr>
            <w:tcW w:type="dxa" w:w="1169"/>
          </w:tcPr>
          <w:p>
            <w:pPr>
              <w:spacing w:after="20" w:before="20" w:line="252" w:lineRule="auto"/>
              <w:jc w:val="center"/>
            </w:pPr>
            <w:r>
              <w:rPr>
                <w:rFonts w:ascii="Calibri" w:hAnsi="Calibri" w:eastAsia="Microsoft YaHei" w:cs="Calibri"/>
                <w:sz w:val="17"/>
              </w:rPr>
              <w:t>7.2%</w:t>
            </w:r>
          </w:p>
        </w:tc>
        <w:tc>
          <w:tcPr>
            <w:tcW w:type="dxa" w:w="1169"/>
          </w:tcPr>
          <w:p>
            <w:pPr>
              <w:spacing w:after="20" w:before="20" w:line="252" w:lineRule="auto"/>
              <w:jc w:val="center"/>
            </w:pPr>
            <w:r>
              <w:rPr>
                <w:rFonts w:ascii="Calibri" w:hAnsi="Calibri" w:eastAsia="Microsoft YaHei" w:cs="Calibri"/>
                <w:sz w:val="17"/>
              </w:rPr>
              <w:t>13.9</w:t>
            </w:r>
          </w:p>
        </w:tc>
        <w:tc>
          <w:tcPr>
            <w:tcW w:type="dxa" w:w="1011"/>
          </w:tcPr>
          <w:p>
            <w:pPr>
              <w:spacing w:after="20" w:before="20" w:line="252" w:lineRule="auto"/>
              <w:jc w:val="center"/>
            </w:pPr>
            <w:r>
              <w:rPr>
                <w:rFonts w:ascii="Calibri" w:hAnsi="Calibri" w:eastAsia="Microsoft YaHei" w:cs="Calibri"/>
                <w:sz w:val="17"/>
              </w:rPr>
              <w:t>-16.6%</w:t>
            </w:r>
          </w:p>
        </w:tc>
        <w:tc>
          <w:tcPr>
            <w:tcW w:type="dxa" w:w="2303"/>
          </w:tcPr>
          <w:p>
            <w:pPr>
              <w:spacing w:after="20" w:before="20" w:line="252" w:lineRule="auto"/>
              <w:jc w:val="center"/>
            </w:pPr>
            <w:r>
              <w:rPr>
                <w:rFonts w:ascii="Calibri" w:hAnsi="Calibri" w:eastAsia="Microsoft YaHei" w:cs="Calibri"/>
                <w:sz w:val="17"/>
              </w:rPr>
              <w:t>-4.8%</w:t>
            </w:r>
          </w:p>
        </w:tc>
        <w:tc>
          <w:tcPr>
            <w:tcW w:type="dxa" w:w="3426"/>
          </w:tcPr>
          <w:p>
            <w:pPr>
              <w:spacing w:after="20" w:before="20" w:line="252" w:lineRule="auto"/>
              <w:jc w:val="left"/>
            </w:pPr>
            <w:r>
              <w:rPr>
                <w:rFonts w:ascii="Calibri" w:hAnsi="Calibri" w:eastAsia="Microsoft YaHei" w:cs="Calibri"/>
                <w:sz w:val="17"/>
              </w:rPr>
              <w:t>AFS size is an estimate</w:t>
            </w: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SCHW</w:t>
            </w:r>
          </w:p>
        </w:tc>
        <w:tc>
          <w:tcPr>
            <w:tcW w:type="dxa" w:w="1169"/>
            <w:shd w:val="clear" w:color="auto" w:fill="F2F5F9"/>
          </w:tcPr>
          <w:p>
            <w:pPr>
              <w:spacing w:after="20" w:before="20" w:line="252" w:lineRule="auto"/>
              <w:jc w:val="center"/>
            </w:pPr>
            <w:r>
              <w:rPr>
                <w:rFonts w:ascii="Calibri" w:hAnsi="Calibri" w:eastAsia="Microsoft YaHei" w:cs="Calibri"/>
                <w:sz w:val="17"/>
              </w:rPr>
              <w:t>4.7%</w:t>
            </w:r>
          </w:p>
        </w:tc>
        <w:tc>
          <w:tcPr>
            <w:tcW w:type="dxa" w:w="1169"/>
            <w:shd w:val="clear" w:color="auto" w:fill="F2F5F9"/>
          </w:tcPr>
          <w:p>
            <w:pPr>
              <w:spacing w:after="20" w:before="20" w:line="252" w:lineRule="auto"/>
              <w:jc w:val="center"/>
            </w:pPr>
            <w:r>
              <w:rPr>
                <w:rFonts w:ascii="Calibri" w:hAnsi="Calibri" w:eastAsia="Microsoft YaHei" w:cs="Calibri"/>
                <w:sz w:val="17"/>
              </w:rPr>
              <w:t>21.2</w:t>
            </w:r>
          </w:p>
        </w:tc>
        <w:tc>
          <w:tcPr>
            <w:tcW w:type="dxa" w:w="1011"/>
            <w:shd w:val="clear" w:color="auto" w:fill="F2F5F9"/>
          </w:tcPr>
          <w:p>
            <w:pPr>
              <w:spacing w:after="20" w:before="20" w:line="252" w:lineRule="auto"/>
              <w:jc w:val="center"/>
            </w:pPr>
            <w:r>
              <w:rPr>
                <w:rFonts w:ascii="Calibri" w:hAnsi="Calibri" w:eastAsia="Microsoft YaHei" w:cs="Calibri"/>
                <w:b/>
                <w:sz w:val="17"/>
              </w:rPr>
              <w:t>-43.4%</w:t>
            </w:r>
          </w:p>
        </w:tc>
        <w:tc>
          <w:tcPr>
            <w:tcW w:type="dxa" w:w="2303"/>
            <w:shd w:val="clear" w:color="auto" w:fill="F2F5F9"/>
          </w:tcPr>
          <w:p>
            <w:pPr>
              <w:spacing w:after="20" w:before="20" w:line="252" w:lineRule="auto"/>
              <w:jc w:val="center"/>
            </w:pPr>
            <w:r>
              <w:rPr>
                <w:rFonts w:ascii="Calibri" w:hAnsi="Calibri" w:eastAsia="Microsoft YaHei" w:cs="Calibri"/>
                <w:sz w:val="17"/>
              </w:rPr>
              <w:t>-4.2%</w:t>
            </w:r>
          </w:p>
        </w:tc>
        <w:tc>
          <w:tcPr>
            <w:tcW w:type="dxa" w:w="3426"/>
            <w:shd w:val="clear" w:color="auto" w:fill="F2F5F9"/>
          </w:tcPr>
          <w:p>
            <w:pPr>
              <w:spacing w:after="20" w:before="20" w:line="252" w:lineRule="auto"/>
              <w:jc w:val="left"/>
            </w:pPr>
            <w:r>
              <w:rPr>
                <w:rFonts w:ascii="Calibri" w:hAnsi="Calibri" w:eastAsia="Microsoft YaHei" w:cs="Calibri"/>
                <w:sz w:val="17"/>
              </w:rPr>
              <w:t>HTM unrealised loss $9.4B, plus an additional Q3 HTM loss</w:t>
            </w:r>
          </w:p>
        </w:tc>
      </w:tr>
      <w:tr>
        <w:trPr>
          <w:cantSplit/>
        </w:trPr>
        <w:tc>
          <w:tcPr>
            <w:tcW w:type="dxa" w:w="672"/>
          </w:tcPr>
          <w:p>
            <w:pPr>
              <w:spacing w:after="20" w:before="20" w:line="252" w:lineRule="auto"/>
              <w:jc w:val="left"/>
            </w:pPr>
            <w:r>
              <w:rPr>
                <w:rFonts w:ascii="Calibri" w:hAnsi="Calibri" w:eastAsia="Microsoft YaHei" w:cs="Calibri"/>
                <w:sz w:val="17"/>
              </w:rPr>
              <w:t>ZION</w:t>
            </w:r>
          </w:p>
        </w:tc>
        <w:tc>
          <w:tcPr>
            <w:tcW w:type="dxa" w:w="1169"/>
          </w:tcPr>
          <w:p>
            <w:pPr>
              <w:spacing w:after="20" w:before="20" w:line="252" w:lineRule="auto"/>
              <w:jc w:val="center"/>
            </w:pPr>
            <w:r>
              <w:rPr>
                <w:rFonts w:ascii="Calibri" w:hAnsi="Calibri" w:eastAsia="Microsoft YaHei" w:cs="Calibri"/>
                <w:sz w:val="17"/>
              </w:rPr>
              <w:t>8.6%</w:t>
            </w:r>
          </w:p>
        </w:tc>
        <w:tc>
          <w:tcPr>
            <w:tcW w:type="dxa" w:w="1169"/>
          </w:tcPr>
          <w:p>
            <w:pPr>
              <w:spacing w:after="20" w:before="20" w:line="252" w:lineRule="auto"/>
              <w:jc w:val="center"/>
            </w:pPr>
            <w:r>
              <w:rPr>
                <w:rFonts w:ascii="Calibri" w:hAnsi="Calibri" w:eastAsia="Microsoft YaHei" w:cs="Calibri"/>
                <w:sz w:val="17"/>
              </w:rPr>
              <w:t>11.7</w:t>
            </w:r>
          </w:p>
        </w:tc>
        <w:tc>
          <w:tcPr>
            <w:tcW w:type="dxa" w:w="1011"/>
          </w:tcPr>
          <w:p>
            <w:pPr>
              <w:spacing w:after="20" w:before="20" w:line="252" w:lineRule="auto"/>
              <w:jc w:val="center"/>
            </w:pPr>
            <w:r>
              <w:rPr>
                <w:rFonts w:ascii="Calibri" w:hAnsi="Calibri" w:eastAsia="Microsoft YaHei" w:cs="Calibri"/>
                <w:sz w:val="17"/>
              </w:rPr>
              <w:t>-24.5%</w:t>
            </w:r>
          </w:p>
        </w:tc>
        <w:tc>
          <w:tcPr>
            <w:tcW w:type="dxa" w:w="2303"/>
          </w:tcPr>
          <w:p>
            <w:pPr>
              <w:spacing w:after="20" w:before="20" w:line="252" w:lineRule="auto"/>
              <w:jc w:val="center"/>
            </w:pPr>
            <w:r>
              <w:rPr>
                <w:rFonts w:ascii="Calibri" w:hAnsi="Calibri" w:eastAsia="Microsoft YaHei" w:cs="Calibri"/>
                <w:sz w:val="17"/>
              </w:rPr>
              <w:t>-4.2%</w:t>
            </w:r>
          </w:p>
        </w:tc>
        <w:tc>
          <w:tcPr>
            <w:tcW w:type="dxa" w:w="3426"/>
          </w:tcPr>
          <w:p>
            <w:pPr>
              <w:spacing w:after="20" w:before="20" w:line="252" w:lineRule="auto"/>
              <w:jc w:val="center"/>
            </w:pP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PNC</w:t>
            </w:r>
          </w:p>
        </w:tc>
        <w:tc>
          <w:tcPr>
            <w:tcW w:type="dxa" w:w="1169"/>
            <w:shd w:val="clear" w:color="auto" w:fill="F2F5F9"/>
          </w:tcPr>
          <w:p>
            <w:pPr>
              <w:spacing w:after="20" w:before="20" w:line="252" w:lineRule="auto"/>
              <w:jc w:val="center"/>
            </w:pPr>
            <w:r>
              <w:rPr>
                <w:rFonts w:ascii="Calibri" w:hAnsi="Calibri" w:eastAsia="Microsoft YaHei" w:cs="Calibri"/>
                <w:sz w:val="17"/>
              </w:rPr>
              <w:t>8.2%</w:t>
            </w:r>
          </w:p>
        </w:tc>
        <w:tc>
          <w:tcPr>
            <w:tcW w:type="dxa" w:w="1169"/>
            <w:shd w:val="clear" w:color="auto" w:fill="F2F5F9"/>
          </w:tcPr>
          <w:p>
            <w:pPr>
              <w:spacing w:after="20" w:before="20" w:line="252" w:lineRule="auto"/>
              <w:jc w:val="center"/>
            </w:pPr>
            <w:r>
              <w:rPr>
                <w:rFonts w:ascii="Calibri" w:hAnsi="Calibri" w:eastAsia="Microsoft YaHei" w:cs="Calibri"/>
                <w:sz w:val="17"/>
              </w:rPr>
              <w:t>12.2</w:t>
            </w:r>
          </w:p>
        </w:tc>
        <w:tc>
          <w:tcPr>
            <w:tcW w:type="dxa" w:w="1011"/>
            <w:shd w:val="clear" w:color="auto" w:fill="F2F5F9"/>
          </w:tcPr>
          <w:p>
            <w:pPr>
              <w:spacing w:after="20" w:before="20" w:line="252" w:lineRule="auto"/>
              <w:jc w:val="center"/>
            </w:pPr>
            <w:r>
              <w:rPr>
                <w:rFonts w:ascii="Calibri" w:hAnsi="Calibri" w:eastAsia="Microsoft YaHei" w:cs="Calibri"/>
                <w:sz w:val="17"/>
              </w:rPr>
              <w:t>-8.1%</w:t>
            </w:r>
          </w:p>
        </w:tc>
        <w:tc>
          <w:tcPr>
            <w:tcW w:type="dxa" w:w="2303"/>
            <w:shd w:val="clear" w:color="auto" w:fill="F2F5F9"/>
          </w:tcPr>
          <w:p>
            <w:pPr>
              <w:spacing w:after="20" w:before="20" w:line="252" w:lineRule="auto"/>
              <w:jc w:val="center"/>
            </w:pPr>
            <w:r>
              <w:rPr>
                <w:rFonts w:ascii="Calibri" w:hAnsi="Calibri" w:eastAsia="Microsoft YaHei" w:cs="Calibri"/>
                <w:sz w:val="17"/>
              </w:rPr>
              <w:t>-3.7%</w:t>
            </w:r>
          </w:p>
        </w:tc>
        <w:tc>
          <w:tcPr>
            <w:tcW w:type="dxa" w:w="3426"/>
            <w:shd w:val="clear" w:color="auto" w:fill="F2F5F9"/>
          </w:tcPr>
          <w:p>
            <w:pPr>
              <w:spacing w:after="20" w:before="20" w:line="252" w:lineRule="auto"/>
              <w:jc w:val="center"/>
            </w:pPr>
          </w:p>
        </w:tc>
      </w:tr>
      <w:tr>
        <w:trPr>
          <w:cantSplit/>
        </w:trPr>
        <w:tc>
          <w:tcPr>
            <w:tcW w:type="dxa" w:w="672"/>
          </w:tcPr>
          <w:p>
            <w:pPr>
              <w:spacing w:after="20" w:before="20" w:line="252" w:lineRule="auto"/>
              <w:jc w:val="left"/>
            </w:pPr>
            <w:r>
              <w:rPr>
                <w:rFonts w:ascii="Calibri" w:hAnsi="Calibri" w:eastAsia="Microsoft YaHei" w:cs="Calibri"/>
                <w:sz w:val="17"/>
              </w:rPr>
              <w:t>WFC</w:t>
            </w:r>
          </w:p>
        </w:tc>
        <w:tc>
          <w:tcPr>
            <w:tcW w:type="dxa" w:w="1169"/>
          </w:tcPr>
          <w:p>
            <w:pPr>
              <w:spacing w:after="20" w:before="20" w:line="252" w:lineRule="auto"/>
              <w:jc w:val="center"/>
            </w:pPr>
            <w:r>
              <w:rPr>
                <w:rFonts w:ascii="Calibri" w:hAnsi="Calibri" w:eastAsia="Microsoft YaHei" w:cs="Calibri"/>
                <w:sz w:val="17"/>
              </w:rPr>
              <w:t>6.1%</w:t>
            </w:r>
          </w:p>
        </w:tc>
        <w:tc>
          <w:tcPr>
            <w:tcW w:type="dxa" w:w="1169"/>
          </w:tcPr>
          <w:p>
            <w:pPr>
              <w:spacing w:after="20" w:before="20" w:line="252" w:lineRule="auto"/>
              <w:jc w:val="center"/>
            </w:pPr>
            <w:r>
              <w:rPr>
                <w:rFonts w:ascii="Calibri" w:hAnsi="Calibri" w:eastAsia="Microsoft YaHei" w:cs="Calibri"/>
                <w:sz w:val="17"/>
              </w:rPr>
              <w:t>16.3</w:t>
            </w:r>
          </w:p>
        </w:tc>
        <w:tc>
          <w:tcPr>
            <w:tcW w:type="dxa" w:w="1011"/>
          </w:tcPr>
          <w:p>
            <w:pPr>
              <w:spacing w:after="20" w:before="20" w:line="252" w:lineRule="auto"/>
              <w:jc w:val="center"/>
            </w:pPr>
            <w:r>
              <w:rPr>
                <w:rFonts w:ascii="Calibri" w:hAnsi="Calibri" w:eastAsia="Microsoft YaHei" w:cs="Calibri"/>
                <w:sz w:val="17"/>
              </w:rPr>
              <w:t>-5.9%</w:t>
            </w:r>
          </w:p>
        </w:tc>
        <w:tc>
          <w:tcPr>
            <w:tcW w:type="dxa" w:w="2303"/>
          </w:tcPr>
          <w:p>
            <w:pPr>
              <w:spacing w:after="20" w:before="20" w:line="252" w:lineRule="auto"/>
              <w:jc w:val="center"/>
            </w:pPr>
            <w:r>
              <w:rPr>
                <w:rFonts w:ascii="Calibri" w:hAnsi="Calibri" w:eastAsia="Microsoft YaHei" w:cs="Calibri"/>
                <w:sz w:val="17"/>
              </w:rPr>
              <w:t>-3.6%</w:t>
            </w:r>
          </w:p>
        </w:tc>
        <w:tc>
          <w:tcPr>
            <w:tcW w:type="dxa" w:w="3426"/>
          </w:tcPr>
          <w:p>
            <w:pPr>
              <w:spacing w:after="20" w:before="20" w:line="252" w:lineRule="auto"/>
              <w:jc w:val="left"/>
            </w:pPr>
            <w:r>
              <w:rPr>
                <w:rFonts w:ascii="Calibri" w:hAnsi="Calibri" w:eastAsia="Microsoft YaHei" w:cs="Calibri"/>
                <w:sz w:val="17"/>
              </w:rPr>
              <w:t>AFS uses fair value in place of amortised cost; fallback duration</w:t>
            </w: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TFC</w:t>
            </w:r>
          </w:p>
        </w:tc>
        <w:tc>
          <w:tcPr>
            <w:tcW w:type="dxa" w:w="1169"/>
            <w:shd w:val="clear" w:color="auto" w:fill="F2F5F9"/>
          </w:tcPr>
          <w:p>
            <w:pPr>
              <w:spacing w:after="20" w:before="20" w:line="252" w:lineRule="auto"/>
              <w:jc w:val="center"/>
            </w:pPr>
            <w:r>
              <w:rPr>
                <w:rFonts w:ascii="Calibri" w:hAnsi="Calibri" w:eastAsia="Microsoft YaHei" w:cs="Calibri"/>
                <w:sz w:val="17"/>
              </w:rPr>
              <w:t>7.5%</w:t>
            </w:r>
          </w:p>
        </w:tc>
        <w:tc>
          <w:tcPr>
            <w:tcW w:type="dxa" w:w="1169"/>
            <w:shd w:val="clear" w:color="auto" w:fill="F2F5F9"/>
          </w:tcPr>
          <w:p>
            <w:pPr>
              <w:spacing w:after="20" w:before="20" w:line="252" w:lineRule="auto"/>
              <w:jc w:val="center"/>
            </w:pPr>
            <w:r>
              <w:rPr>
                <w:rFonts w:ascii="Calibri" w:hAnsi="Calibri" w:eastAsia="Microsoft YaHei" w:cs="Calibri"/>
                <w:sz w:val="17"/>
              </w:rPr>
              <w:t>13.4</w:t>
            </w:r>
          </w:p>
        </w:tc>
        <w:tc>
          <w:tcPr>
            <w:tcW w:type="dxa" w:w="1011"/>
            <w:shd w:val="clear" w:color="auto" w:fill="F2F5F9"/>
          </w:tcPr>
          <w:p>
            <w:pPr>
              <w:spacing w:after="20" w:before="20" w:line="252" w:lineRule="auto"/>
              <w:jc w:val="center"/>
            </w:pPr>
            <w:r>
              <w:rPr>
                <w:rFonts w:ascii="Calibri" w:hAnsi="Calibri" w:eastAsia="Microsoft YaHei" w:cs="Calibri"/>
                <w:sz w:val="17"/>
              </w:rPr>
              <w:t>-16.2%</w:t>
            </w:r>
          </w:p>
        </w:tc>
        <w:tc>
          <w:tcPr>
            <w:tcW w:type="dxa" w:w="2303"/>
            <w:shd w:val="clear" w:color="auto" w:fill="F2F5F9"/>
          </w:tcPr>
          <w:p>
            <w:pPr>
              <w:spacing w:after="20" w:before="20" w:line="252" w:lineRule="auto"/>
              <w:jc w:val="center"/>
            </w:pPr>
            <w:r>
              <w:rPr>
                <w:rFonts w:ascii="Calibri" w:hAnsi="Calibri" w:eastAsia="Microsoft YaHei" w:cs="Calibri"/>
                <w:sz w:val="17"/>
              </w:rPr>
              <w:t>-3.4%</w:t>
            </w:r>
          </w:p>
        </w:tc>
        <w:tc>
          <w:tcPr>
            <w:tcW w:type="dxa" w:w="3426"/>
            <w:shd w:val="clear" w:color="auto" w:fill="F2F5F9"/>
          </w:tcPr>
          <w:p>
            <w:pPr>
              <w:spacing w:after="20" w:before="20" w:line="252" w:lineRule="auto"/>
              <w:jc w:val="left"/>
            </w:pPr>
            <w:r>
              <w:rPr>
                <w:rFonts w:ascii="Calibri" w:hAnsi="Calibri" w:eastAsia="Microsoft YaHei" w:cs="Calibri"/>
                <w:sz w:val="17"/>
              </w:rPr>
              <w:t>AFS size is an estimate</w:t>
            </w:r>
          </w:p>
        </w:tc>
      </w:tr>
      <w:tr>
        <w:trPr>
          <w:cantSplit/>
        </w:trPr>
        <w:tc>
          <w:tcPr>
            <w:tcW w:type="dxa" w:w="672"/>
          </w:tcPr>
          <w:p>
            <w:pPr>
              <w:spacing w:after="20" w:before="20" w:line="252" w:lineRule="auto"/>
              <w:jc w:val="left"/>
            </w:pPr>
            <w:r>
              <w:rPr>
                <w:rFonts w:ascii="Calibri" w:hAnsi="Calibri" w:eastAsia="Microsoft YaHei" w:cs="Calibri"/>
                <w:sz w:val="17"/>
              </w:rPr>
              <w:t>CFG</w:t>
            </w:r>
          </w:p>
        </w:tc>
        <w:tc>
          <w:tcPr>
            <w:tcW w:type="dxa" w:w="1169"/>
          </w:tcPr>
          <w:p>
            <w:pPr>
              <w:spacing w:after="20" w:before="20" w:line="252" w:lineRule="auto"/>
              <w:jc w:val="center"/>
            </w:pPr>
            <w:r>
              <w:rPr>
                <w:rFonts w:ascii="Calibri" w:hAnsi="Calibri" w:eastAsia="Microsoft YaHei" w:cs="Calibri"/>
                <w:sz w:val="17"/>
              </w:rPr>
              <w:t>6.8%</w:t>
            </w:r>
          </w:p>
        </w:tc>
        <w:tc>
          <w:tcPr>
            <w:tcW w:type="dxa" w:w="1169"/>
          </w:tcPr>
          <w:p>
            <w:pPr>
              <w:spacing w:after="20" w:before="20" w:line="252" w:lineRule="auto"/>
              <w:jc w:val="center"/>
            </w:pPr>
            <w:r>
              <w:rPr>
                <w:rFonts w:ascii="Calibri" w:hAnsi="Calibri" w:eastAsia="Microsoft YaHei" w:cs="Calibri"/>
                <w:sz w:val="17"/>
              </w:rPr>
              <w:t>14.8</w:t>
            </w:r>
          </w:p>
        </w:tc>
        <w:tc>
          <w:tcPr>
            <w:tcW w:type="dxa" w:w="1011"/>
          </w:tcPr>
          <w:p>
            <w:pPr>
              <w:spacing w:after="20" w:before="20" w:line="252" w:lineRule="auto"/>
              <w:jc w:val="center"/>
            </w:pPr>
            <w:r>
              <w:rPr>
                <w:rFonts w:ascii="Calibri" w:hAnsi="Calibri" w:eastAsia="Microsoft YaHei" w:cs="Calibri"/>
                <w:sz w:val="17"/>
              </w:rPr>
              <w:t>-14.3%</w:t>
            </w:r>
          </w:p>
        </w:tc>
        <w:tc>
          <w:tcPr>
            <w:tcW w:type="dxa" w:w="2303"/>
          </w:tcPr>
          <w:p>
            <w:pPr>
              <w:spacing w:after="20" w:before="20" w:line="252" w:lineRule="auto"/>
              <w:jc w:val="center"/>
            </w:pPr>
            <w:r>
              <w:rPr>
                <w:rFonts w:ascii="Calibri" w:hAnsi="Calibri" w:eastAsia="Microsoft YaHei" w:cs="Calibri"/>
                <w:sz w:val="17"/>
              </w:rPr>
              <w:t>-3.2%</w:t>
            </w:r>
          </w:p>
        </w:tc>
        <w:tc>
          <w:tcPr>
            <w:tcW w:type="dxa" w:w="3426"/>
          </w:tcPr>
          <w:p>
            <w:pPr>
              <w:spacing w:after="20" w:before="20" w:line="252" w:lineRule="auto"/>
              <w:jc w:val="left"/>
            </w:pPr>
            <w:r>
              <w:rPr>
                <w:rFonts w:ascii="Calibri" w:hAnsi="Calibri" w:eastAsia="Microsoft YaHei" w:cs="Calibri"/>
                <w:sz w:val="17"/>
              </w:rPr>
              <w:t>AFS size is an estimate</w:t>
            </w: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STT</w:t>
            </w:r>
          </w:p>
        </w:tc>
        <w:tc>
          <w:tcPr>
            <w:tcW w:type="dxa" w:w="1169"/>
            <w:shd w:val="clear" w:color="auto" w:fill="F2F5F9"/>
          </w:tcPr>
          <w:p>
            <w:pPr>
              <w:spacing w:after="20" w:before="20" w:line="252" w:lineRule="auto"/>
              <w:jc w:val="center"/>
            </w:pPr>
            <w:r>
              <w:rPr>
                <w:rFonts w:ascii="Calibri" w:hAnsi="Calibri" w:eastAsia="Microsoft YaHei" w:cs="Calibri"/>
                <w:sz w:val="17"/>
              </w:rPr>
              <w:t>4.1%</w:t>
            </w:r>
          </w:p>
        </w:tc>
        <w:tc>
          <w:tcPr>
            <w:tcW w:type="dxa" w:w="1169"/>
            <w:shd w:val="clear" w:color="auto" w:fill="F2F5F9"/>
          </w:tcPr>
          <w:p>
            <w:pPr>
              <w:spacing w:after="20" w:before="20" w:line="252" w:lineRule="auto"/>
              <w:jc w:val="center"/>
            </w:pPr>
            <w:r>
              <w:rPr>
                <w:rFonts w:ascii="Calibri" w:hAnsi="Calibri" w:eastAsia="Microsoft YaHei" w:cs="Calibri"/>
                <w:sz w:val="17"/>
              </w:rPr>
              <w:t>24.4</w:t>
            </w:r>
          </w:p>
        </w:tc>
        <w:tc>
          <w:tcPr>
            <w:tcW w:type="dxa" w:w="1011"/>
            <w:shd w:val="clear" w:color="auto" w:fill="F2F5F9"/>
          </w:tcPr>
          <w:p>
            <w:pPr>
              <w:spacing w:after="20" w:before="20" w:line="252" w:lineRule="auto"/>
              <w:jc w:val="center"/>
            </w:pPr>
            <w:r>
              <w:rPr>
                <w:rFonts w:ascii="Calibri" w:hAnsi="Calibri" w:eastAsia="Microsoft YaHei" w:cs="Calibri"/>
                <w:sz w:val="17"/>
              </w:rPr>
              <w:t>-6.9%</w:t>
            </w:r>
          </w:p>
        </w:tc>
        <w:tc>
          <w:tcPr>
            <w:tcW w:type="dxa" w:w="2303"/>
            <w:shd w:val="clear" w:color="auto" w:fill="F2F5F9"/>
          </w:tcPr>
          <w:p>
            <w:pPr>
              <w:spacing w:after="20" w:before="20" w:line="252" w:lineRule="auto"/>
              <w:jc w:val="center"/>
            </w:pPr>
            <w:r>
              <w:rPr>
                <w:rFonts w:ascii="Calibri" w:hAnsi="Calibri" w:eastAsia="Microsoft YaHei" w:cs="Calibri"/>
                <w:sz w:val="17"/>
              </w:rPr>
              <w:t>-3.1%</w:t>
            </w:r>
          </w:p>
        </w:tc>
        <w:tc>
          <w:tcPr>
            <w:tcW w:type="dxa" w:w="3426"/>
            <w:shd w:val="clear" w:color="auto" w:fill="F2F5F9"/>
          </w:tcPr>
          <w:p>
            <w:pPr>
              <w:spacing w:after="20" w:before="20" w:line="252" w:lineRule="auto"/>
              <w:jc w:val="center"/>
            </w:pPr>
          </w:p>
        </w:tc>
      </w:tr>
      <w:tr>
        <w:trPr>
          <w:cantSplit/>
        </w:trPr>
        <w:tc>
          <w:tcPr>
            <w:tcW w:type="dxa" w:w="672"/>
          </w:tcPr>
          <w:p>
            <w:pPr>
              <w:spacing w:after="20" w:before="20" w:line="252" w:lineRule="auto"/>
              <w:jc w:val="left"/>
            </w:pPr>
            <w:r>
              <w:rPr>
                <w:rFonts w:ascii="Calibri" w:hAnsi="Calibri" w:eastAsia="Microsoft YaHei" w:cs="Calibri"/>
                <w:sz w:val="17"/>
              </w:rPr>
              <w:t>JPM</w:t>
            </w:r>
          </w:p>
        </w:tc>
        <w:tc>
          <w:tcPr>
            <w:tcW w:type="dxa" w:w="1169"/>
          </w:tcPr>
          <w:p>
            <w:pPr>
              <w:spacing w:after="20" w:before="20" w:line="252" w:lineRule="auto"/>
              <w:jc w:val="center"/>
            </w:pPr>
            <w:r>
              <w:rPr>
                <w:rFonts w:ascii="Calibri" w:hAnsi="Calibri" w:eastAsia="Microsoft YaHei" w:cs="Calibri"/>
                <w:sz w:val="17"/>
              </w:rPr>
              <w:t>6.0%</w:t>
            </w:r>
          </w:p>
        </w:tc>
        <w:tc>
          <w:tcPr>
            <w:tcW w:type="dxa" w:w="1169"/>
          </w:tcPr>
          <w:p>
            <w:pPr>
              <w:spacing w:after="20" w:before="20" w:line="252" w:lineRule="auto"/>
              <w:jc w:val="center"/>
            </w:pPr>
            <w:r>
              <w:rPr>
                <w:rFonts w:ascii="Calibri" w:hAnsi="Calibri" w:eastAsia="Microsoft YaHei" w:cs="Calibri"/>
                <w:sz w:val="17"/>
              </w:rPr>
              <w:t>16.7</w:t>
            </w:r>
          </w:p>
        </w:tc>
        <w:tc>
          <w:tcPr>
            <w:tcW w:type="dxa" w:w="1011"/>
          </w:tcPr>
          <w:p>
            <w:pPr>
              <w:spacing w:after="20" w:before="20" w:line="252" w:lineRule="auto"/>
              <w:jc w:val="center"/>
            </w:pPr>
            <w:r>
              <w:rPr>
                <w:rFonts w:ascii="Calibri" w:hAnsi="Calibri" w:eastAsia="Microsoft YaHei" w:cs="Calibri"/>
                <w:sz w:val="17"/>
              </w:rPr>
              <w:t>-2.6%</w:t>
            </w:r>
          </w:p>
        </w:tc>
        <w:tc>
          <w:tcPr>
            <w:tcW w:type="dxa" w:w="2303"/>
          </w:tcPr>
          <w:p>
            <w:pPr>
              <w:spacing w:after="20" w:before="20" w:line="252" w:lineRule="auto"/>
              <w:jc w:val="center"/>
            </w:pPr>
            <w:r>
              <w:rPr>
                <w:rFonts w:ascii="Calibri" w:hAnsi="Calibri" w:eastAsia="Microsoft YaHei" w:cs="Calibri"/>
                <w:sz w:val="17"/>
              </w:rPr>
              <w:t>-2.7%</w:t>
            </w:r>
          </w:p>
        </w:tc>
        <w:tc>
          <w:tcPr>
            <w:tcW w:type="dxa" w:w="3426"/>
          </w:tcPr>
          <w:p>
            <w:pPr>
              <w:spacing w:after="20" w:before="20" w:line="252" w:lineRule="auto"/>
              <w:jc w:val="center"/>
            </w:pP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USB</w:t>
            </w:r>
          </w:p>
        </w:tc>
        <w:tc>
          <w:tcPr>
            <w:tcW w:type="dxa" w:w="1169"/>
            <w:shd w:val="clear" w:color="auto" w:fill="F2F5F9"/>
          </w:tcPr>
          <w:p>
            <w:pPr>
              <w:spacing w:after="20" w:before="20" w:line="252" w:lineRule="auto"/>
              <w:jc w:val="center"/>
            </w:pPr>
            <w:r>
              <w:rPr>
                <w:rFonts w:ascii="Calibri" w:hAnsi="Calibri" w:eastAsia="Microsoft YaHei" w:cs="Calibri"/>
                <w:sz w:val="17"/>
              </w:rPr>
              <w:t>5.8%</w:t>
            </w:r>
          </w:p>
        </w:tc>
        <w:tc>
          <w:tcPr>
            <w:tcW w:type="dxa" w:w="1169"/>
            <w:shd w:val="clear" w:color="auto" w:fill="F2F5F9"/>
          </w:tcPr>
          <w:p>
            <w:pPr>
              <w:spacing w:after="20" w:before="20" w:line="252" w:lineRule="auto"/>
              <w:jc w:val="center"/>
            </w:pPr>
            <w:r>
              <w:rPr>
                <w:rFonts w:ascii="Calibri" w:hAnsi="Calibri" w:eastAsia="Microsoft YaHei" w:cs="Calibri"/>
                <w:sz w:val="17"/>
              </w:rPr>
              <w:t>17.1</w:t>
            </w:r>
          </w:p>
        </w:tc>
        <w:tc>
          <w:tcPr>
            <w:tcW w:type="dxa" w:w="1011"/>
            <w:shd w:val="clear" w:color="auto" w:fill="F2F5F9"/>
          </w:tcPr>
          <w:p>
            <w:pPr>
              <w:spacing w:after="20" w:before="20" w:line="252" w:lineRule="auto"/>
              <w:jc w:val="center"/>
            </w:pPr>
            <w:r>
              <w:rPr>
                <w:rFonts w:ascii="Calibri" w:hAnsi="Calibri" w:eastAsia="Microsoft YaHei" w:cs="Calibri"/>
                <w:sz w:val="17"/>
              </w:rPr>
              <w:t>-16.8%</w:t>
            </w:r>
          </w:p>
        </w:tc>
        <w:tc>
          <w:tcPr>
            <w:tcW w:type="dxa" w:w="2303"/>
            <w:shd w:val="clear" w:color="auto" w:fill="F2F5F9"/>
          </w:tcPr>
          <w:p>
            <w:pPr>
              <w:spacing w:after="20" w:before="20" w:line="252" w:lineRule="auto"/>
              <w:jc w:val="center"/>
            </w:pPr>
            <w:r>
              <w:rPr>
                <w:rFonts w:ascii="Calibri" w:hAnsi="Calibri" w:eastAsia="Microsoft YaHei" w:cs="Calibri"/>
                <w:sz w:val="17"/>
              </w:rPr>
              <w:t>-2.3%</w:t>
            </w:r>
          </w:p>
        </w:tc>
        <w:tc>
          <w:tcPr>
            <w:tcW w:type="dxa" w:w="3426"/>
            <w:shd w:val="clear" w:color="auto" w:fill="F2F5F9"/>
          </w:tcPr>
          <w:p>
            <w:pPr>
              <w:spacing w:after="20" w:before="20" w:line="252" w:lineRule="auto"/>
              <w:jc w:val="center"/>
            </w:pPr>
          </w:p>
        </w:tc>
      </w:tr>
      <w:tr>
        <w:trPr>
          <w:cantSplit/>
        </w:trPr>
        <w:tc>
          <w:tcPr>
            <w:tcW w:type="dxa" w:w="672"/>
          </w:tcPr>
          <w:p>
            <w:pPr>
              <w:spacing w:after="20" w:before="20" w:line="252" w:lineRule="auto"/>
              <w:jc w:val="left"/>
            </w:pPr>
            <w:r>
              <w:rPr>
                <w:rFonts w:ascii="Calibri" w:hAnsi="Calibri" w:eastAsia="Microsoft YaHei" w:cs="Calibri"/>
                <w:sz w:val="17"/>
              </w:rPr>
              <w:t>MS</w:t>
            </w:r>
          </w:p>
        </w:tc>
        <w:tc>
          <w:tcPr>
            <w:tcW w:type="dxa" w:w="1169"/>
          </w:tcPr>
          <w:p>
            <w:pPr>
              <w:spacing w:after="20" w:before="20" w:line="252" w:lineRule="auto"/>
              <w:jc w:val="center"/>
            </w:pPr>
            <w:r>
              <w:rPr>
                <w:rFonts w:ascii="Calibri" w:hAnsi="Calibri" w:eastAsia="Microsoft YaHei" w:cs="Calibri"/>
                <w:sz w:val="17"/>
              </w:rPr>
              <w:t>5.0%</w:t>
            </w:r>
          </w:p>
        </w:tc>
        <w:tc>
          <w:tcPr>
            <w:tcW w:type="dxa" w:w="1169"/>
          </w:tcPr>
          <w:p>
            <w:pPr>
              <w:spacing w:after="20" w:before="20" w:line="252" w:lineRule="auto"/>
              <w:jc w:val="center"/>
            </w:pPr>
            <w:r>
              <w:rPr>
                <w:rFonts w:ascii="Calibri" w:hAnsi="Calibri" w:eastAsia="Microsoft YaHei" w:cs="Calibri"/>
                <w:sz w:val="17"/>
              </w:rPr>
              <w:t>19.9</w:t>
            </w:r>
          </w:p>
        </w:tc>
        <w:tc>
          <w:tcPr>
            <w:tcW w:type="dxa" w:w="1011"/>
          </w:tcPr>
          <w:p>
            <w:pPr>
              <w:spacing w:after="20" w:before="20" w:line="252" w:lineRule="auto"/>
              <w:jc w:val="center"/>
            </w:pPr>
            <w:r>
              <w:rPr>
                <w:rFonts w:ascii="Calibri" w:hAnsi="Calibri" w:eastAsia="Microsoft YaHei" w:cs="Calibri"/>
                <w:sz w:val="17"/>
              </w:rPr>
              <w:t>-7.5%</w:t>
            </w:r>
          </w:p>
        </w:tc>
        <w:tc>
          <w:tcPr>
            <w:tcW w:type="dxa" w:w="2303"/>
          </w:tcPr>
          <w:p>
            <w:pPr>
              <w:spacing w:after="20" w:before="20" w:line="252" w:lineRule="auto"/>
              <w:jc w:val="center"/>
            </w:pPr>
            <w:r>
              <w:rPr>
                <w:rFonts w:ascii="Calibri" w:hAnsi="Calibri" w:eastAsia="Microsoft YaHei" w:cs="Calibri"/>
                <w:sz w:val="17"/>
              </w:rPr>
              <w:t>-2.1%</w:t>
            </w:r>
          </w:p>
        </w:tc>
        <w:tc>
          <w:tcPr>
            <w:tcW w:type="dxa" w:w="3426"/>
          </w:tcPr>
          <w:p>
            <w:pPr>
              <w:spacing w:after="20" w:before="20" w:line="252" w:lineRule="auto"/>
              <w:jc w:val="center"/>
            </w:pP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MTB</w:t>
            </w:r>
          </w:p>
        </w:tc>
        <w:tc>
          <w:tcPr>
            <w:tcW w:type="dxa" w:w="1169"/>
            <w:shd w:val="clear" w:color="auto" w:fill="F2F5F9"/>
          </w:tcPr>
          <w:p>
            <w:pPr>
              <w:spacing w:after="20" w:before="20" w:line="252" w:lineRule="auto"/>
              <w:jc w:val="center"/>
            </w:pPr>
            <w:r>
              <w:rPr>
                <w:rFonts w:ascii="Calibri" w:hAnsi="Calibri" w:eastAsia="Microsoft YaHei" w:cs="Calibri"/>
                <w:sz w:val="17"/>
              </w:rPr>
              <w:t>7.8%</w:t>
            </w:r>
          </w:p>
        </w:tc>
        <w:tc>
          <w:tcPr>
            <w:tcW w:type="dxa" w:w="1169"/>
            <w:shd w:val="clear" w:color="auto" w:fill="F2F5F9"/>
          </w:tcPr>
          <w:p>
            <w:pPr>
              <w:spacing w:after="20" w:before="20" w:line="252" w:lineRule="auto"/>
              <w:jc w:val="center"/>
            </w:pPr>
            <w:r>
              <w:rPr>
                <w:rFonts w:ascii="Calibri" w:hAnsi="Calibri" w:eastAsia="Microsoft YaHei" w:cs="Calibri"/>
                <w:sz w:val="17"/>
              </w:rPr>
              <w:t>12.9</w:t>
            </w:r>
          </w:p>
        </w:tc>
        <w:tc>
          <w:tcPr>
            <w:tcW w:type="dxa" w:w="1011"/>
            <w:shd w:val="clear" w:color="auto" w:fill="F2F5F9"/>
          </w:tcPr>
          <w:p>
            <w:pPr>
              <w:spacing w:after="20" w:before="20" w:line="252" w:lineRule="auto"/>
              <w:jc w:val="center"/>
            </w:pPr>
            <w:r>
              <w:rPr>
                <w:rFonts w:ascii="Calibri" w:hAnsi="Calibri" w:eastAsia="Microsoft YaHei" w:cs="Calibri"/>
                <w:sz w:val="17"/>
              </w:rPr>
              <w:t>-0.5%</w:t>
            </w:r>
          </w:p>
        </w:tc>
        <w:tc>
          <w:tcPr>
            <w:tcW w:type="dxa" w:w="2303"/>
            <w:shd w:val="clear" w:color="auto" w:fill="F2F5F9"/>
          </w:tcPr>
          <w:p>
            <w:pPr>
              <w:spacing w:after="20" w:before="20" w:line="252" w:lineRule="auto"/>
              <w:jc w:val="center"/>
            </w:pPr>
            <w:r>
              <w:rPr>
                <w:rFonts w:ascii="Calibri" w:hAnsi="Calibri" w:eastAsia="Microsoft YaHei" w:cs="Calibri"/>
                <w:sz w:val="17"/>
              </w:rPr>
              <w:t>-1.9%</w:t>
            </w:r>
          </w:p>
        </w:tc>
        <w:tc>
          <w:tcPr>
            <w:tcW w:type="dxa" w:w="3426"/>
            <w:shd w:val="clear" w:color="auto" w:fill="F2F5F9"/>
          </w:tcPr>
          <w:p>
            <w:pPr>
              <w:spacing w:after="20" w:before="20" w:line="252" w:lineRule="auto"/>
              <w:jc w:val="center"/>
            </w:pPr>
          </w:p>
        </w:tc>
      </w:tr>
      <w:tr>
        <w:trPr>
          <w:cantSplit/>
        </w:trPr>
        <w:tc>
          <w:tcPr>
            <w:tcW w:type="dxa" w:w="672"/>
          </w:tcPr>
          <w:p>
            <w:pPr>
              <w:spacing w:after="20" w:before="20" w:line="252" w:lineRule="auto"/>
              <w:jc w:val="left"/>
            </w:pPr>
            <w:r>
              <w:rPr>
                <w:rFonts w:ascii="Calibri" w:hAnsi="Calibri" w:eastAsia="Microsoft YaHei" w:cs="Calibri"/>
                <w:sz w:val="17"/>
              </w:rPr>
              <w:t>GS</w:t>
            </w:r>
          </w:p>
        </w:tc>
        <w:tc>
          <w:tcPr>
            <w:tcW w:type="dxa" w:w="1169"/>
          </w:tcPr>
          <w:p>
            <w:pPr>
              <w:spacing w:after="20" w:before="20" w:line="252" w:lineRule="auto"/>
              <w:jc w:val="center"/>
            </w:pPr>
            <w:r>
              <w:rPr>
                <w:rFonts w:ascii="Calibri" w:hAnsi="Calibri" w:eastAsia="Microsoft YaHei" w:cs="Calibri"/>
                <w:sz w:val="17"/>
              </w:rPr>
              <w:t>4.7%</w:t>
            </w:r>
          </w:p>
        </w:tc>
        <w:tc>
          <w:tcPr>
            <w:tcW w:type="dxa" w:w="1169"/>
          </w:tcPr>
          <w:p>
            <w:pPr>
              <w:spacing w:after="20" w:before="20" w:line="252" w:lineRule="auto"/>
              <w:jc w:val="center"/>
            </w:pPr>
            <w:r>
              <w:rPr>
                <w:rFonts w:ascii="Calibri" w:hAnsi="Calibri" w:eastAsia="Microsoft YaHei" w:cs="Calibri"/>
                <w:sz w:val="17"/>
              </w:rPr>
              <w:t>21.2</w:t>
            </w:r>
          </w:p>
        </w:tc>
        <w:tc>
          <w:tcPr>
            <w:tcW w:type="dxa" w:w="1011"/>
          </w:tcPr>
          <w:p>
            <w:pPr>
              <w:spacing w:after="20" w:before="20" w:line="252" w:lineRule="auto"/>
              <w:jc w:val="center"/>
            </w:pPr>
            <w:r>
              <w:rPr>
                <w:rFonts w:ascii="Calibri" w:hAnsi="Calibri" w:eastAsia="Microsoft YaHei" w:cs="Calibri"/>
                <w:sz w:val="17"/>
              </w:rPr>
              <w:t>-2.8%</w:t>
            </w:r>
          </w:p>
        </w:tc>
        <w:tc>
          <w:tcPr>
            <w:tcW w:type="dxa" w:w="2303"/>
          </w:tcPr>
          <w:p>
            <w:pPr>
              <w:spacing w:after="20" w:before="20" w:line="252" w:lineRule="auto"/>
              <w:jc w:val="center"/>
            </w:pPr>
            <w:r>
              <w:rPr>
                <w:rFonts w:ascii="Calibri" w:hAnsi="Calibri" w:eastAsia="Microsoft YaHei" w:cs="Calibri"/>
                <w:sz w:val="17"/>
              </w:rPr>
              <w:t>-1.8%</w:t>
            </w:r>
          </w:p>
        </w:tc>
        <w:tc>
          <w:tcPr>
            <w:tcW w:type="dxa" w:w="3426"/>
          </w:tcPr>
          <w:p>
            <w:pPr>
              <w:spacing w:after="20" w:before="20" w:line="252" w:lineRule="auto"/>
              <w:jc w:val="left"/>
            </w:pPr>
            <w:r>
              <w:rPr>
                <w:rFonts w:ascii="Calibri" w:hAnsi="Calibri" w:eastAsia="Microsoft YaHei" w:cs="Calibri"/>
                <w:sz w:val="17"/>
              </w:rPr>
              <w:t>Short-duration T-bills</w:t>
            </w:r>
          </w:p>
        </w:tc>
      </w:tr>
      <w:tr>
        <w:trPr>
          <w:cantSplit/>
        </w:trPr>
        <w:tc>
          <w:tcPr>
            <w:tcW w:type="dxa" w:w="672"/>
            <w:shd w:val="clear" w:color="auto" w:fill="F2F5F9"/>
          </w:tcPr>
          <w:p>
            <w:pPr>
              <w:spacing w:after="20" w:before="20" w:line="252" w:lineRule="auto"/>
              <w:jc w:val="left"/>
            </w:pPr>
            <w:r>
              <w:rPr>
                <w:rFonts w:ascii="Calibri" w:hAnsi="Calibri" w:eastAsia="Microsoft YaHei" w:cs="Calibri"/>
                <w:sz w:val="17"/>
              </w:rPr>
              <w:t>BAC</w:t>
            </w:r>
          </w:p>
        </w:tc>
        <w:tc>
          <w:tcPr>
            <w:tcW w:type="dxa" w:w="1169"/>
            <w:shd w:val="clear" w:color="auto" w:fill="F2F5F9"/>
          </w:tcPr>
          <w:p>
            <w:pPr>
              <w:spacing w:after="20" w:before="20" w:line="252" w:lineRule="auto"/>
              <w:jc w:val="center"/>
            </w:pPr>
            <w:r>
              <w:rPr>
                <w:rFonts w:ascii="Calibri" w:hAnsi="Calibri" w:eastAsia="Microsoft YaHei" w:cs="Calibri"/>
                <w:sz w:val="17"/>
              </w:rPr>
              <w:t>5.9%</w:t>
            </w:r>
          </w:p>
        </w:tc>
        <w:tc>
          <w:tcPr>
            <w:tcW w:type="dxa" w:w="1169"/>
            <w:shd w:val="clear" w:color="auto" w:fill="F2F5F9"/>
          </w:tcPr>
          <w:p>
            <w:pPr>
              <w:spacing w:after="20" w:before="20" w:line="252" w:lineRule="auto"/>
              <w:jc w:val="center"/>
            </w:pPr>
            <w:r>
              <w:rPr>
                <w:rFonts w:ascii="Calibri" w:hAnsi="Calibri" w:eastAsia="Microsoft YaHei" w:cs="Calibri"/>
                <w:sz w:val="17"/>
              </w:rPr>
              <w:t>17.0</w:t>
            </w:r>
          </w:p>
        </w:tc>
        <w:tc>
          <w:tcPr>
            <w:tcW w:type="dxa" w:w="1011"/>
            <w:shd w:val="clear" w:color="auto" w:fill="F2F5F9"/>
          </w:tcPr>
          <w:p>
            <w:pPr>
              <w:spacing w:after="20" w:before="20" w:line="252" w:lineRule="auto"/>
              <w:jc w:val="center"/>
            </w:pPr>
            <w:r>
              <w:rPr>
                <w:rFonts w:ascii="Calibri" w:hAnsi="Calibri" w:eastAsia="Microsoft YaHei" w:cs="Calibri"/>
                <w:sz w:val="17"/>
              </w:rPr>
              <w:t>-5.8%</w:t>
            </w:r>
          </w:p>
        </w:tc>
        <w:tc>
          <w:tcPr>
            <w:tcW w:type="dxa" w:w="2303"/>
            <w:shd w:val="clear" w:color="auto" w:fill="F2F5F9"/>
          </w:tcPr>
          <w:p>
            <w:pPr>
              <w:spacing w:after="20" w:before="20" w:line="252" w:lineRule="auto"/>
              <w:jc w:val="center"/>
            </w:pPr>
            <w:r>
              <w:rPr>
                <w:rFonts w:ascii="Calibri" w:hAnsi="Calibri" w:eastAsia="Microsoft YaHei" w:cs="Calibri"/>
                <w:sz w:val="17"/>
              </w:rPr>
              <w:t>-1.2%</w:t>
            </w:r>
          </w:p>
        </w:tc>
        <w:tc>
          <w:tcPr>
            <w:tcW w:type="dxa" w:w="3426"/>
            <w:shd w:val="clear" w:color="auto" w:fill="F2F5F9"/>
          </w:tcPr>
          <w:p>
            <w:pPr>
              <w:spacing w:after="20" w:before="20" w:line="252" w:lineRule="auto"/>
              <w:jc w:val="left"/>
            </w:pPr>
            <w:r>
              <w:rPr>
                <w:rFonts w:ascii="Calibri" w:hAnsi="Calibri" w:eastAsia="Microsoft YaHei" w:cs="Calibri"/>
                <w:sz w:val="17"/>
              </w:rPr>
              <w:t>HTM unrealised loss of $82B (about 40% of TCE) does not enter capital</w:t>
            </w:r>
          </w:p>
        </w:tc>
      </w:tr>
    </w:tbl>
    <w:p>
      <w:pPr>
        <w:spacing w:after="40"/>
      </w:pPr>
    </w:p>
    <w:p>
      <w:r>
        <w:rPr>
          <w:rFonts w:ascii="Calibri" w:hAnsi="Calibri" w:eastAsia="Microsoft YaHei" w:cs="Calibri"/>
          <w:sz w:val="21"/>
        </w:rPr>
        <w:t>How to read it: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AOCI/TCE reflects cumulative damage; the Q3 incremental hit reflects the marginal pressure this quarter.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BAC is the textbook case: AFS duration is only about 1 year, so capital is almost unaffected, but the $82B HTM unrealised loss (plus about $14B of new loss in Q3) is a worry for "economic TBV"; it enters capital only if forced sales or reclassification occur.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The table is a model estimate, not regulatory capital. CET1 treatment of AOCI differs by bank category (Category I-II must include it; III-IV usually opt out).</w:t>
      </w:r>
    </w:p>
    <w:p>
      <w:r>
        <w:rPr>
          <w:rFonts w:ascii="Calibri" w:hAnsi="Calibri" w:eastAsia="Microsoft YaHei" w:cs="Calibri"/>
          <w:b/>
          <w:sz w:val="21"/>
        </w:rPr>
        <w:t>Credit</w:t>
      </w:r>
      <w:r>
        <w:rPr>
          <w:rFonts w:ascii="Calibri" w:hAnsi="Calibri" w:eastAsia="Microsoft YaHei" w:cs="Calibri"/>
          <w:sz w:val="21"/>
        </w:rPr>
        <w: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FDIC data show a net charge-off rate of 0.57% and improving delinquencies.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NDFI / private-credit loans are about $1.7T, around 12% of bank loans, with a default rate of about 0.1% (vs. 1.4% for C&amp;I), concentrated in PNC, USB, TFC and others.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CRE: KEY's and HBAN's NPA ratios are up 11-13bp; office and multifamily remain the tail.</w:t>
      </w:r>
    </w:p>
    <w:p>
      <w:pPr>
        <w:pStyle w:val="Heading2"/>
      </w:pPr>
      <w:r>
        <w:rPr>
          <w:rFonts w:ascii="Calibri" w:hAnsi="Calibri" w:eastAsia="Microsoft YaHei" w:cs="Calibri"/>
          <w:b/>
          <w:color w:val="1F4E79"/>
          <w:sz w:val="28"/>
        </w:rPr>
        <w:t>8. Historical analogues: dot-com bubble, oil shocks, wars and rate hikes</w:t>
      </w:r>
    </w:p>
    <w:p>
      <w:r>
        <w:rPr>
          <w:rFonts w:ascii="Calibri" w:hAnsi="Calibri" w:eastAsia="Microsoft YaHei" w:cs="Calibri"/>
          <w:sz w:val="21"/>
        </w:rPr>
        <w:t>From Ken French's 48-industry monthly value-weighted returns (</w:t>
      </w:r>
      <w:r>
        <w:rPr>
          <w:rFonts w:ascii="Consolas" w:hAnsi="Consolas" w:eastAsia="Microsoft YaHei" w:cs="Consolas"/>
          <w:color w:val="8B1A1A"/>
          <w:sz w:val="19"/>
        </w:rPr>
        <w:t>historical_analogs.csv</w:t>
      </w:r>
      <w:r>
        <w:rPr>
          <w:rFonts w:ascii="Calibri" w:hAnsi="Calibri" w:eastAsia="Microsoft YaHei" w:cs="Calibri"/>
          <w:sz w:val="21"/>
        </w:rPr>
        <w:t>).</w:t>
      </w:r>
    </w:p>
    <w:tbl>
      <w:tblPr>
        <w:tblStyle w:val="TableGrid"/>
        <w:tblW w:type="auto" w:w="0"/>
        <w:jc w:val="center"/>
        <w:tblLayout w:type="fixed"/>
        <w:tblLook w:firstColumn="1" w:firstRow="1" w:lastColumn="0" w:lastRow="0" w:noHBand="0" w:noVBand="1" w:val="04A0"/>
      </w:tblPr>
      <w:tblGrid>
        <w:gridCol w:w="2739"/>
        <w:gridCol w:w="530"/>
        <w:gridCol w:w="1980"/>
        <w:gridCol w:w="530"/>
        <w:gridCol w:w="847"/>
        <w:gridCol w:w="3126"/>
      </w:tblGrid>
      <w:tr>
        <w:trPr>
          <w:tblHeader w:val="true"/>
          <w:cantSplit/>
        </w:trPr>
        <w:tc>
          <w:tcPr>
            <w:tcW w:type="dxa" w:w="2739"/>
            <w:shd w:val="clear" w:color="auto" w:fill="1F4E79"/>
          </w:tcPr>
          <w:p>
            <w:pPr>
              <w:spacing w:after="20" w:before="20" w:line="252" w:lineRule="auto"/>
              <w:jc w:val="center"/>
            </w:pPr>
            <w:r>
              <w:rPr>
                <w:rFonts w:ascii="Calibri" w:hAnsi="Calibri" w:eastAsia="Microsoft YaHei" w:cs="Calibri"/>
                <w:b/>
                <w:color w:val="FFFFFF"/>
                <w:sz w:val="17"/>
              </w:rPr>
              <w:t>Period</w:t>
            </w:r>
          </w:p>
        </w:tc>
        <w:tc>
          <w:tcPr>
            <w:tcW w:type="dxa" w:w="530"/>
            <w:shd w:val="clear" w:color="auto" w:fill="1F4E79"/>
          </w:tcPr>
          <w:p>
            <w:pPr>
              <w:spacing w:after="20" w:before="20" w:line="252" w:lineRule="auto"/>
              <w:jc w:val="center"/>
            </w:pPr>
            <w:r>
              <w:rPr>
                <w:rFonts w:ascii="Calibri" w:hAnsi="Calibri" w:eastAsia="Microsoft YaHei" w:cs="Calibri"/>
                <w:b/>
                <w:color w:val="FFFFFF"/>
                <w:sz w:val="17"/>
              </w:rPr>
              <w:t>Banks</w:t>
            </w:r>
          </w:p>
        </w:tc>
        <w:tc>
          <w:tcPr>
            <w:tcW w:type="dxa" w:w="1980"/>
            <w:shd w:val="clear" w:color="auto" w:fill="1F4E79"/>
          </w:tcPr>
          <w:p>
            <w:pPr>
              <w:spacing w:after="20" w:before="20" w:line="252" w:lineRule="auto"/>
              <w:jc w:val="center"/>
            </w:pPr>
            <w:r>
              <w:rPr>
                <w:rFonts w:ascii="Calibri" w:hAnsi="Calibri" w:eastAsia="Microsoft YaHei" w:cs="Calibri"/>
                <w:b/>
                <w:color w:val="FFFFFF"/>
                <w:sz w:val="17"/>
              </w:rPr>
              <w:t>Brokers / asset mgrs (Fin)</w:t>
            </w:r>
          </w:p>
        </w:tc>
        <w:tc>
          <w:tcPr>
            <w:tcW w:type="dxa" w:w="530"/>
            <w:shd w:val="clear" w:color="auto" w:fill="1F4E79"/>
          </w:tcPr>
          <w:p>
            <w:pPr>
              <w:spacing w:after="20" w:before="20" w:line="252" w:lineRule="auto"/>
              <w:jc w:val="center"/>
            </w:pPr>
            <w:r>
              <w:rPr>
                <w:rFonts w:ascii="Calibri" w:hAnsi="Calibri" w:eastAsia="Microsoft YaHei" w:cs="Calibri"/>
                <w:b/>
                <w:color w:val="FFFFFF"/>
                <w:sz w:val="17"/>
              </w:rPr>
              <w:t>Chips</w:t>
            </w:r>
          </w:p>
        </w:tc>
        <w:tc>
          <w:tcPr>
            <w:tcW w:type="dxa" w:w="847"/>
            <w:shd w:val="clear" w:color="auto" w:fill="1F4E79"/>
          </w:tcPr>
          <w:p>
            <w:pPr>
              <w:spacing w:after="20" w:before="20" w:line="252" w:lineRule="auto"/>
              <w:jc w:val="center"/>
            </w:pPr>
            <w:r>
              <w:rPr>
                <w:rFonts w:ascii="Calibri" w:hAnsi="Calibri" w:eastAsia="Microsoft YaHei" w:cs="Calibri"/>
                <w:b/>
                <w:color w:val="FFFFFF"/>
                <w:sz w:val="17"/>
              </w:rPr>
              <w:t>Computers</w:t>
            </w:r>
          </w:p>
        </w:tc>
        <w:tc>
          <w:tcPr>
            <w:tcW w:type="dxa" w:w="3126"/>
            <w:shd w:val="clear" w:color="auto" w:fill="1F4E79"/>
          </w:tcPr>
          <w:p>
            <w:pPr>
              <w:spacing w:after="20" w:before="20" w:line="252" w:lineRule="auto"/>
              <w:jc w:val="center"/>
            </w:pPr>
            <w:r>
              <w:rPr>
                <w:rFonts w:ascii="Calibri" w:hAnsi="Calibri" w:eastAsia="Microsoft YaHei" w:cs="Calibri"/>
                <w:b/>
                <w:color w:val="FFFFFF"/>
                <w:sz w:val="17"/>
              </w:rPr>
              <w:t>Banks - tech (mean of chips / computers / business services)</w:t>
            </w:r>
          </w:p>
        </w:tc>
      </w:tr>
      <w:tr>
        <w:trPr>
          <w:cantSplit/>
        </w:trPr>
        <w:tc>
          <w:tcPr>
            <w:tcW w:type="dxa" w:w="2739"/>
          </w:tcPr>
          <w:p>
            <w:pPr>
              <w:spacing w:after="20" w:before="20" w:line="252" w:lineRule="auto"/>
              <w:jc w:val="left"/>
            </w:pPr>
            <w:r>
              <w:rPr>
                <w:rFonts w:ascii="Calibri" w:hAnsi="Calibri" w:eastAsia="Microsoft YaHei" w:cs="Calibri"/>
                <w:sz w:val="17"/>
              </w:rPr>
              <w:t>1973.10-74.12 oil embargo + stagflation</w:t>
            </w:r>
          </w:p>
        </w:tc>
        <w:tc>
          <w:tcPr>
            <w:tcW w:type="dxa" w:w="530"/>
          </w:tcPr>
          <w:p>
            <w:pPr>
              <w:spacing w:after="20" w:before="20" w:line="252" w:lineRule="auto"/>
              <w:jc w:val="center"/>
            </w:pPr>
            <w:r>
              <w:rPr>
                <w:rFonts w:ascii="Calibri" w:hAnsi="Calibri" w:eastAsia="Microsoft YaHei" w:cs="Calibri"/>
                <w:sz w:val="17"/>
              </w:rPr>
              <w:t>-43%</w:t>
            </w:r>
          </w:p>
        </w:tc>
        <w:tc>
          <w:tcPr>
            <w:tcW w:type="dxa" w:w="1980"/>
          </w:tcPr>
          <w:p>
            <w:pPr>
              <w:spacing w:after="20" w:before="20" w:line="252" w:lineRule="auto"/>
              <w:jc w:val="center"/>
            </w:pPr>
            <w:r>
              <w:rPr>
                <w:rFonts w:ascii="Calibri" w:hAnsi="Calibri" w:eastAsia="Microsoft YaHei" w:cs="Calibri"/>
                <w:sz w:val="17"/>
              </w:rPr>
              <w:t>-41%</w:t>
            </w:r>
          </w:p>
        </w:tc>
        <w:tc>
          <w:tcPr>
            <w:tcW w:type="dxa" w:w="530"/>
          </w:tcPr>
          <w:p>
            <w:pPr>
              <w:spacing w:after="20" w:before="20" w:line="252" w:lineRule="auto"/>
              <w:jc w:val="center"/>
            </w:pPr>
            <w:r>
              <w:rPr>
                <w:rFonts w:ascii="Calibri" w:hAnsi="Calibri" w:eastAsia="Microsoft YaHei" w:cs="Calibri"/>
                <w:sz w:val="17"/>
              </w:rPr>
              <w:t>-51%</w:t>
            </w:r>
          </w:p>
        </w:tc>
        <w:tc>
          <w:tcPr>
            <w:tcW w:type="dxa" w:w="847"/>
          </w:tcPr>
          <w:p>
            <w:pPr>
              <w:spacing w:after="20" w:before="20" w:line="252" w:lineRule="auto"/>
              <w:jc w:val="center"/>
            </w:pPr>
            <w:r>
              <w:rPr>
                <w:rFonts w:ascii="Calibri" w:hAnsi="Calibri" w:eastAsia="Microsoft YaHei" w:cs="Calibri"/>
                <w:sz w:val="17"/>
              </w:rPr>
              <w:t>-38%</w:t>
            </w:r>
          </w:p>
        </w:tc>
        <w:tc>
          <w:tcPr>
            <w:tcW w:type="dxa" w:w="3126"/>
          </w:tcPr>
          <w:p>
            <w:pPr>
              <w:spacing w:after="20" w:before="20" w:line="252" w:lineRule="auto"/>
              <w:jc w:val="center"/>
            </w:pPr>
            <w:r>
              <w:rPr>
                <w:rFonts w:ascii="Calibri" w:hAnsi="Calibri" w:eastAsia="Microsoft YaHei" w:cs="Calibri"/>
                <w:sz w:val="17"/>
              </w:rPr>
              <w:t>About +3pp</w:t>
            </w:r>
          </w:p>
        </w:tc>
      </w:tr>
      <w:tr>
        <w:trPr>
          <w:cantSplit/>
        </w:trPr>
        <w:tc>
          <w:tcPr>
            <w:tcW w:type="dxa" w:w="2739"/>
            <w:shd w:val="clear" w:color="auto" w:fill="F2F5F9"/>
          </w:tcPr>
          <w:p>
            <w:pPr>
              <w:spacing w:after="20" w:before="20" w:line="252" w:lineRule="auto"/>
              <w:jc w:val="left"/>
            </w:pPr>
            <w:r>
              <w:rPr>
                <w:rFonts w:ascii="Calibri" w:hAnsi="Calibri" w:eastAsia="Microsoft YaHei" w:cs="Calibri"/>
                <w:sz w:val="17"/>
              </w:rPr>
              <w:t>1979-81 Volcker + oil shock</w:t>
            </w:r>
          </w:p>
        </w:tc>
        <w:tc>
          <w:tcPr>
            <w:tcW w:type="dxa" w:w="530"/>
            <w:shd w:val="clear" w:color="auto" w:fill="F2F5F9"/>
          </w:tcPr>
          <w:p>
            <w:pPr>
              <w:spacing w:after="20" w:before="20" w:line="252" w:lineRule="auto"/>
              <w:jc w:val="center"/>
            </w:pPr>
            <w:r>
              <w:rPr>
                <w:rFonts w:ascii="Calibri" w:hAnsi="Calibri" w:eastAsia="Microsoft YaHei" w:cs="Calibri"/>
                <w:sz w:val="17"/>
              </w:rPr>
              <w:t>+41%</w:t>
            </w:r>
          </w:p>
        </w:tc>
        <w:tc>
          <w:tcPr>
            <w:tcW w:type="dxa" w:w="1980"/>
            <w:shd w:val="clear" w:color="auto" w:fill="F2F5F9"/>
          </w:tcPr>
          <w:p>
            <w:pPr>
              <w:spacing w:after="20" w:before="20" w:line="252" w:lineRule="auto"/>
              <w:jc w:val="center"/>
            </w:pPr>
            <w:r>
              <w:rPr>
                <w:rFonts w:ascii="Calibri" w:hAnsi="Calibri" w:eastAsia="Microsoft YaHei" w:cs="Calibri"/>
                <w:sz w:val="17"/>
              </w:rPr>
              <w:t>+69%</w:t>
            </w:r>
          </w:p>
        </w:tc>
        <w:tc>
          <w:tcPr>
            <w:tcW w:type="dxa" w:w="530"/>
            <w:shd w:val="clear" w:color="auto" w:fill="F2F5F9"/>
          </w:tcPr>
          <w:p>
            <w:pPr>
              <w:spacing w:after="20" w:before="20" w:line="252" w:lineRule="auto"/>
              <w:jc w:val="center"/>
            </w:pPr>
            <w:r>
              <w:rPr>
                <w:rFonts w:ascii="Calibri" w:hAnsi="Calibri" w:eastAsia="Microsoft YaHei" w:cs="Calibri"/>
                <w:sz w:val="17"/>
              </w:rPr>
              <w:t>+60%</w:t>
            </w:r>
          </w:p>
        </w:tc>
        <w:tc>
          <w:tcPr>
            <w:tcW w:type="dxa" w:w="847"/>
            <w:shd w:val="clear" w:color="auto" w:fill="F2F5F9"/>
          </w:tcPr>
          <w:p>
            <w:pPr>
              <w:spacing w:after="20" w:before="20" w:line="252" w:lineRule="auto"/>
              <w:jc w:val="center"/>
            </w:pPr>
            <w:r>
              <w:rPr>
                <w:rFonts w:ascii="Calibri" w:hAnsi="Calibri" w:eastAsia="Microsoft YaHei" w:cs="Calibri"/>
                <w:sz w:val="17"/>
              </w:rPr>
              <w:t>-3%</w:t>
            </w:r>
          </w:p>
        </w:tc>
        <w:tc>
          <w:tcPr>
            <w:tcW w:type="dxa" w:w="3126"/>
            <w:shd w:val="clear" w:color="auto" w:fill="F2F5F9"/>
          </w:tcPr>
          <w:p>
            <w:pPr>
              <w:spacing w:after="20" w:before="20" w:line="252" w:lineRule="auto"/>
              <w:jc w:val="center"/>
            </w:pPr>
            <w:r>
              <w:rPr>
                <w:rFonts w:ascii="Calibri" w:hAnsi="Calibri" w:eastAsia="Microsoft YaHei" w:cs="Calibri"/>
                <w:sz w:val="17"/>
              </w:rPr>
              <w:t>-10pp</w:t>
            </w:r>
          </w:p>
        </w:tc>
      </w:tr>
      <w:tr>
        <w:trPr>
          <w:cantSplit/>
        </w:trPr>
        <w:tc>
          <w:tcPr>
            <w:tcW w:type="dxa" w:w="2739"/>
          </w:tcPr>
          <w:p>
            <w:pPr>
              <w:spacing w:after="20" w:before="20" w:line="252" w:lineRule="auto"/>
              <w:jc w:val="left"/>
            </w:pPr>
            <w:r>
              <w:rPr>
                <w:rFonts w:ascii="Calibri" w:hAnsi="Calibri" w:eastAsia="Microsoft YaHei" w:cs="Calibri"/>
                <w:sz w:val="17"/>
              </w:rPr>
              <w:t>1990.7-10 Gulf War oil shock</w:t>
            </w:r>
          </w:p>
        </w:tc>
        <w:tc>
          <w:tcPr>
            <w:tcW w:type="dxa" w:w="530"/>
          </w:tcPr>
          <w:p>
            <w:pPr>
              <w:spacing w:after="20" w:before="20" w:line="252" w:lineRule="auto"/>
              <w:jc w:val="center"/>
            </w:pPr>
            <w:r>
              <w:rPr>
                <w:rFonts w:ascii="Calibri" w:hAnsi="Calibri" w:eastAsia="Microsoft YaHei" w:cs="Calibri"/>
                <w:sz w:val="17"/>
              </w:rPr>
              <w:t>-35%</w:t>
            </w:r>
          </w:p>
        </w:tc>
        <w:tc>
          <w:tcPr>
            <w:tcW w:type="dxa" w:w="1980"/>
          </w:tcPr>
          <w:p>
            <w:pPr>
              <w:spacing w:after="20" w:before="20" w:line="252" w:lineRule="auto"/>
              <w:jc w:val="center"/>
            </w:pPr>
            <w:r>
              <w:rPr>
                <w:rFonts w:ascii="Calibri" w:hAnsi="Calibri" w:eastAsia="Microsoft YaHei" w:cs="Calibri"/>
                <w:sz w:val="17"/>
              </w:rPr>
              <w:t>-30%</w:t>
            </w:r>
          </w:p>
        </w:tc>
        <w:tc>
          <w:tcPr>
            <w:tcW w:type="dxa" w:w="530"/>
          </w:tcPr>
          <w:p>
            <w:pPr>
              <w:spacing w:after="20" w:before="20" w:line="252" w:lineRule="auto"/>
              <w:jc w:val="center"/>
            </w:pPr>
            <w:r>
              <w:rPr>
                <w:rFonts w:ascii="Calibri" w:hAnsi="Calibri" w:eastAsia="Microsoft YaHei" w:cs="Calibri"/>
                <w:sz w:val="17"/>
              </w:rPr>
              <w:t>-27%</w:t>
            </w:r>
          </w:p>
        </w:tc>
        <w:tc>
          <w:tcPr>
            <w:tcW w:type="dxa" w:w="847"/>
          </w:tcPr>
          <w:p>
            <w:pPr>
              <w:spacing w:after="20" w:before="20" w:line="252" w:lineRule="auto"/>
              <w:jc w:val="center"/>
            </w:pPr>
            <w:r>
              <w:rPr>
                <w:rFonts w:ascii="Calibri" w:hAnsi="Calibri" w:eastAsia="Microsoft YaHei" w:cs="Calibri"/>
                <w:sz w:val="17"/>
              </w:rPr>
              <w:t>-26%</w:t>
            </w:r>
          </w:p>
        </w:tc>
        <w:tc>
          <w:tcPr>
            <w:tcW w:type="dxa" w:w="3126"/>
          </w:tcPr>
          <w:p>
            <w:pPr>
              <w:spacing w:after="20" w:before="20" w:line="252" w:lineRule="auto"/>
              <w:jc w:val="center"/>
            </w:pPr>
            <w:r>
              <w:rPr>
                <w:rFonts w:ascii="Calibri" w:hAnsi="Calibri" w:eastAsia="Microsoft YaHei" w:cs="Calibri"/>
                <w:sz w:val="17"/>
              </w:rPr>
              <w:t>-9pp</w:t>
            </w:r>
          </w:p>
        </w:tc>
      </w:tr>
      <w:tr>
        <w:trPr>
          <w:cantSplit/>
        </w:trPr>
        <w:tc>
          <w:tcPr>
            <w:tcW w:type="dxa" w:w="2739"/>
            <w:shd w:val="clear" w:color="auto" w:fill="F2F5F9"/>
          </w:tcPr>
          <w:p>
            <w:pPr>
              <w:spacing w:after="20" w:before="20" w:line="252" w:lineRule="auto"/>
              <w:jc w:val="left"/>
            </w:pPr>
            <w:r>
              <w:rPr>
                <w:rFonts w:ascii="Calibri" w:hAnsi="Calibri" w:eastAsia="Microsoft YaHei" w:cs="Calibri"/>
                <w:sz w:val="17"/>
              </w:rPr>
              <w:t>1998.10-2000.3 dot-com run-up</w:t>
            </w:r>
          </w:p>
        </w:tc>
        <w:tc>
          <w:tcPr>
            <w:tcW w:type="dxa" w:w="530"/>
            <w:shd w:val="clear" w:color="auto" w:fill="F2F5F9"/>
          </w:tcPr>
          <w:p>
            <w:pPr>
              <w:spacing w:after="20" w:before="20" w:line="252" w:lineRule="auto"/>
              <w:jc w:val="center"/>
            </w:pPr>
            <w:r>
              <w:rPr>
                <w:rFonts w:ascii="Calibri" w:hAnsi="Calibri" w:eastAsia="Microsoft YaHei" w:cs="Calibri"/>
                <w:sz w:val="17"/>
              </w:rPr>
              <w:t>+13%</w:t>
            </w:r>
          </w:p>
        </w:tc>
        <w:tc>
          <w:tcPr>
            <w:tcW w:type="dxa" w:w="1980"/>
            <w:shd w:val="clear" w:color="auto" w:fill="F2F5F9"/>
          </w:tcPr>
          <w:p>
            <w:pPr>
              <w:spacing w:after="20" w:before="20" w:line="252" w:lineRule="auto"/>
              <w:jc w:val="center"/>
            </w:pPr>
            <w:r>
              <w:rPr>
                <w:rFonts w:ascii="Calibri" w:hAnsi="Calibri" w:eastAsia="Microsoft YaHei" w:cs="Calibri"/>
                <w:sz w:val="17"/>
              </w:rPr>
              <w:t>+113%</w:t>
            </w:r>
          </w:p>
        </w:tc>
        <w:tc>
          <w:tcPr>
            <w:tcW w:type="dxa" w:w="530"/>
            <w:shd w:val="clear" w:color="auto" w:fill="F2F5F9"/>
          </w:tcPr>
          <w:p>
            <w:pPr>
              <w:spacing w:after="20" w:before="20" w:line="252" w:lineRule="auto"/>
              <w:jc w:val="center"/>
            </w:pPr>
            <w:r>
              <w:rPr>
                <w:rFonts w:ascii="Calibri" w:hAnsi="Calibri" w:eastAsia="Microsoft YaHei" w:cs="Calibri"/>
                <w:sz w:val="17"/>
              </w:rPr>
              <w:t>+264%</w:t>
            </w:r>
          </w:p>
        </w:tc>
        <w:tc>
          <w:tcPr>
            <w:tcW w:type="dxa" w:w="847"/>
            <w:shd w:val="clear" w:color="auto" w:fill="F2F5F9"/>
          </w:tcPr>
          <w:p>
            <w:pPr>
              <w:spacing w:after="20" w:before="20" w:line="252" w:lineRule="auto"/>
              <w:jc w:val="center"/>
            </w:pPr>
            <w:r>
              <w:rPr>
                <w:rFonts w:ascii="Calibri" w:hAnsi="Calibri" w:eastAsia="Microsoft YaHei" w:cs="Calibri"/>
                <w:sz w:val="17"/>
              </w:rPr>
              <w:t>+219%</w:t>
            </w:r>
          </w:p>
        </w:tc>
        <w:tc>
          <w:tcPr>
            <w:tcW w:type="dxa" w:w="3126"/>
            <w:shd w:val="clear" w:color="auto" w:fill="F2F5F9"/>
          </w:tcPr>
          <w:p>
            <w:pPr>
              <w:spacing w:after="20" w:before="20" w:line="252" w:lineRule="auto"/>
              <w:jc w:val="center"/>
            </w:pPr>
            <w:r>
              <w:rPr>
                <w:rFonts w:ascii="Calibri" w:hAnsi="Calibri" w:eastAsia="Microsoft YaHei" w:cs="Calibri"/>
                <w:b/>
                <w:sz w:val="17"/>
              </w:rPr>
              <w:t>-187pp</w:t>
            </w:r>
          </w:p>
        </w:tc>
      </w:tr>
      <w:tr>
        <w:trPr>
          <w:cantSplit/>
        </w:trPr>
        <w:tc>
          <w:tcPr>
            <w:tcW w:type="dxa" w:w="2739"/>
          </w:tcPr>
          <w:p>
            <w:pPr>
              <w:spacing w:after="20" w:before="20" w:line="252" w:lineRule="auto"/>
              <w:jc w:val="left"/>
            </w:pPr>
            <w:r>
              <w:rPr>
                <w:rFonts w:ascii="Calibri" w:hAnsi="Calibri" w:eastAsia="Microsoft YaHei" w:cs="Calibri"/>
                <w:sz w:val="17"/>
              </w:rPr>
              <w:t>2000.4-2002.9 bubble burst</w:t>
            </w:r>
          </w:p>
        </w:tc>
        <w:tc>
          <w:tcPr>
            <w:tcW w:type="dxa" w:w="530"/>
          </w:tcPr>
          <w:p>
            <w:pPr>
              <w:spacing w:after="20" w:before="20" w:line="252" w:lineRule="auto"/>
              <w:jc w:val="center"/>
            </w:pPr>
            <w:r>
              <w:rPr>
                <w:rFonts w:ascii="Calibri" w:hAnsi="Calibri" w:eastAsia="Microsoft YaHei" w:cs="Calibri"/>
                <w:sz w:val="17"/>
              </w:rPr>
              <w:t>+4%</w:t>
            </w:r>
          </w:p>
        </w:tc>
        <w:tc>
          <w:tcPr>
            <w:tcW w:type="dxa" w:w="1980"/>
          </w:tcPr>
          <w:p>
            <w:pPr>
              <w:spacing w:after="20" w:before="20" w:line="252" w:lineRule="auto"/>
              <w:jc w:val="center"/>
            </w:pPr>
            <w:r>
              <w:rPr>
                <w:rFonts w:ascii="Calibri" w:hAnsi="Calibri" w:eastAsia="Microsoft YaHei" w:cs="Calibri"/>
                <w:sz w:val="17"/>
              </w:rPr>
              <w:t>-40%</w:t>
            </w:r>
          </w:p>
        </w:tc>
        <w:tc>
          <w:tcPr>
            <w:tcW w:type="dxa" w:w="530"/>
          </w:tcPr>
          <w:p>
            <w:pPr>
              <w:spacing w:after="20" w:before="20" w:line="252" w:lineRule="auto"/>
              <w:jc w:val="center"/>
            </w:pPr>
            <w:r>
              <w:rPr>
                <w:rFonts w:ascii="Calibri" w:hAnsi="Calibri" w:eastAsia="Microsoft YaHei" w:cs="Calibri"/>
                <w:sz w:val="17"/>
              </w:rPr>
              <w:t>-84%</w:t>
            </w:r>
          </w:p>
        </w:tc>
        <w:tc>
          <w:tcPr>
            <w:tcW w:type="dxa" w:w="847"/>
          </w:tcPr>
          <w:p>
            <w:pPr>
              <w:spacing w:after="20" w:before="20" w:line="252" w:lineRule="auto"/>
              <w:jc w:val="center"/>
            </w:pPr>
            <w:r>
              <w:rPr>
                <w:rFonts w:ascii="Calibri" w:hAnsi="Calibri" w:eastAsia="Microsoft YaHei" w:cs="Calibri"/>
                <w:sz w:val="17"/>
              </w:rPr>
              <w:t>-83%</w:t>
            </w:r>
          </w:p>
        </w:tc>
        <w:tc>
          <w:tcPr>
            <w:tcW w:type="dxa" w:w="3126"/>
          </w:tcPr>
          <w:p>
            <w:pPr>
              <w:spacing w:after="20" w:before="20" w:line="252" w:lineRule="auto"/>
              <w:jc w:val="center"/>
            </w:pPr>
            <w:r>
              <w:rPr>
                <w:rFonts w:ascii="Calibri" w:hAnsi="Calibri" w:eastAsia="Microsoft YaHei" w:cs="Calibri"/>
                <w:b/>
                <w:sz w:val="17"/>
              </w:rPr>
              <w:t>+84pp</w:t>
            </w:r>
          </w:p>
        </w:tc>
      </w:tr>
      <w:tr>
        <w:trPr>
          <w:cantSplit/>
        </w:trPr>
        <w:tc>
          <w:tcPr>
            <w:tcW w:type="dxa" w:w="2739"/>
            <w:shd w:val="clear" w:color="auto" w:fill="F2F5F9"/>
          </w:tcPr>
          <w:p>
            <w:pPr>
              <w:spacing w:after="20" w:before="20" w:line="252" w:lineRule="auto"/>
              <w:jc w:val="left"/>
            </w:pPr>
            <w:r>
              <w:rPr>
                <w:rFonts w:ascii="Calibri" w:hAnsi="Calibri" w:eastAsia="Microsoft YaHei" w:cs="Calibri"/>
                <w:sz w:val="17"/>
              </w:rPr>
              <w:t>1999 rate hikes (4.75 to 5.50)</w:t>
            </w:r>
          </w:p>
        </w:tc>
        <w:tc>
          <w:tcPr>
            <w:tcW w:type="dxa" w:w="530"/>
            <w:shd w:val="clear" w:color="auto" w:fill="F2F5F9"/>
          </w:tcPr>
          <w:p>
            <w:pPr>
              <w:spacing w:after="20" w:before="20" w:line="252" w:lineRule="auto"/>
              <w:jc w:val="center"/>
            </w:pPr>
            <w:r>
              <w:rPr>
                <w:rFonts w:ascii="Calibri" w:hAnsi="Calibri" w:eastAsia="Microsoft YaHei" w:cs="Calibri"/>
                <w:sz w:val="17"/>
              </w:rPr>
              <w:t>-7%</w:t>
            </w:r>
          </w:p>
        </w:tc>
        <w:tc>
          <w:tcPr>
            <w:tcW w:type="dxa" w:w="1980"/>
            <w:shd w:val="clear" w:color="auto" w:fill="F2F5F9"/>
          </w:tcPr>
          <w:p>
            <w:pPr>
              <w:spacing w:after="20" w:before="20" w:line="252" w:lineRule="auto"/>
              <w:jc w:val="center"/>
            </w:pPr>
            <w:r>
              <w:rPr>
                <w:rFonts w:ascii="Calibri" w:hAnsi="Calibri" w:eastAsia="Microsoft YaHei" w:cs="Calibri"/>
                <w:sz w:val="17"/>
              </w:rPr>
              <w:t>+6%</w:t>
            </w:r>
          </w:p>
        </w:tc>
        <w:tc>
          <w:tcPr>
            <w:tcW w:type="dxa" w:w="530"/>
            <w:shd w:val="clear" w:color="auto" w:fill="F2F5F9"/>
          </w:tcPr>
          <w:p>
            <w:pPr>
              <w:spacing w:after="20" w:before="20" w:line="252" w:lineRule="auto"/>
              <w:jc w:val="center"/>
            </w:pPr>
            <w:r>
              <w:rPr>
                <w:rFonts w:ascii="Calibri" w:hAnsi="Calibri" w:eastAsia="Microsoft YaHei" w:cs="Calibri"/>
                <w:sz w:val="17"/>
              </w:rPr>
              <w:t>+72%</w:t>
            </w:r>
          </w:p>
        </w:tc>
        <w:tc>
          <w:tcPr>
            <w:tcW w:type="dxa" w:w="847"/>
            <w:shd w:val="clear" w:color="auto" w:fill="F2F5F9"/>
          </w:tcPr>
          <w:p>
            <w:pPr>
              <w:spacing w:after="20" w:before="20" w:line="252" w:lineRule="auto"/>
              <w:jc w:val="center"/>
            </w:pPr>
            <w:r>
              <w:rPr>
                <w:rFonts w:ascii="Calibri" w:hAnsi="Calibri" w:eastAsia="Microsoft YaHei" w:cs="Calibri"/>
                <w:sz w:val="17"/>
              </w:rPr>
              <w:t>+68%</w:t>
            </w:r>
          </w:p>
        </w:tc>
        <w:tc>
          <w:tcPr>
            <w:tcW w:type="dxa" w:w="3126"/>
            <w:shd w:val="clear" w:color="auto" w:fill="F2F5F9"/>
          </w:tcPr>
          <w:p>
            <w:pPr>
              <w:spacing w:after="20" w:before="20" w:line="252" w:lineRule="auto"/>
              <w:jc w:val="center"/>
            </w:pPr>
            <w:r>
              <w:rPr>
                <w:rFonts w:ascii="Calibri" w:hAnsi="Calibri" w:eastAsia="Microsoft YaHei" w:cs="Calibri"/>
                <w:sz w:val="17"/>
              </w:rPr>
              <w:t>-71pp</w:t>
            </w:r>
          </w:p>
        </w:tc>
      </w:tr>
      <w:tr>
        <w:trPr>
          <w:cantSplit/>
        </w:trPr>
        <w:tc>
          <w:tcPr>
            <w:tcW w:type="dxa" w:w="2739"/>
          </w:tcPr>
          <w:p>
            <w:pPr>
              <w:spacing w:after="20" w:before="20" w:line="252" w:lineRule="auto"/>
              <w:jc w:val="left"/>
            </w:pPr>
            <w:r>
              <w:rPr>
                <w:rFonts w:ascii="Calibri" w:hAnsi="Calibri" w:eastAsia="Microsoft YaHei" w:cs="Calibri"/>
                <w:sz w:val="17"/>
              </w:rPr>
              <w:t>2008.1-7 oil to $147</w:t>
            </w:r>
          </w:p>
        </w:tc>
        <w:tc>
          <w:tcPr>
            <w:tcW w:type="dxa" w:w="530"/>
          </w:tcPr>
          <w:p>
            <w:pPr>
              <w:spacing w:after="20" w:before="20" w:line="252" w:lineRule="auto"/>
              <w:jc w:val="center"/>
            </w:pPr>
            <w:r>
              <w:rPr>
                <w:rFonts w:ascii="Calibri" w:hAnsi="Calibri" w:eastAsia="Microsoft YaHei" w:cs="Calibri"/>
                <w:sz w:val="17"/>
              </w:rPr>
              <w:t>-21%</w:t>
            </w:r>
          </w:p>
        </w:tc>
        <w:tc>
          <w:tcPr>
            <w:tcW w:type="dxa" w:w="1980"/>
          </w:tcPr>
          <w:p>
            <w:pPr>
              <w:spacing w:after="20" w:before="20" w:line="252" w:lineRule="auto"/>
              <w:jc w:val="center"/>
            </w:pPr>
            <w:r>
              <w:rPr>
                <w:rFonts w:ascii="Calibri" w:hAnsi="Calibri" w:eastAsia="Microsoft YaHei" w:cs="Calibri"/>
                <w:sz w:val="17"/>
              </w:rPr>
              <w:t>-28%</w:t>
            </w:r>
          </w:p>
        </w:tc>
        <w:tc>
          <w:tcPr>
            <w:tcW w:type="dxa" w:w="530"/>
          </w:tcPr>
          <w:p>
            <w:pPr>
              <w:spacing w:after="20" w:before="20" w:line="252" w:lineRule="auto"/>
              <w:jc w:val="center"/>
            </w:pPr>
            <w:r>
              <w:rPr>
                <w:rFonts w:ascii="Calibri" w:hAnsi="Calibri" w:eastAsia="Microsoft YaHei" w:cs="Calibri"/>
                <w:sz w:val="17"/>
              </w:rPr>
              <w:t>-12%</w:t>
            </w:r>
          </w:p>
        </w:tc>
        <w:tc>
          <w:tcPr>
            <w:tcW w:type="dxa" w:w="847"/>
          </w:tcPr>
          <w:p>
            <w:pPr>
              <w:spacing w:after="20" w:before="20" w:line="252" w:lineRule="auto"/>
              <w:jc w:val="center"/>
            </w:pPr>
            <w:r>
              <w:rPr>
                <w:rFonts w:ascii="Calibri" w:hAnsi="Calibri" w:eastAsia="Microsoft YaHei" w:cs="Calibri"/>
                <w:sz w:val="17"/>
              </w:rPr>
              <w:t>-16%</w:t>
            </w:r>
          </w:p>
        </w:tc>
        <w:tc>
          <w:tcPr>
            <w:tcW w:type="dxa" w:w="3126"/>
          </w:tcPr>
          <w:p>
            <w:pPr>
              <w:spacing w:after="20" w:before="20" w:line="252" w:lineRule="auto"/>
              <w:jc w:val="center"/>
            </w:pPr>
            <w:r>
              <w:rPr>
                <w:rFonts w:ascii="Calibri" w:hAnsi="Calibri" w:eastAsia="Microsoft YaHei" w:cs="Calibri"/>
                <w:sz w:val="17"/>
              </w:rPr>
              <w:t>-7pp</w:t>
            </w:r>
          </w:p>
        </w:tc>
      </w:tr>
      <w:tr>
        <w:trPr>
          <w:cantSplit/>
        </w:trPr>
        <w:tc>
          <w:tcPr>
            <w:tcW w:type="dxa" w:w="2739"/>
            <w:shd w:val="clear" w:color="auto" w:fill="F2F5F9"/>
          </w:tcPr>
          <w:p>
            <w:pPr>
              <w:spacing w:after="20" w:before="20" w:line="252" w:lineRule="auto"/>
              <w:jc w:val="left"/>
            </w:pPr>
            <w:r>
              <w:rPr>
                <w:rFonts w:ascii="Calibri" w:hAnsi="Calibri" w:eastAsia="Microsoft YaHei" w:cs="Calibri"/>
                <w:sz w:val="17"/>
              </w:rPr>
              <w:t>Full-year 2022 (hikes + Ukraine)</w:t>
            </w:r>
          </w:p>
        </w:tc>
        <w:tc>
          <w:tcPr>
            <w:tcW w:type="dxa" w:w="530"/>
            <w:shd w:val="clear" w:color="auto" w:fill="F2F5F9"/>
          </w:tcPr>
          <w:p>
            <w:pPr>
              <w:spacing w:after="20" w:before="20" w:line="252" w:lineRule="auto"/>
              <w:jc w:val="center"/>
            </w:pPr>
            <w:r>
              <w:rPr>
                <w:rFonts w:ascii="Calibri" w:hAnsi="Calibri" w:eastAsia="Microsoft YaHei" w:cs="Calibri"/>
                <w:sz w:val="17"/>
              </w:rPr>
              <w:t>-16%</w:t>
            </w:r>
          </w:p>
        </w:tc>
        <w:tc>
          <w:tcPr>
            <w:tcW w:type="dxa" w:w="1980"/>
            <w:shd w:val="clear" w:color="auto" w:fill="F2F5F9"/>
          </w:tcPr>
          <w:p>
            <w:pPr>
              <w:spacing w:after="20" w:before="20" w:line="252" w:lineRule="auto"/>
              <w:jc w:val="center"/>
            </w:pPr>
            <w:r>
              <w:rPr>
                <w:rFonts w:ascii="Calibri" w:hAnsi="Calibri" w:eastAsia="Microsoft YaHei" w:cs="Calibri"/>
                <w:sz w:val="17"/>
              </w:rPr>
              <w:t>-15%</w:t>
            </w:r>
          </w:p>
        </w:tc>
        <w:tc>
          <w:tcPr>
            <w:tcW w:type="dxa" w:w="530"/>
            <w:shd w:val="clear" w:color="auto" w:fill="F2F5F9"/>
          </w:tcPr>
          <w:p>
            <w:pPr>
              <w:spacing w:after="20" w:before="20" w:line="252" w:lineRule="auto"/>
              <w:jc w:val="center"/>
            </w:pPr>
            <w:r>
              <w:rPr>
                <w:rFonts w:ascii="Calibri" w:hAnsi="Calibri" w:eastAsia="Microsoft YaHei" w:cs="Calibri"/>
                <w:sz w:val="17"/>
              </w:rPr>
              <w:t>-29%</w:t>
            </w:r>
          </w:p>
        </w:tc>
        <w:tc>
          <w:tcPr>
            <w:tcW w:type="dxa" w:w="847"/>
            <w:shd w:val="clear" w:color="auto" w:fill="F2F5F9"/>
          </w:tcPr>
          <w:p>
            <w:pPr>
              <w:spacing w:after="20" w:before="20" w:line="252" w:lineRule="auto"/>
              <w:jc w:val="center"/>
            </w:pPr>
            <w:r>
              <w:rPr>
                <w:rFonts w:ascii="Calibri" w:hAnsi="Calibri" w:eastAsia="Microsoft YaHei" w:cs="Calibri"/>
                <w:sz w:val="17"/>
              </w:rPr>
              <w:t>-20%</w:t>
            </w:r>
          </w:p>
        </w:tc>
        <w:tc>
          <w:tcPr>
            <w:tcW w:type="dxa" w:w="3126"/>
            <w:shd w:val="clear" w:color="auto" w:fill="F2F5F9"/>
          </w:tcPr>
          <w:p>
            <w:pPr>
              <w:spacing w:after="20" w:before="20" w:line="252" w:lineRule="auto"/>
              <w:jc w:val="center"/>
            </w:pPr>
            <w:r>
              <w:rPr>
                <w:rFonts w:ascii="Calibri" w:hAnsi="Calibri" w:eastAsia="Microsoft YaHei" w:cs="Calibri"/>
                <w:sz w:val="17"/>
              </w:rPr>
              <w:t>+12pp</w:t>
            </w:r>
          </w:p>
        </w:tc>
      </w:tr>
      <w:tr>
        <w:trPr>
          <w:cantSplit/>
        </w:trPr>
        <w:tc>
          <w:tcPr>
            <w:tcW w:type="dxa" w:w="2739"/>
          </w:tcPr>
          <w:p>
            <w:pPr>
              <w:spacing w:after="20" w:before="20" w:line="252" w:lineRule="auto"/>
              <w:jc w:val="left"/>
            </w:pPr>
            <w:r>
              <w:rPr>
                <w:rFonts w:ascii="Calibri" w:hAnsi="Calibri" w:eastAsia="Microsoft YaHei" w:cs="Calibri"/>
                <w:sz w:val="17"/>
              </w:rPr>
              <w:t>2025.1-2026.9 AI rally</w:t>
            </w:r>
          </w:p>
        </w:tc>
        <w:tc>
          <w:tcPr>
            <w:tcW w:type="dxa" w:w="530"/>
          </w:tcPr>
          <w:p>
            <w:pPr>
              <w:spacing w:after="20" w:before="20" w:line="252" w:lineRule="auto"/>
              <w:jc w:val="center"/>
            </w:pPr>
            <w:r>
              <w:rPr>
                <w:rFonts w:ascii="Calibri" w:hAnsi="Calibri" w:eastAsia="Microsoft YaHei" w:cs="Calibri"/>
                <w:sz w:val="17"/>
              </w:rPr>
              <w:t>+37%</w:t>
            </w:r>
          </w:p>
        </w:tc>
        <w:tc>
          <w:tcPr>
            <w:tcW w:type="dxa" w:w="1980"/>
          </w:tcPr>
          <w:p>
            <w:pPr>
              <w:spacing w:after="20" w:before="20" w:line="252" w:lineRule="auto"/>
              <w:jc w:val="center"/>
            </w:pPr>
            <w:r>
              <w:rPr>
                <w:rFonts w:ascii="Calibri" w:hAnsi="Calibri" w:eastAsia="Microsoft YaHei" w:cs="Calibri"/>
                <w:sz w:val="17"/>
              </w:rPr>
              <w:t>+31%</w:t>
            </w:r>
          </w:p>
        </w:tc>
        <w:tc>
          <w:tcPr>
            <w:tcW w:type="dxa" w:w="530"/>
          </w:tcPr>
          <w:p>
            <w:pPr>
              <w:spacing w:after="20" w:before="20" w:line="252" w:lineRule="auto"/>
              <w:jc w:val="center"/>
            </w:pPr>
            <w:r>
              <w:rPr>
                <w:rFonts w:ascii="Calibri" w:hAnsi="Calibri" w:eastAsia="Microsoft YaHei" w:cs="Calibri"/>
                <w:sz w:val="17"/>
              </w:rPr>
              <w:t>+67%</w:t>
            </w:r>
          </w:p>
        </w:tc>
        <w:tc>
          <w:tcPr>
            <w:tcW w:type="dxa" w:w="847"/>
          </w:tcPr>
          <w:p>
            <w:pPr>
              <w:spacing w:after="20" w:before="20" w:line="252" w:lineRule="auto"/>
              <w:jc w:val="center"/>
            </w:pPr>
            <w:r>
              <w:rPr>
                <w:rFonts w:ascii="Calibri" w:hAnsi="Calibri" w:eastAsia="Microsoft YaHei" w:cs="Calibri"/>
                <w:sz w:val="17"/>
              </w:rPr>
              <w:t>+93%</w:t>
            </w:r>
          </w:p>
        </w:tc>
        <w:tc>
          <w:tcPr>
            <w:tcW w:type="dxa" w:w="3126"/>
          </w:tcPr>
          <w:p>
            <w:pPr>
              <w:spacing w:after="20" w:before="20" w:line="252" w:lineRule="auto"/>
              <w:jc w:val="center"/>
            </w:pPr>
            <w:r>
              <w:rPr>
                <w:rFonts w:ascii="Calibri" w:hAnsi="Calibri" w:eastAsia="Microsoft YaHei" w:cs="Calibri"/>
                <w:sz w:val="17"/>
              </w:rPr>
              <w:t>-23pp</w:t>
            </w:r>
          </w:p>
        </w:tc>
      </w:tr>
    </w:tbl>
    <w:p>
      <w:pPr>
        <w:spacing w:after="40"/>
      </w:pPr>
    </w:p>
    <w:p>
      <w:r>
        <w:rPr>
          <w:rFonts w:ascii="Calibri" w:hAnsi="Calibri" w:eastAsia="Microsoft YaHei" w:cs="Calibri"/>
          <w:b/>
          <w:sz w:val="21"/>
        </w:rPr>
        <w:t>What can be said</w:t>
      </w:r>
    </w:p>
    <w:p>
      <w:pPr>
        <w:tabs>
          <w:tab w:pos="369" w:val="left"/>
        </w:tabs>
        <w:spacing w:after="60"/>
        <w:ind w:left="369" w:hanging="283"/>
      </w:pPr>
      <w:r>
        <w:rPr>
          <w:rFonts w:ascii="Calibri" w:hAnsi="Calibri" w:eastAsia="Microsoft YaHei" w:cs="Calibri"/>
          <w:b/>
          <w:sz w:val="21"/>
        </w:rPr>
        <w:t>1.</w:t>
        <w:tab/>
      </w:r>
      <w:r>
        <w:rPr>
          <w:rFonts w:ascii="Calibri" w:hAnsi="Calibri" w:eastAsia="Microsoft YaHei" w:cs="Calibri"/>
          <w:sz w:val="21"/>
        </w:rPr>
        <w:t>The current setup most resembles 1999: tech far ahead, banks lagging, with the Fed hiking. In the 1999 hiking period banks were -7% and chips +72%.</w:t>
      </w:r>
    </w:p>
    <w:p>
      <w:pPr>
        <w:tabs>
          <w:tab w:pos="369" w:val="left"/>
        </w:tabs>
        <w:spacing w:after="60"/>
        <w:ind w:left="369" w:hanging="283"/>
      </w:pPr>
      <w:r>
        <w:rPr>
          <w:rFonts w:ascii="Calibri" w:hAnsi="Calibri" w:eastAsia="Microsoft YaHei" w:cs="Calibri"/>
          <w:b/>
          <w:sz w:val="21"/>
        </w:rPr>
        <w:t>2.</w:t>
        <w:tab/>
      </w:r>
      <w:r>
        <w:rPr>
          <w:rFonts w:ascii="Calibri" w:hAnsi="Calibri" w:eastAsia="Microsoft YaHei" w:cs="Calibri"/>
          <w:sz w:val="21"/>
        </w:rPr>
        <w:t>In the 1999-2000 "bubble phase" banks lagged by 187 percentage points, but after the bubble burst banks outperformed by 84pp. The direction is right, but it should not be used to bet on timing.</w:t>
      </w:r>
    </w:p>
    <w:p>
      <w:pPr>
        <w:tabs>
          <w:tab w:pos="369" w:val="left"/>
        </w:tabs>
        <w:spacing w:after="60"/>
        <w:ind w:left="369" w:hanging="283"/>
      </w:pPr>
      <w:r>
        <w:rPr>
          <w:rFonts w:ascii="Calibri" w:hAnsi="Calibri" w:eastAsia="Microsoft YaHei" w:cs="Calibri"/>
          <w:b/>
          <w:sz w:val="21"/>
        </w:rPr>
        <w:t>3.</w:t>
        <w:tab/>
      </w:r>
      <w:r>
        <w:rPr>
          <w:rFonts w:ascii="Calibri" w:hAnsi="Calibri" w:eastAsia="Microsoft YaHei" w:cs="Calibri"/>
          <w:sz w:val="21"/>
        </w:rPr>
        <w:t>During oil and war shocks (1973-74, 1990, 2008) banks fell together with tech, showing banks have no defensive character in stagflation and oil shocks. The 1979-81 Volcker period is the counter-example: banks +41%, because of wider spreads plus inflation.</w:t>
      </w:r>
    </w:p>
    <w:p>
      <w:pPr>
        <w:tabs>
          <w:tab w:pos="369" w:val="left"/>
        </w:tabs>
        <w:spacing w:after="60"/>
        <w:ind w:left="369" w:hanging="283"/>
      </w:pPr>
      <w:r>
        <w:rPr>
          <w:rFonts w:ascii="Calibri" w:hAnsi="Calibri" w:eastAsia="Microsoft YaHei" w:cs="Calibri"/>
          <w:b/>
          <w:sz w:val="21"/>
        </w:rPr>
        <w:t>4.</w:t>
        <w:tab/>
      </w:r>
      <w:r>
        <w:rPr>
          <w:rFonts w:ascii="Calibri" w:hAnsi="Calibri" w:eastAsia="Microsoft YaHei" w:cs="Calibri"/>
          <w:sz w:val="21"/>
        </w:rPr>
        <w:t>2022 is the most recent "hikes + energy shock" case: banks -16%, chips -29%. Banks were relatively more resilient, but absolute returns were negative.</w:t>
      </w:r>
    </w:p>
    <w:p>
      <w:r>
        <w:rPr>
          <w:rFonts w:ascii="Calibri" w:hAnsi="Calibri" w:eastAsia="Microsoft YaHei" w:cs="Calibri"/>
          <w:b/>
          <w:sz w:val="21"/>
        </w:rPr>
        <w:t>What cannot be said</w:t>
      </w:r>
      <w:r>
        <w:rPr>
          <w:rFonts w:ascii="Calibri" w:hAnsi="Calibri" w:eastAsia="Microsoft YaHei" w:cs="Calibri"/>
          <w:sz w:val="21"/>
        </w:rPr>
        <w:t>: each episode is essentially one sample, with much overlap (oil, hikes and valuations moving together); no significance tests were run; and the industry classification (French 48) differs from today's KBW bank index. This is a "regime illustration", not a forecast.</w:t>
      </w:r>
    </w:p>
    <w:p>
      <w:r>
        <w:rPr>
          <w:rFonts w:ascii="Calibri" w:hAnsi="Calibri" w:eastAsia="Microsoft YaHei" w:cs="Calibri"/>
          <w:b/>
          <w:sz w:val="21"/>
        </w:rPr>
        <w:t>Differences from today</w:t>
      </w:r>
      <w:r>
        <w:rPr>
          <w:rFonts w:ascii="Calibri" w:hAnsi="Calibri" w:eastAsia="Microsoft YaHei" w:cs="Calibri"/>
          <w:sz w:val="21"/>
        </w:rPr>
        <w:t>: the current 10Y is 5.3%, vs. a monthly average of about 6.3% in December 1999 (FRED GS10); the 2026 NII tailwind comes from fixed-rate assets bought in the long low-rate era repricing at maturity; the AOCI/HTM burden is a legacy of 2022 onward.</w:t>
      </w:r>
    </w:p>
    <w:p>
      <w:pPr>
        <w:pStyle w:val="Heading2"/>
      </w:pPr>
      <w:r>
        <w:rPr>
          <w:rFonts w:ascii="Calibri" w:hAnsi="Calibri" w:eastAsia="Microsoft YaHei" w:cs="Calibri"/>
          <w:b/>
          <w:color w:val="1F4E79"/>
          <w:sz w:val="28"/>
        </w:rPr>
        <w:t>9. Investment views (scenario-based, not personalised)</w:t>
      </w:r>
    </w:p>
    <w:p>
      <w:r>
        <w:rPr>
          <w:rFonts w:ascii="Calibri" w:hAnsi="Calibri" w:eastAsia="Microsoft YaHei" w:cs="Calibri"/>
          <w:b/>
          <w:sz w:val="21"/>
        </w:rPr>
        <w:t>Core logic</w:t>
      </w:r>
      <w:r>
        <w:rPr>
          <w:rFonts w:ascii="Calibri" w:hAnsi="Calibri" w:eastAsia="Microsoft YaHei" w:cs="Calibri"/>
          <w:sz w:val="21"/>
        </w:rPr>
        <w:t>: earnings season is a game against expectations. The expectation gaps are concentrated in C/JPM/MS (positive) and BAC/GS/HBAN (negative), while regionals as a group depend more on the 10/27-28 FOMC and the path of long-end rates.</w:t>
      </w:r>
    </w:p>
    <w:p>
      <w:r>
        <w:rPr>
          <w:rFonts w:ascii="Calibri" w:hAnsi="Calibri" w:eastAsia="Microsoft YaHei" w:cs="Calibri"/>
          <w:b/>
          <w:sz w:val="21"/>
        </w:rPr>
        <w:t>Tactical positioning (1-2 weeks before earnings, through each report date)</w:t>
      </w:r>
    </w:p>
    <w:p>
      <w:pPr>
        <w:tabs>
          <w:tab w:pos="369" w:val="left"/>
        </w:tabs>
        <w:spacing w:after="60"/>
        <w:ind w:left="369" w:hanging="283"/>
      </w:pPr>
      <w:r>
        <w:rPr>
          <w:rFonts w:ascii="Calibri" w:hAnsi="Calibri" w:eastAsia="Microsoft YaHei" w:cs="Calibri"/>
          <w:b/>
          <w:sz w:val="21"/>
        </w:rPr>
        <w:t>1.</w:t>
        <w:tab/>
      </w:r>
      <w:r>
        <w:rPr>
          <w:rFonts w:ascii="Calibri" w:hAnsi="Calibri" w:eastAsia="Microsoft YaHei" w:cs="Calibri"/>
          <w:b/>
          <w:sz w:val="21"/>
        </w:rPr>
        <w:t>Lean long</w:t>
      </w:r>
      <w:r>
        <w:rPr>
          <w:rFonts w:ascii="Calibri" w:hAnsi="Calibri" w:eastAsia="Microsoft YaHei" w:cs="Calibri"/>
          <w:sz w:val="21"/>
        </w:rPr>
        <w:t>: C, JPM, MS.</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C has the largest "EPS gap" and the highest hit rate in the model. JPM offers lower volatility (±2.3%) and higher certainty. MS's narrative has already been hammered by "3Q is no 2Q".</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Sizing: no more than 3-5% of the portfolio per name; set stops using the ±3-4% one-day move.</w:t>
      </w:r>
    </w:p>
    <w:p>
      <w:pPr>
        <w:tabs>
          <w:tab w:pos="369" w:val="left"/>
        </w:tabs>
        <w:spacing w:after="60"/>
        <w:ind w:left="369" w:hanging="283"/>
      </w:pPr>
      <w:r>
        <w:rPr>
          <w:rFonts w:ascii="Calibri" w:hAnsi="Calibri" w:eastAsia="Microsoft YaHei" w:cs="Calibri"/>
          <w:b/>
          <w:sz w:val="21"/>
        </w:rPr>
        <w:t>2.</w:t>
        <w:tab/>
      </w:r>
      <w:r>
        <w:rPr>
          <w:rFonts w:ascii="Calibri" w:hAnsi="Calibri" w:eastAsia="Microsoft YaHei" w:cs="Calibri"/>
          <w:b/>
          <w:sz w:val="21"/>
        </w:rPr>
        <w:t>Selectively long</w:t>
      </w:r>
      <w:r>
        <w:rPr>
          <w:rFonts w:ascii="Calibri" w:hAnsi="Calibri" w:eastAsia="Microsoft YaHei" w:cs="Calibri"/>
          <w:sz w:val="21"/>
        </w:rPr>
        <w:t>: FITB, USB.</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Guidance quality is high, but AOCI and consensus-basis noise is large; halve the position size.</w:t>
      </w:r>
    </w:p>
    <w:p>
      <w:pPr>
        <w:tabs>
          <w:tab w:pos="369" w:val="left"/>
        </w:tabs>
        <w:spacing w:after="60"/>
        <w:ind w:left="369" w:hanging="283"/>
      </w:pPr>
      <w:r>
        <w:rPr>
          <w:rFonts w:ascii="Calibri" w:hAnsi="Calibri" w:eastAsia="Microsoft YaHei" w:cs="Calibri"/>
          <w:b/>
          <w:sz w:val="21"/>
        </w:rPr>
        <w:t>3.</w:t>
        <w:tab/>
      </w:r>
      <w:r>
        <w:rPr>
          <w:rFonts w:ascii="Calibri" w:hAnsi="Calibri" w:eastAsia="Microsoft YaHei" w:cs="Calibri"/>
          <w:b/>
          <w:sz w:val="21"/>
        </w:rPr>
        <w:t>Avoid or hedge</w:t>
      </w:r>
      <w:r>
        <w:rPr>
          <w:rFonts w:ascii="Calibri" w:hAnsi="Calibri" w:eastAsia="Microsoft YaHei" w:cs="Calibri"/>
          <w:sz w:val="21"/>
        </w:rPr>
        <w:t>: BAC, GS, HBAN.</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If held, consider XLF or KBWB puts, or a pair trade long C/JPM and short BAC/GS to hedge sector beta.</w:t>
      </w:r>
    </w:p>
    <w:p>
      <w:pPr>
        <w:tabs>
          <w:tab w:pos="765" w:val="left"/>
        </w:tabs>
        <w:spacing w:after="60"/>
        <w:ind w:left="765" w:hanging="283"/>
      </w:pPr>
      <w:r>
        <w:rPr>
          <w:rFonts w:ascii="Calibri" w:hAnsi="Calibri" w:eastAsia="Microsoft YaHei" w:cs="Calibri"/>
          <w:b w:val="0"/>
          <w:color w:val="1F4E79"/>
          <w:sz w:val="21"/>
        </w:rPr>
        <w:t>–</w:t>
        <w:tab/>
      </w:r>
      <w:r>
        <w:rPr>
          <w:rFonts w:ascii="Calibri" w:hAnsi="Calibri" w:eastAsia="Microsoft YaHei" w:cs="Calibri"/>
          <w:sz w:val="21"/>
        </w:rPr>
        <w:t>BAC's risk is the gap between EPS and consensus; but the stock has priced it in ahead of time, so be careful shorting; pairs are better than outright shorts.</w:t>
      </w:r>
    </w:p>
    <w:p>
      <w:pPr>
        <w:tabs>
          <w:tab w:pos="369" w:val="left"/>
        </w:tabs>
        <w:spacing w:after="60"/>
        <w:ind w:left="369" w:hanging="283"/>
      </w:pPr>
      <w:r>
        <w:rPr>
          <w:rFonts w:ascii="Calibri" w:hAnsi="Calibri" w:eastAsia="Microsoft YaHei" w:cs="Calibri"/>
          <w:b/>
          <w:sz w:val="21"/>
        </w:rPr>
        <w:t>4.</w:t>
        <w:tab/>
      </w:r>
      <w:r>
        <w:rPr>
          <w:rFonts w:ascii="Calibri" w:hAnsi="Calibri" w:eastAsia="Microsoft YaHei" w:cs="Calibri"/>
          <w:b/>
          <w:sz w:val="21"/>
        </w:rPr>
        <w:t>Do not chase</w:t>
      </w:r>
      <w:r>
        <w:rPr>
          <w:rFonts w:ascii="Calibri" w:hAnsi="Calibri" w:eastAsia="Microsoft YaHei" w:cs="Calibri"/>
          <w:sz w:val="21"/>
        </w:rPr>
        <w:t>: STT, BNY, BEN (large gains, high leverage, AOCI sensitivity).</w:t>
      </w:r>
    </w:p>
    <w:p>
      <w:pPr>
        <w:tabs>
          <w:tab w:pos="369" w:val="left"/>
        </w:tabs>
        <w:spacing w:after="60"/>
        <w:ind w:left="369" w:hanging="283"/>
      </w:pPr>
      <w:r>
        <w:rPr>
          <w:rFonts w:ascii="Calibri" w:hAnsi="Calibri" w:eastAsia="Microsoft YaHei" w:cs="Calibri"/>
          <w:b/>
          <w:sz w:val="21"/>
        </w:rPr>
        <w:t>5.</w:t>
        <w:tab/>
      </w:r>
      <w:r>
        <w:rPr>
          <w:rFonts w:ascii="Calibri" w:hAnsi="Calibri" w:eastAsia="Microsoft YaHei" w:cs="Calibri"/>
          <w:b/>
          <w:sz w:val="21"/>
        </w:rPr>
        <w:t>Regional banks (KRE/KBE)</w:t>
      </w:r>
      <w:r>
        <w:rPr>
          <w:rFonts w:ascii="Calibri" w:hAnsi="Calibri" w:eastAsia="Microsoft YaHei" w:cs="Calibri"/>
          <w:sz w:val="21"/>
        </w:rPr>
        <w:t>: as a group 6-7pp weaker than the large banks (Q3), but the NII tailwind is real, and on the day of earnings the focus is on guidance and deposit costs. If you want exposure, pick names with high-end NII guidance and small AOCI exposure (USB, PNC, FITB, CFG) and avoid KEY (AOCI/TCE -8%).</w:t>
      </w:r>
    </w:p>
    <w:p>
      <w:pPr>
        <w:tabs>
          <w:tab w:pos="369" w:val="left"/>
        </w:tabs>
        <w:spacing w:after="60"/>
        <w:ind w:left="369" w:hanging="283"/>
      </w:pPr>
      <w:r>
        <w:rPr>
          <w:rFonts w:ascii="Calibri" w:hAnsi="Calibri" w:eastAsia="Microsoft YaHei" w:cs="Calibri"/>
          <w:b/>
          <w:sz w:val="21"/>
        </w:rPr>
        <w:t>6.</w:t>
        <w:tab/>
      </w:r>
      <w:r>
        <w:rPr>
          <w:rFonts w:ascii="Calibri" w:hAnsi="Calibri" w:eastAsia="Microsoft YaHei" w:cs="Calibri"/>
          <w:b/>
          <w:sz w:val="21"/>
        </w:rPr>
        <w:t>Alternative managers / mortgage</w:t>
      </w:r>
      <w:r>
        <w:rPr>
          <w:rFonts w:ascii="Calibri" w:hAnsi="Calibri" w:eastAsia="Microsoft YaHei" w:cs="Calibri"/>
          <w:sz w:val="21"/>
        </w:rPr>
        <w:t>: prices have already fallen a lot (24%-79% below highs), but the catalysts are rates and private-credit valuations, not Q3 EPS. Unless you have a clear view on falling rates, Q3 earnings are not a reason to enter.</w:t>
      </w:r>
    </w:p>
    <w:p>
      <w:r>
        <w:rPr>
          <w:rFonts w:ascii="Calibri" w:hAnsi="Calibri" w:eastAsia="Microsoft YaHei" w:cs="Calibri"/>
          <w:b/>
          <w:sz w:val="21"/>
        </w:rPr>
        <w:t>Event calendar and triggers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10/13 JPM/C/WFC/GS: watch JPM's Q4 IB/Markets comments, C's ROTCE upgrade, whether WFC raises NII guidance, and the actual size of GS's non-compensation expenses.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10/14 BAC/MS: BAC's NII and expense guidance; MS's wealth-management net new assets and IB pipeline.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10/15-16 PNC/SCHW/USB/TFC/MTB/CFG/HBAN: whether NII guidance is raised, deposit beta, private-credit and CRE comments.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Mid-October CPI and the 10/27-28 FOMC: if the 10Y breaks 5.4%, the AOCI/TBV narrative will override earnings.</w:t>
      </w:r>
    </w:p>
    <w:p>
      <w:r>
        <w:rPr>
          <w:rFonts w:ascii="Calibri" w:hAnsi="Calibri" w:eastAsia="Microsoft YaHei" w:cs="Calibri"/>
          <w:b/>
          <w:sz w:val="21"/>
        </w:rPr>
        <w:t>When these views would fail</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Capital-markets activity (IPO, M&amp;A) in the first week of October is significantly better than the September guidance basis (Citi has already said the "last few deals" have upside).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A credit shock: a single large loss in C&amp;I, CRE or NDFI.</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A rapid fall in long-end rates (negative for the NII tailwind, positive for AOCI and valuations).</w:t>
      </w:r>
    </w:p>
    <w:p>
      <w:pPr>
        <w:pStyle w:val="Heading2"/>
      </w:pPr>
      <w:r>
        <w:rPr>
          <w:rFonts w:ascii="Calibri" w:hAnsi="Calibri" w:eastAsia="Microsoft YaHei" w:cs="Calibri"/>
          <w:b/>
          <w:color w:val="1F4E79"/>
          <w:sz w:val="28"/>
        </w:rPr>
        <w:t>10. Limits of method and data quality</w:t>
      </w:r>
    </w:p>
    <w:p>
      <w:pPr>
        <w:tabs>
          <w:tab w:pos="369" w:val="left"/>
        </w:tabs>
        <w:spacing w:after="60"/>
        <w:ind w:left="369" w:hanging="283"/>
      </w:pPr>
      <w:r>
        <w:rPr>
          <w:rFonts w:ascii="Calibri" w:hAnsi="Calibri" w:eastAsia="Microsoft YaHei" w:cs="Calibri"/>
          <w:b/>
          <w:sz w:val="21"/>
        </w:rPr>
        <w:t>1.</w:t>
        <w:tab/>
      </w:r>
      <w:r>
        <w:rPr>
          <w:rFonts w:ascii="Calibri" w:hAnsi="Calibri" w:eastAsia="Microsoft YaHei" w:cs="Calibri"/>
          <w:b/>
          <w:sz w:val="21"/>
        </w:rPr>
        <w:t>Mixed consensus sources</w:t>
      </w:r>
      <w:r>
        <w:rPr>
          <w:rFonts w:ascii="Calibri" w:hAnsi="Calibri" w:eastAsia="Microsoft YaHei" w:cs="Calibri"/>
          <w:sz w:val="21"/>
        </w:rPr>
        <w:t>: MarketBeat, TickerLeague, Benzinga, Hudson Labs, Barchart, MarketWatch, with inconsistent basis (GAAP vs. adjusted) and update times. GS consensus ranges from $13.76 to $16.54, and BAC's revenue basis does not reconcile to SEC data. Ranges are kept in the CSV. TFC consensus is single-source.</w:t>
      </w:r>
    </w:p>
    <w:p>
      <w:pPr>
        <w:tabs>
          <w:tab w:pos="369" w:val="left"/>
        </w:tabs>
        <w:spacing w:after="60"/>
        <w:ind w:left="369" w:hanging="283"/>
      </w:pPr>
      <w:r>
        <w:rPr>
          <w:rFonts w:ascii="Calibri" w:hAnsi="Calibri" w:eastAsia="Microsoft YaHei" w:cs="Calibri"/>
          <w:b/>
          <w:sz w:val="21"/>
        </w:rPr>
        <w:t>2.</w:t>
        <w:tab/>
      </w:r>
      <w:r>
        <w:rPr>
          <w:rFonts w:ascii="Calibri" w:hAnsi="Calibri" w:eastAsia="Microsoft YaHei" w:cs="Calibri"/>
          <w:b/>
          <w:sz w:val="21"/>
        </w:rPr>
        <w:t>The model depends on management guidance and drivers I set by hand</w:t>
      </w:r>
      <w:r>
        <w:rPr>
          <w:rFonts w:ascii="Calibri" w:hAnsi="Calibri" w:eastAsia="Microsoft YaHei" w:cs="Calibri"/>
          <w:sz w:val="21"/>
        </w:rPr>
        <w:t>; it is not a valuation model. The standard deviations are judgement values, not calibrated from history, so P(beat) is sensitive to assumptions, especially for BAC (the S&amp;T / NII overlap) and GS (the actual size of the investing lines).</w:t>
      </w:r>
    </w:p>
    <w:p>
      <w:pPr>
        <w:tabs>
          <w:tab w:pos="369" w:val="left"/>
        </w:tabs>
        <w:spacing w:after="60"/>
        <w:ind w:left="369" w:hanging="283"/>
      </w:pPr>
      <w:r>
        <w:rPr>
          <w:rFonts w:ascii="Calibri" w:hAnsi="Calibri" w:eastAsia="Microsoft YaHei" w:cs="Calibri"/>
          <w:b/>
          <w:sz w:val="21"/>
        </w:rPr>
        <w:t>3.</w:t>
        <w:tab/>
      </w:r>
      <w:r>
        <w:rPr>
          <w:rFonts w:ascii="Calibri" w:hAnsi="Calibri" w:eastAsia="Microsoft YaHei" w:cs="Calibri"/>
          <w:b/>
          <w:sz w:val="21"/>
        </w:rPr>
        <w:t>Q2 base</w:t>
      </w:r>
      <w:r>
        <w:rPr>
          <w:rFonts w:ascii="Calibri" w:hAnsi="Calibri" w:eastAsia="Microsoft YaHei" w:cs="Calibri"/>
          <w:sz w:val="21"/>
        </w:rPr>
        <w:t>: JPM's clean EPS uses the public $6.14; for C, MS, WFC and GS we assume no Q2 adjustment is needed (no disclosed one-offs were found); if there are any, the model is systematically too high.</w:t>
      </w:r>
    </w:p>
    <w:p>
      <w:pPr>
        <w:tabs>
          <w:tab w:pos="369" w:val="left"/>
        </w:tabs>
        <w:spacing w:after="60"/>
        <w:ind w:left="369" w:hanging="283"/>
      </w:pPr>
      <w:r>
        <w:rPr>
          <w:rFonts w:ascii="Calibri" w:hAnsi="Calibri" w:eastAsia="Microsoft YaHei" w:cs="Calibri"/>
          <w:b/>
          <w:sz w:val="21"/>
        </w:rPr>
        <w:t>4.</w:t>
        <w:tab/>
      </w:r>
      <w:r>
        <w:rPr>
          <w:rFonts w:ascii="Calibri" w:hAnsi="Calibri" w:eastAsia="Microsoft YaHei" w:cs="Calibri"/>
          <w:b/>
          <w:sz w:val="21"/>
        </w:rPr>
        <w:t>Duration regression</w:t>
      </w:r>
      <w:r>
        <w:rPr>
          <w:rFonts w:ascii="Calibri" w:hAnsi="Calibri" w:eastAsia="Microsoft YaHei" w:cs="Calibri"/>
          <w:sz w:val="21"/>
        </w:rPr>
        <w:t xml:space="preserve">: based on 15-21 quarters regressed on a single benchmark rate; for some banks the AFS figures are estimates (flagged </w:t>
      </w:r>
      <w:r>
        <w:rPr>
          <w:rFonts w:ascii="Consolas" w:hAnsi="Consolas" w:eastAsia="Microsoft YaHei" w:cs="Consolas"/>
          <w:color w:val="8B1A1A"/>
          <w:sz w:val="19"/>
        </w:rPr>
        <w:t>est</w:t>
      </w:r>
      <w:r>
        <w:rPr>
          <w:rFonts w:ascii="Calibri" w:hAnsi="Calibri" w:eastAsia="Microsoft YaHei" w:cs="Calibri"/>
          <w:sz w:val="21"/>
        </w:rPr>
        <w:t>/</w:t>
      </w:r>
      <w:r>
        <w:rPr>
          <w:rFonts w:ascii="Consolas" w:hAnsi="Consolas" w:eastAsia="Microsoft YaHei" w:cs="Consolas"/>
          <w:color w:val="8B1A1A"/>
          <w:sz w:val="19"/>
        </w:rPr>
        <w:t>fallback</w:t>
      </w:r>
      <w:r>
        <w:rPr>
          <w:rFonts w:ascii="Calibri" w:hAnsi="Calibri" w:eastAsia="Microsoft YaHei" w:cs="Calibri"/>
          <w:sz w:val="21"/>
        </w:rPr>
        <w:t>), and HBAN and C are not in the capital table because XBRL data are missing.</w:t>
      </w:r>
    </w:p>
    <w:p>
      <w:pPr>
        <w:tabs>
          <w:tab w:pos="369" w:val="left"/>
        </w:tabs>
        <w:spacing w:after="60"/>
        <w:ind w:left="369" w:hanging="283"/>
      </w:pPr>
      <w:r>
        <w:rPr>
          <w:rFonts w:ascii="Calibri" w:hAnsi="Calibri" w:eastAsia="Microsoft YaHei" w:cs="Calibri"/>
          <w:b/>
          <w:sz w:val="21"/>
        </w:rPr>
        <w:t>5.</w:t>
        <w:tab/>
      </w:r>
      <w:r>
        <w:rPr>
          <w:rFonts w:ascii="Calibri" w:hAnsi="Calibri" w:eastAsia="Microsoft YaHei" w:cs="Calibri"/>
          <w:b/>
          <w:sz w:val="21"/>
        </w:rPr>
        <w:t>The heuristic volatility ranges</w:t>
      </w:r>
      <w:r>
        <w:rPr>
          <w:rFonts w:ascii="Calibri" w:hAnsi="Calibri" w:eastAsia="Microsoft YaHei" w:cs="Calibri"/>
          <w:sz w:val="21"/>
        </w:rPr>
        <w:t xml:space="preserve"> are not option-implied volatility.</w:t>
      </w:r>
    </w:p>
    <w:p>
      <w:pPr>
        <w:tabs>
          <w:tab w:pos="369" w:val="left"/>
        </w:tabs>
        <w:spacing w:after="60"/>
        <w:ind w:left="369" w:hanging="283"/>
      </w:pPr>
      <w:r>
        <w:rPr>
          <w:rFonts w:ascii="Calibri" w:hAnsi="Calibri" w:eastAsia="Microsoft YaHei" w:cs="Calibri"/>
          <w:b/>
          <w:sz w:val="21"/>
        </w:rPr>
        <w:t>6.</w:t>
        <w:tab/>
      </w:r>
      <w:r>
        <w:rPr>
          <w:rFonts w:ascii="Calibri" w:hAnsi="Calibri" w:eastAsia="Microsoft YaHei" w:cs="Calibri"/>
          <w:b/>
          <w:sz w:val="21"/>
        </w:rPr>
        <w:t>Historical analogues</w:t>
      </w:r>
      <w:r>
        <w:rPr>
          <w:rFonts w:ascii="Calibri" w:hAnsi="Calibri" w:eastAsia="Microsoft YaHei" w:cs="Calibri"/>
          <w:sz w:val="21"/>
        </w:rPr>
        <w:t xml:space="preserve"> are regime comparisons, not forecasts.</w:t>
      </w:r>
    </w:p>
    <w:p>
      <w:pPr>
        <w:tabs>
          <w:tab w:pos="369" w:val="left"/>
        </w:tabs>
        <w:spacing w:after="60"/>
        <w:ind w:left="369" w:hanging="283"/>
      </w:pPr>
      <w:r>
        <w:rPr>
          <w:rFonts w:ascii="Calibri" w:hAnsi="Calibri" w:eastAsia="Microsoft YaHei" w:cs="Calibri"/>
          <w:b/>
          <w:sz w:val="21"/>
        </w:rPr>
        <w:t>7.</w:t>
        <w:tab/>
      </w:r>
      <w:r>
        <w:rPr>
          <w:rFonts w:ascii="Calibri" w:hAnsi="Calibri" w:eastAsia="Microsoft YaHei" w:cs="Calibri"/>
          <w:b/>
          <w:sz w:val="21"/>
        </w:rPr>
        <w:t>Not included</w:t>
      </w:r>
      <w:r>
        <w:rPr>
          <w:rFonts w:ascii="Calibri" w:hAnsi="Calibri" w:eastAsia="Microsoft YaHei" w:cs="Calibri"/>
          <w:sz w:val="21"/>
        </w:rPr>
        <w:t>: the sell side's detailed bridge for each line item, actual option skew, positioning data (13F, short interest), and non-public channel information, which are unavailable in this environment.</w:t>
      </w:r>
    </w:p>
    <w:p>
      <w:pPr>
        <w:tabs>
          <w:tab w:pos="369" w:val="left"/>
        </w:tabs>
        <w:spacing w:after="60"/>
        <w:ind w:left="369" w:hanging="283"/>
      </w:pPr>
      <w:r>
        <w:rPr>
          <w:rFonts w:ascii="Calibri" w:hAnsi="Calibri" w:eastAsia="Microsoft YaHei" w:cs="Calibri"/>
          <w:b/>
          <w:sz w:val="21"/>
        </w:rPr>
        <w:t>8.</w:t>
        <w:tab/>
      </w:r>
      <w:r>
        <w:rPr>
          <w:rFonts w:ascii="Calibri" w:hAnsi="Calibri" w:eastAsia="Microsoft YaHei" w:cs="Calibri"/>
          <w:b/>
          <w:sz w:val="21"/>
        </w:rPr>
        <w:t>A premise not re-verified this time</w:t>
      </w:r>
      <w:r>
        <w:rPr>
          <w:rFonts w:ascii="Calibri" w:hAnsi="Calibri" w:eastAsia="Microsoft YaHei" w:cs="Calibri"/>
          <w:sz w:val="21"/>
        </w:rPr>
        <w:t>: "Q3 IPOs cooled excluding mega deals, announced M&amp;A volume about -41% QoQ" comes from earlier searches; this time it was only cross-checked against management commentary from BAC/C/JPM/PNC.</w:t>
      </w:r>
    </w:p>
    <w:p>
      <w:pPr>
        <w:tabs>
          <w:tab w:pos="369" w:val="left"/>
        </w:tabs>
        <w:spacing w:after="60"/>
        <w:ind w:left="369" w:hanging="283"/>
      </w:pPr>
      <w:r>
        <w:rPr>
          <w:rFonts w:ascii="Calibri" w:hAnsi="Calibri" w:eastAsia="Microsoft YaHei" w:cs="Calibri"/>
          <w:b/>
          <w:sz w:val="21"/>
        </w:rPr>
        <w:t>9.</w:t>
        <w:tab/>
      </w:r>
      <w:r>
        <w:rPr>
          <w:rFonts w:ascii="Calibri" w:hAnsi="Calibri" w:eastAsia="Microsoft YaHei" w:cs="Calibri"/>
          <w:b/>
          <w:sz w:val="21"/>
        </w:rPr>
        <w:t>Timeliness</w:t>
      </w:r>
      <w:r>
        <w:rPr>
          <w:rFonts w:ascii="Calibri" w:hAnsi="Calibri" w:eastAsia="Microsoft YaHei" w:cs="Calibri"/>
          <w:sz w:val="21"/>
        </w:rPr>
        <w:t>: all data are as of 2026-10-02. Some reporting dates are estimates (MarketBeat notes "based on past reporting schedules"); please rely on company announcements.</w:t>
      </w:r>
    </w:p>
    <w:p>
      <w:pPr>
        <w:pStyle w:val="Heading2"/>
      </w:pPr>
      <w:r>
        <w:rPr>
          <w:rFonts w:ascii="Calibri" w:hAnsi="Calibri" w:eastAsia="Microsoft YaHei" w:cs="Calibri"/>
          <w:b/>
          <w:color w:val="1F4E79"/>
          <w:sz w:val="28"/>
        </w:rPr>
        <w:t>Appendix: files</w:t>
      </w:r>
    </w:p>
    <w:tbl>
      <w:tblPr>
        <w:tblStyle w:val="TableGrid"/>
        <w:tblW w:type="auto" w:w="0"/>
        <w:jc w:val="center"/>
        <w:tblLayout w:type="fixed"/>
        <w:tblLook w:firstColumn="1" w:firstRow="1" w:lastColumn="0" w:lastRow="0" w:noHBand="0" w:noVBand="1" w:val="04A0"/>
      </w:tblPr>
      <w:tblGrid>
        <w:gridCol w:w="4918"/>
        <w:gridCol w:w="4833"/>
      </w:tblGrid>
      <w:tr>
        <w:trPr>
          <w:tblHeader w:val="true"/>
          <w:cantSplit/>
        </w:trPr>
        <w:tc>
          <w:tcPr>
            <w:tcW w:type="dxa" w:w="4918"/>
            <w:shd w:val="clear" w:color="auto" w:fill="1F4E79"/>
          </w:tcPr>
          <w:p>
            <w:pPr>
              <w:spacing w:after="20" w:before="20" w:line="252" w:lineRule="auto"/>
              <w:jc w:val="center"/>
            </w:pPr>
            <w:r>
              <w:rPr>
                <w:rFonts w:ascii="Calibri" w:hAnsi="Calibri" w:eastAsia="Microsoft YaHei" w:cs="Calibri"/>
                <w:b/>
                <w:color w:val="FFFFFF"/>
                <w:sz w:val="18"/>
              </w:rPr>
              <w:t>File</w:t>
            </w:r>
          </w:p>
        </w:tc>
        <w:tc>
          <w:tcPr>
            <w:tcW w:type="dxa" w:w="4833"/>
            <w:shd w:val="clear" w:color="auto" w:fill="1F4E79"/>
          </w:tcPr>
          <w:p>
            <w:pPr>
              <w:spacing w:after="20" w:before="20" w:line="252" w:lineRule="auto"/>
              <w:jc w:val="center"/>
            </w:pPr>
            <w:r>
              <w:rPr>
                <w:rFonts w:ascii="Calibri" w:hAnsi="Calibri" w:eastAsia="Microsoft YaHei" w:cs="Calibri"/>
                <w:b/>
                <w:color w:val="FFFFFF"/>
                <w:sz w:val="18"/>
              </w:rPr>
              <w:t>Content</w:t>
            </w:r>
          </w:p>
        </w:tc>
      </w:tr>
      <w:tr>
        <w:trPr>
          <w:cantSplit/>
        </w:trPr>
        <w:tc>
          <w:tcPr>
            <w:tcW w:type="dxa" w:w="4918"/>
          </w:tcPr>
          <w:p>
            <w:pPr>
              <w:spacing w:after="20" w:before="20" w:line="252" w:lineRule="auto"/>
              <w:jc w:val="left"/>
            </w:pPr>
            <w:r>
              <w:rPr>
                <w:rFonts w:ascii="Consolas" w:hAnsi="Consolas" w:eastAsia="Microsoft YaHei" w:cs="Consolas"/>
                <w:color w:val="8B1A1A"/>
                <w:sz w:val="16"/>
              </w:rPr>
              <w:t>research/scripts/fetch_macro.py</w:t>
            </w:r>
            <w:r>
              <w:rPr>
                <w:rFonts w:ascii="Calibri" w:hAnsi="Calibri" w:eastAsia="Microsoft YaHei" w:cs="Calibri"/>
                <w:sz w:val="18"/>
              </w:rPr>
              <w:t xml:space="preserve">, </w:t>
            </w:r>
            <w:r>
              <w:rPr>
                <w:rFonts w:ascii="Consolas" w:hAnsi="Consolas" w:eastAsia="Microsoft YaHei" w:cs="Consolas"/>
                <w:color w:val="8B1A1A"/>
                <w:sz w:val="16"/>
              </w:rPr>
              <w:t>macro_analysis.py</w:t>
            </w:r>
          </w:p>
        </w:tc>
        <w:tc>
          <w:tcPr>
            <w:tcW w:type="dxa" w:w="4833"/>
          </w:tcPr>
          <w:p>
            <w:pPr>
              <w:spacing w:after="20" w:before="20" w:line="252" w:lineRule="auto"/>
              <w:jc w:val="left"/>
            </w:pPr>
            <w:r>
              <w:rPr>
                <w:rFonts w:ascii="Calibri" w:hAnsi="Calibri" w:eastAsia="Microsoft YaHei" w:cs="Calibri"/>
                <w:sz w:val="18"/>
              </w:rPr>
              <w:t>FRED macro series and quarterly analysis</w:t>
            </w:r>
          </w:p>
        </w:tc>
      </w:tr>
      <w:tr>
        <w:trPr>
          <w:cantSplit/>
        </w:trPr>
        <w:tc>
          <w:tcPr>
            <w:tcW w:type="dxa" w:w="4918"/>
            <w:shd w:val="clear" w:color="auto" w:fill="F2F5F9"/>
          </w:tcPr>
          <w:p>
            <w:pPr>
              <w:spacing w:after="20" w:before="20" w:line="252" w:lineRule="auto"/>
              <w:jc w:val="left"/>
            </w:pPr>
            <w:r>
              <w:rPr>
                <w:rFonts w:ascii="Consolas" w:hAnsi="Consolas" w:eastAsia="Microsoft YaHei" w:cs="Consolas"/>
                <w:color w:val="8B1A1A"/>
                <w:sz w:val="16"/>
              </w:rPr>
              <w:t>research/scripts/fetch_sec_facts*.py</w:t>
            </w:r>
            <w:r>
              <w:rPr>
                <w:rFonts w:ascii="Calibri" w:hAnsi="Calibri" w:eastAsia="Microsoft YaHei" w:cs="Calibri"/>
                <w:sz w:val="18"/>
              </w:rPr>
              <w:t xml:space="preserve">, </w:t>
            </w:r>
            <w:r>
              <w:rPr>
                <w:rFonts w:ascii="Consolas" w:hAnsi="Consolas" w:eastAsia="Microsoft YaHei" w:cs="Consolas"/>
                <w:color w:val="8B1A1A"/>
                <w:sz w:val="16"/>
              </w:rPr>
              <w:t>build_quarterly.py</w:t>
            </w:r>
            <w:r>
              <w:rPr>
                <w:rFonts w:ascii="Calibri" w:hAnsi="Calibri" w:eastAsia="Microsoft YaHei" w:cs="Calibri"/>
                <w:sz w:val="18"/>
              </w:rPr>
              <w:t xml:space="preserve">, </w:t>
            </w:r>
            <w:r>
              <w:rPr>
                <w:rFonts w:ascii="Consolas" w:hAnsi="Consolas" w:eastAsia="Microsoft YaHei" w:cs="Consolas"/>
                <w:color w:val="8B1A1A"/>
                <w:sz w:val="16"/>
              </w:rPr>
              <w:t>fetch_filing_reports.py</w:t>
            </w:r>
            <w:r>
              <w:rPr>
                <w:rFonts w:ascii="Calibri" w:hAnsi="Calibri" w:eastAsia="Microsoft YaHei" w:cs="Calibri"/>
                <w:sz w:val="18"/>
              </w:rPr>
              <w:t xml:space="preserve">, </w:t>
            </w:r>
            <w:r>
              <w:rPr>
                <w:rFonts w:ascii="Consolas" w:hAnsi="Consolas" w:eastAsia="Microsoft YaHei" w:cs="Consolas"/>
                <w:color w:val="8B1A1A"/>
                <w:sz w:val="16"/>
              </w:rPr>
              <w:t>fetch_rate_sensitivity.py</w:t>
            </w:r>
          </w:p>
        </w:tc>
        <w:tc>
          <w:tcPr>
            <w:tcW w:type="dxa" w:w="4833"/>
            <w:shd w:val="clear" w:color="auto" w:fill="F2F5F9"/>
          </w:tcPr>
          <w:p>
            <w:pPr>
              <w:spacing w:after="20" w:before="20" w:line="252" w:lineRule="auto"/>
              <w:jc w:val="left"/>
            </w:pPr>
            <w:r>
              <w:rPr>
                <w:rFonts w:ascii="Calibri" w:hAnsi="Calibri" w:eastAsia="Microsoft YaHei" w:cs="Calibri"/>
                <w:sz w:val="18"/>
              </w:rPr>
              <w:t>SEC EDGAR XBRL and 10-Q table/text extraction</w:t>
            </w:r>
          </w:p>
        </w:tc>
      </w:tr>
      <w:tr>
        <w:trPr>
          <w:cantSplit/>
        </w:trPr>
        <w:tc>
          <w:tcPr>
            <w:tcW w:type="dxa" w:w="4918"/>
          </w:tcPr>
          <w:p>
            <w:pPr>
              <w:spacing w:after="20" w:before="20" w:line="252" w:lineRule="auto"/>
              <w:jc w:val="left"/>
            </w:pPr>
            <w:r>
              <w:rPr>
                <w:rFonts w:ascii="Consolas" w:hAnsi="Consolas" w:eastAsia="Microsoft YaHei" w:cs="Consolas"/>
                <w:color w:val="8B1A1A"/>
                <w:sz w:val="16"/>
              </w:rPr>
              <w:t>research/scripts/duration_engine.py</w:t>
            </w:r>
          </w:p>
        </w:tc>
        <w:tc>
          <w:tcPr>
            <w:tcW w:type="dxa" w:w="4833"/>
          </w:tcPr>
          <w:p>
            <w:pPr>
              <w:spacing w:after="20" w:before="20" w:line="252" w:lineRule="auto"/>
              <w:jc w:val="left"/>
            </w:pPr>
            <w:r>
              <w:rPr>
                <w:rFonts w:ascii="Calibri" w:hAnsi="Calibri" w:eastAsia="Microsoft YaHei" w:cs="Calibri"/>
                <w:sz w:val="18"/>
              </w:rPr>
              <w:t>Empirical duration regression</w:t>
            </w:r>
          </w:p>
        </w:tc>
      </w:tr>
      <w:tr>
        <w:trPr>
          <w:cantSplit/>
        </w:trPr>
        <w:tc>
          <w:tcPr>
            <w:tcW w:type="dxa" w:w="4918"/>
            <w:shd w:val="clear" w:color="auto" w:fill="F2F5F9"/>
          </w:tcPr>
          <w:p>
            <w:pPr>
              <w:spacing w:after="20" w:before="20" w:line="252" w:lineRule="auto"/>
              <w:jc w:val="left"/>
            </w:pPr>
            <w:r>
              <w:rPr>
                <w:rFonts w:ascii="Consolas" w:hAnsi="Consolas" w:eastAsia="Microsoft YaHei" w:cs="Consolas"/>
                <w:color w:val="8B1A1A"/>
                <w:sz w:val="16"/>
              </w:rPr>
              <w:t>research/scripts/fetch_prices.py</w:t>
            </w:r>
            <w:r>
              <w:rPr>
                <w:rFonts w:ascii="Calibri" w:hAnsi="Calibri" w:eastAsia="Microsoft YaHei" w:cs="Calibri"/>
                <w:sz w:val="18"/>
              </w:rPr>
              <w:t xml:space="preserve">, </w:t>
            </w:r>
            <w:r>
              <w:rPr>
                <w:rFonts w:ascii="Consolas" w:hAnsi="Consolas" w:eastAsia="Microsoft YaHei" w:cs="Consolas"/>
                <w:color w:val="8B1A1A"/>
                <w:sz w:val="16"/>
              </w:rPr>
              <w:t>price_analysis.py</w:t>
            </w:r>
          </w:p>
        </w:tc>
        <w:tc>
          <w:tcPr>
            <w:tcW w:type="dxa" w:w="4833"/>
            <w:shd w:val="clear" w:color="auto" w:fill="F2F5F9"/>
          </w:tcPr>
          <w:p>
            <w:pPr>
              <w:spacing w:after="20" w:before="20" w:line="252" w:lineRule="auto"/>
              <w:jc w:val="left"/>
            </w:pPr>
            <w:r>
              <w:rPr>
                <w:rFonts w:ascii="Calibri" w:hAnsi="Calibri" w:eastAsia="Microsoft YaHei" w:cs="Calibri"/>
                <w:sz w:val="18"/>
              </w:rPr>
              <w:t>Prices and statistics</w:t>
            </w:r>
          </w:p>
        </w:tc>
      </w:tr>
      <w:tr>
        <w:trPr>
          <w:cantSplit/>
        </w:trPr>
        <w:tc>
          <w:tcPr>
            <w:tcW w:type="dxa" w:w="4918"/>
          </w:tcPr>
          <w:p>
            <w:pPr>
              <w:spacing w:after="20" w:before="20" w:line="252" w:lineRule="auto"/>
              <w:jc w:val="left"/>
            </w:pPr>
            <w:r>
              <w:rPr>
                <w:rFonts w:ascii="Consolas" w:hAnsi="Consolas" w:eastAsia="Microsoft YaHei" w:cs="Consolas"/>
                <w:color w:val="8B1A1A"/>
                <w:sz w:val="16"/>
              </w:rPr>
              <w:t>research/scripts/baseline_panel.py</w:t>
            </w:r>
          </w:p>
        </w:tc>
        <w:tc>
          <w:tcPr>
            <w:tcW w:type="dxa" w:w="4833"/>
          </w:tcPr>
          <w:p>
            <w:pPr>
              <w:spacing w:after="20" w:before="20" w:line="252" w:lineRule="auto"/>
              <w:jc w:val="center"/>
            </w:pPr>
            <w:r>
              <w:rPr>
                <w:rFonts w:ascii="Calibri" w:hAnsi="Calibri" w:eastAsia="Microsoft YaHei" w:cs="Calibri"/>
                <w:sz w:val="18"/>
              </w:rPr>
              <w:t>Q2 base panel</w:t>
            </w:r>
          </w:p>
        </w:tc>
      </w:tr>
      <w:tr>
        <w:trPr>
          <w:cantSplit/>
        </w:trPr>
        <w:tc>
          <w:tcPr>
            <w:tcW w:type="dxa" w:w="4918"/>
            <w:shd w:val="clear" w:color="auto" w:fill="F2F5F9"/>
          </w:tcPr>
          <w:p>
            <w:pPr>
              <w:spacing w:after="20" w:before="20" w:line="252" w:lineRule="auto"/>
              <w:jc w:val="left"/>
            </w:pPr>
            <w:r>
              <w:rPr>
                <w:rFonts w:ascii="Consolas" w:hAnsi="Consolas" w:eastAsia="Microsoft YaHei" w:cs="Consolas"/>
                <w:color w:val="8B1A1A"/>
                <w:sz w:val="16"/>
              </w:rPr>
              <w:t>research/scripts/q3_model.py</w:t>
            </w:r>
          </w:p>
        </w:tc>
        <w:tc>
          <w:tcPr>
            <w:tcW w:type="dxa" w:w="4833"/>
            <w:shd w:val="clear" w:color="auto" w:fill="F2F5F9"/>
          </w:tcPr>
          <w:p>
            <w:pPr>
              <w:spacing w:after="20" w:before="20" w:line="252" w:lineRule="auto"/>
              <w:jc w:val="left"/>
            </w:pPr>
            <w:r>
              <w:rPr>
                <w:rFonts w:ascii="Calibri" w:hAnsi="Calibri" w:eastAsia="Microsoft YaHei" w:cs="Calibri"/>
                <w:sz w:val="18"/>
              </w:rPr>
              <w:t>EPS bridge + Monte Carlo</w:t>
            </w:r>
          </w:p>
        </w:tc>
      </w:tr>
      <w:tr>
        <w:trPr>
          <w:cantSplit/>
        </w:trPr>
        <w:tc>
          <w:tcPr>
            <w:tcW w:type="dxa" w:w="4918"/>
          </w:tcPr>
          <w:p>
            <w:pPr>
              <w:spacing w:after="20" w:before="20" w:line="252" w:lineRule="auto"/>
              <w:jc w:val="left"/>
            </w:pPr>
            <w:r>
              <w:rPr>
                <w:rFonts w:ascii="Consolas" w:hAnsi="Consolas" w:eastAsia="Microsoft YaHei" w:cs="Consolas"/>
                <w:color w:val="8B1A1A"/>
                <w:sz w:val="16"/>
              </w:rPr>
              <w:t>research/scripts/risk_scorecard.py</w:t>
            </w:r>
          </w:p>
        </w:tc>
        <w:tc>
          <w:tcPr>
            <w:tcW w:type="dxa" w:w="4833"/>
          </w:tcPr>
          <w:p>
            <w:pPr>
              <w:spacing w:after="20" w:before="20" w:line="252" w:lineRule="auto"/>
              <w:jc w:val="left"/>
            </w:pPr>
            <w:r>
              <w:rPr>
                <w:rFonts w:ascii="Calibri" w:hAnsi="Calibri" w:eastAsia="Microsoft YaHei" w:cs="Calibri"/>
                <w:sz w:val="18"/>
              </w:rPr>
              <w:t>TCE, leverage, AOCI scenarios</w:t>
            </w:r>
          </w:p>
        </w:tc>
      </w:tr>
      <w:tr>
        <w:trPr>
          <w:cantSplit/>
        </w:trPr>
        <w:tc>
          <w:tcPr>
            <w:tcW w:type="dxa" w:w="4918"/>
            <w:shd w:val="clear" w:color="auto" w:fill="F2F5F9"/>
          </w:tcPr>
          <w:p>
            <w:pPr>
              <w:spacing w:after="20" w:before="20" w:line="252" w:lineRule="auto"/>
              <w:jc w:val="left"/>
            </w:pPr>
            <w:r>
              <w:rPr>
                <w:rFonts w:ascii="Consolas" w:hAnsi="Consolas" w:eastAsia="Microsoft YaHei" w:cs="Consolas"/>
                <w:color w:val="8B1A1A"/>
                <w:sz w:val="16"/>
              </w:rPr>
              <w:t>research/scripts/summary_table.py</w:t>
            </w:r>
          </w:p>
        </w:tc>
        <w:tc>
          <w:tcPr>
            <w:tcW w:type="dxa" w:w="4833"/>
            <w:shd w:val="clear" w:color="auto" w:fill="F2F5F9"/>
          </w:tcPr>
          <w:p>
            <w:pPr>
              <w:spacing w:after="20" w:before="20" w:line="252" w:lineRule="auto"/>
              <w:jc w:val="left"/>
            </w:pPr>
            <w:r>
              <w:rPr>
                <w:rFonts w:ascii="Calibri" w:hAnsi="Calibri" w:eastAsia="Microsoft YaHei" w:cs="Calibri"/>
                <w:sz w:val="18"/>
              </w:rPr>
              <w:t>Composite ranking</w:t>
            </w:r>
          </w:p>
        </w:tc>
      </w:tr>
      <w:tr>
        <w:trPr>
          <w:cantSplit/>
        </w:trPr>
        <w:tc>
          <w:tcPr>
            <w:tcW w:type="dxa" w:w="4918"/>
          </w:tcPr>
          <w:p>
            <w:pPr>
              <w:spacing w:after="20" w:before="20" w:line="252" w:lineRule="auto"/>
              <w:jc w:val="left"/>
            </w:pPr>
            <w:r>
              <w:rPr>
                <w:rFonts w:ascii="Consolas" w:hAnsi="Consolas" w:eastAsia="Microsoft YaHei" w:cs="Consolas"/>
                <w:color w:val="8B1A1A"/>
                <w:sz w:val="16"/>
              </w:rPr>
              <w:t>research/scripts/historical_analogs.py</w:t>
            </w:r>
          </w:p>
        </w:tc>
        <w:tc>
          <w:tcPr>
            <w:tcW w:type="dxa" w:w="4833"/>
          </w:tcPr>
          <w:p>
            <w:pPr>
              <w:spacing w:after="20" w:before="20" w:line="252" w:lineRule="auto"/>
              <w:jc w:val="left"/>
            </w:pPr>
            <w:r>
              <w:rPr>
                <w:rFonts w:ascii="Calibri" w:hAnsi="Calibri" w:eastAsia="Microsoft YaHei" w:cs="Calibri"/>
                <w:sz w:val="18"/>
              </w:rPr>
              <w:t>Historical analogues</w:t>
            </w:r>
          </w:p>
        </w:tc>
      </w:tr>
      <w:tr>
        <w:trPr>
          <w:cantSplit/>
        </w:trPr>
        <w:tc>
          <w:tcPr>
            <w:tcW w:type="dxa" w:w="4918"/>
            <w:shd w:val="clear" w:color="auto" w:fill="F2F5F9"/>
          </w:tcPr>
          <w:p>
            <w:pPr>
              <w:spacing w:after="20" w:before="20" w:line="252" w:lineRule="auto"/>
              <w:jc w:val="left"/>
            </w:pPr>
            <w:r>
              <w:rPr>
                <w:rFonts w:ascii="Consolas" w:hAnsi="Consolas" w:eastAsia="Microsoft YaHei" w:cs="Consolas"/>
                <w:color w:val="8B1A1A"/>
                <w:sz w:val="16"/>
              </w:rPr>
              <w:t>research/output/*.csv</w:t>
            </w:r>
          </w:p>
        </w:tc>
        <w:tc>
          <w:tcPr>
            <w:tcW w:type="dxa" w:w="4833"/>
            <w:shd w:val="clear" w:color="auto" w:fill="F2F5F9"/>
          </w:tcPr>
          <w:p>
            <w:pPr>
              <w:spacing w:after="20" w:before="20" w:line="252" w:lineRule="auto"/>
              <w:jc w:val="center"/>
            </w:pPr>
            <w:r>
              <w:rPr>
                <w:rFonts w:ascii="Calibri" w:hAnsi="Calibri" w:eastAsia="Microsoft YaHei" w:cs="Calibri"/>
                <w:sz w:val="18"/>
              </w:rPr>
              <w:t>All outputs</w:t>
            </w:r>
          </w:p>
        </w:tc>
      </w:tr>
      <w:tr>
        <w:trPr>
          <w:cantSplit/>
        </w:trPr>
        <w:tc>
          <w:tcPr>
            <w:tcW w:type="dxa" w:w="4918"/>
          </w:tcPr>
          <w:p>
            <w:pPr>
              <w:spacing w:after="20" w:before="20" w:line="252" w:lineRule="auto"/>
              <w:jc w:val="left"/>
            </w:pPr>
            <w:r>
              <w:rPr>
                <w:rFonts w:ascii="Consolas" w:hAnsi="Consolas" w:eastAsia="Microsoft YaHei" w:cs="Consolas"/>
                <w:color w:val="8B1A1A"/>
                <w:sz w:val="16"/>
              </w:rPr>
              <w:t>research/data/consensus_q3_2026.csv</w:t>
            </w:r>
          </w:p>
        </w:tc>
        <w:tc>
          <w:tcPr>
            <w:tcW w:type="dxa" w:w="4833"/>
          </w:tcPr>
          <w:p>
            <w:pPr>
              <w:spacing w:after="20" w:before="20" w:line="252" w:lineRule="auto"/>
              <w:jc w:val="left"/>
            </w:pPr>
            <w:r>
              <w:rPr>
                <w:rFonts w:ascii="Calibri" w:hAnsi="Calibri" w:eastAsia="Microsoft YaHei" w:cs="Calibri"/>
                <w:sz w:val="18"/>
              </w:rPr>
              <w:t>Consensus and sources</w:t>
            </w:r>
          </w:p>
        </w:tc>
      </w:tr>
    </w:tbl>
    <w:p>
      <w:pPr>
        <w:spacing w:after="40"/>
      </w:pPr>
    </w:p>
    <w:p>
      <w:r>
        <w:br w:type="page"/>
      </w:r>
    </w:p>
    <w:p>
      <w:pPr>
        <w:pStyle w:val="Heading1"/>
      </w:pPr>
      <w:r>
        <w:rPr>
          <w:rFonts w:ascii="Calibri" w:hAnsi="Calibri" w:eastAsia="Microsoft YaHei" w:cs="Calibri"/>
          <w:b/>
          <w:color w:val="1F4E79"/>
          <w:sz w:val="34"/>
        </w:rPr>
        <w:t>Part II. Charts and supplementary analysis</w:t>
      </w:r>
    </w:p>
    <w:p>
      <w:r>
        <w:rPr>
          <w:rFonts w:ascii="Calibri" w:hAnsi="Calibri" w:eastAsia="Microsoft YaHei" w:cs="Calibri"/>
          <w:sz w:val="21"/>
        </w:rPr>
        <w:t xml:space="preserve">All charts and tables in this part are generated by the scripts in </w:t>
      </w:r>
      <w:r>
        <w:rPr>
          <w:rFonts w:ascii="Consolas" w:hAnsi="Consolas" w:eastAsia="Microsoft YaHei" w:cs="Consolas"/>
          <w:color w:val="8B1A1A"/>
          <w:sz w:val="19"/>
        </w:rPr>
        <w:t>research/scripts/</w:t>
      </w:r>
      <w:r>
        <w:rPr>
          <w:rFonts w:ascii="Calibri" w:hAnsi="Calibri" w:eastAsia="Microsoft YaHei" w:cs="Calibri"/>
          <w:sz w:val="21"/>
        </w:rPr>
        <w:t xml:space="preserve"> from SEC XBRL, 10-Q tables, FRED and price data, and are reproducible. Sections 11-17 correspond to Sections 1-9 of Part I.</w:t>
      </w:r>
    </w:p>
    <w:p>
      <w:pPr>
        <w:pStyle w:val="Heading2"/>
      </w:pPr>
      <w:r>
        <w:rPr>
          <w:rFonts w:ascii="Calibri" w:hAnsi="Calibri" w:eastAsia="Microsoft YaHei" w:cs="Calibri"/>
          <w:b/>
          <w:color w:val="1F4E79"/>
          <w:sz w:val="28"/>
        </w:rPr>
        <w:t>11. The term structure: what happened this quarter</w:t>
      </w:r>
    </w:p>
    <w:p>
      <w:pPr>
        <w:keepNext/>
        <w:spacing w:before="120"/>
        <w:jc w:val="center"/>
      </w:pPr>
      <w:r>
        <w:drawing>
          <wp:inline xmlns:a="http://schemas.openxmlformats.org/drawingml/2006/main" xmlns:pic="http://schemas.openxmlformats.org/drawingml/2006/picture">
            <wp:extent cx="6048000" cy="2698233"/>
            <wp:docPr id="1" name="Picture 1"/>
            <wp:cNvGraphicFramePr>
              <a:graphicFrameLocks noChangeAspect="1"/>
            </wp:cNvGraphicFramePr>
            <a:graphic>
              <a:graphicData uri="http://schemas.openxmlformats.org/drawingml/2006/picture">
                <pic:pic>
                  <pic:nvPicPr>
                    <pic:cNvPr id="0" name="f01_yield_curve.png"/>
                    <pic:cNvPicPr/>
                  </pic:nvPicPr>
                  <pic:blipFill>
                    <a:blip r:embed="rId11"/>
                    <a:stretch>
                      <a:fillRect/>
                    </a:stretch>
                  </pic:blipFill>
                  <pic:spPr>
                    <a:xfrm>
                      <a:off x="0" y="0"/>
                      <a:ext cx="6048000" cy="2698233"/>
                    </a:xfrm>
                    <a:prstGeom prst="rect"/>
                  </pic:spPr>
                </pic:pic>
              </a:graphicData>
            </a:graphic>
          </wp:inline>
        </w:drawing>
      </w:r>
    </w:p>
    <w:p>
      <w:pPr>
        <w:spacing w:after="200"/>
        <w:jc w:val="center"/>
      </w:pPr>
      <w:r>
        <w:rPr>
          <w:rFonts w:ascii="Calibri" w:hAnsi="Calibri" w:eastAsia="Microsoft YaHei" w:cs="Calibri"/>
          <w:i/>
          <w:color w:val="555555"/>
          <w:sz w:val="18"/>
        </w:rPr>
        <w:t>Figure 1. Treasury curve at each quarter-end (left) and Q3 change by tenor (right)</w:t>
      </w:r>
    </w:p>
    <w:tbl>
      <w:tblPr>
        <w:tblStyle w:val="TableGrid"/>
        <w:tblW w:type="auto" w:w="0"/>
        <w:jc w:val="center"/>
        <w:tblLayout w:type="fixed"/>
        <w:tblLook w:firstColumn="1" w:firstRow="1" w:lastColumn="0" w:lastRow="0" w:noHBand="0" w:noVBand="1" w:val="04A0"/>
      </w:tblPr>
      <w:tblGrid>
        <w:gridCol w:w="2214"/>
        <w:gridCol w:w="1601"/>
        <w:gridCol w:w="1601"/>
        <w:gridCol w:w="1601"/>
        <w:gridCol w:w="1320"/>
        <w:gridCol w:w="1415"/>
      </w:tblGrid>
      <w:tr>
        <w:trPr>
          <w:tblHeader w:val="true"/>
          <w:cantSplit/>
        </w:trPr>
        <w:tc>
          <w:tcPr>
            <w:tcW w:type="dxa" w:w="2214"/>
            <w:shd w:val="clear" w:color="auto" w:fill="1F4E79"/>
          </w:tcPr>
          <w:p>
            <w:pPr>
              <w:spacing w:after="20" w:before="20" w:line="252" w:lineRule="auto"/>
              <w:jc w:val="center"/>
            </w:pPr>
            <w:r>
              <w:rPr>
                <w:rFonts w:ascii="Calibri" w:hAnsi="Calibri" w:eastAsia="Microsoft YaHei" w:cs="Calibri"/>
                <w:b/>
                <w:color w:val="FFFFFF"/>
                <w:sz w:val="17"/>
              </w:rPr>
              <w:t>Tenor</w:t>
            </w:r>
          </w:p>
        </w:tc>
        <w:tc>
          <w:tcPr>
            <w:tcW w:type="dxa" w:w="1601"/>
            <w:shd w:val="clear" w:color="auto" w:fill="1F4E79"/>
          </w:tcPr>
          <w:p>
            <w:pPr>
              <w:spacing w:after="20" w:before="20" w:line="252" w:lineRule="auto"/>
              <w:jc w:val="center"/>
            </w:pPr>
            <w:r>
              <w:rPr>
                <w:rFonts w:ascii="Calibri" w:hAnsi="Calibri" w:eastAsia="Microsoft YaHei" w:cs="Calibri"/>
                <w:b/>
                <w:color w:val="FFFFFF"/>
                <w:sz w:val="17"/>
              </w:rPr>
              <w:t>2025-09-30 (%)</w:t>
            </w:r>
          </w:p>
        </w:tc>
        <w:tc>
          <w:tcPr>
            <w:tcW w:type="dxa" w:w="1601"/>
            <w:shd w:val="clear" w:color="auto" w:fill="1F4E79"/>
          </w:tcPr>
          <w:p>
            <w:pPr>
              <w:spacing w:after="20" w:before="20" w:line="252" w:lineRule="auto"/>
              <w:jc w:val="center"/>
            </w:pPr>
            <w:r>
              <w:rPr>
                <w:rFonts w:ascii="Calibri" w:hAnsi="Calibri" w:eastAsia="Microsoft YaHei" w:cs="Calibri"/>
                <w:b/>
                <w:color w:val="FFFFFF"/>
                <w:sz w:val="17"/>
              </w:rPr>
              <w:t>2026-06-30 (%)</w:t>
            </w:r>
          </w:p>
        </w:tc>
        <w:tc>
          <w:tcPr>
            <w:tcW w:type="dxa" w:w="1601"/>
            <w:shd w:val="clear" w:color="auto" w:fill="1F4E79"/>
          </w:tcPr>
          <w:p>
            <w:pPr>
              <w:spacing w:after="20" w:before="20" w:line="252" w:lineRule="auto"/>
              <w:jc w:val="center"/>
            </w:pPr>
            <w:r>
              <w:rPr>
                <w:rFonts w:ascii="Calibri" w:hAnsi="Calibri" w:eastAsia="Microsoft YaHei" w:cs="Calibri"/>
                <w:b/>
                <w:color w:val="FFFFFF"/>
                <w:sz w:val="17"/>
              </w:rPr>
              <w:t>2026-09-30 (%)</w:t>
            </w:r>
          </w:p>
        </w:tc>
        <w:tc>
          <w:tcPr>
            <w:tcW w:type="dxa" w:w="1320"/>
            <w:shd w:val="clear" w:color="auto" w:fill="1F4E79"/>
          </w:tcPr>
          <w:p>
            <w:pPr>
              <w:spacing w:after="20" w:before="20" w:line="252" w:lineRule="auto"/>
              <w:jc w:val="center"/>
            </w:pPr>
            <w:r>
              <w:rPr>
                <w:rFonts w:ascii="Calibri" w:hAnsi="Calibri" w:eastAsia="Microsoft YaHei" w:cs="Calibri"/>
                <w:b/>
                <w:color w:val="FFFFFF"/>
                <w:sz w:val="17"/>
              </w:rPr>
              <w:t>Q3 chg (bp)</w:t>
            </w:r>
          </w:p>
        </w:tc>
        <w:tc>
          <w:tcPr>
            <w:tcW w:type="dxa" w:w="1415"/>
            <w:shd w:val="clear" w:color="auto" w:fill="1F4E79"/>
          </w:tcPr>
          <w:p>
            <w:pPr>
              <w:spacing w:after="20" w:before="20" w:line="252" w:lineRule="auto"/>
              <w:jc w:val="center"/>
            </w:pPr>
            <w:r>
              <w:rPr>
                <w:rFonts w:ascii="Calibri" w:hAnsi="Calibri" w:eastAsia="Microsoft YaHei" w:cs="Calibri"/>
                <w:b/>
                <w:color w:val="FFFFFF"/>
                <w:sz w:val="17"/>
              </w:rPr>
              <w:t>YoY chg (bp)</w:t>
            </w:r>
          </w:p>
        </w:tc>
      </w:tr>
      <w:tr>
        <w:trPr>
          <w:cantSplit/>
        </w:trPr>
        <w:tc>
          <w:tcPr>
            <w:tcW w:type="dxa" w:w="2214"/>
          </w:tcPr>
          <w:p>
            <w:pPr>
              <w:spacing w:after="20" w:before="20" w:line="252" w:lineRule="auto"/>
              <w:jc w:val="left"/>
            </w:pPr>
            <w:r>
              <w:rPr>
                <w:rFonts w:ascii="Calibri" w:hAnsi="Calibri" w:eastAsia="Microsoft YaHei" w:cs="Calibri"/>
                <w:sz w:val="17"/>
              </w:rPr>
              <w:t>1M</w:t>
            </w:r>
          </w:p>
        </w:tc>
        <w:tc>
          <w:tcPr>
            <w:tcW w:type="dxa" w:w="1601"/>
          </w:tcPr>
          <w:p>
            <w:pPr>
              <w:spacing w:after="20" w:before="20" w:line="252" w:lineRule="auto"/>
              <w:jc w:val="center"/>
            </w:pPr>
            <w:r>
              <w:rPr>
                <w:rFonts w:ascii="Calibri" w:hAnsi="Calibri" w:eastAsia="Microsoft YaHei" w:cs="Calibri"/>
                <w:sz w:val="17"/>
              </w:rPr>
              <w:t>4.20</w:t>
            </w:r>
          </w:p>
        </w:tc>
        <w:tc>
          <w:tcPr>
            <w:tcW w:type="dxa" w:w="1601"/>
          </w:tcPr>
          <w:p>
            <w:pPr>
              <w:spacing w:after="20" w:before="20" w:line="252" w:lineRule="auto"/>
              <w:jc w:val="center"/>
            </w:pPr>
            <w:r>
              <w:rPr>
                <w:rFonts w:ascii="Calibri" w:hAnsi="Calibri" w:eastAsia="Microsoft YaHei" w:cs="Calibri"/>
                <w:sz w:val="17"/>
              </w:rPr>
              <w:t>3.70</w:t>
            </w:r>
          </w:p>
        </w:tc>
        <w:tc>
          <w:tcPr>
            <w:tcW w:type="dxa" w:w="1601"/>
          </w:tcPr>
          <w:p>
            <w:pPr>
              <w:spacing w:after="20" w:before="20" w:line="252" w:lineRule="auto"/>
              <w:jc w:val="center"/>
            </w:pPr>
            <w:r>
              <w:rPr>
                <w:rFonts w:ascii="Calibri" w:hAnsi="Calibri" w:eastAsia="Microsoft YaHei" w:cs="Calibri"/>
                <w:sz w:val="17"/>
              </w:rPr>
              <w:t>4.02</w:t>
            </w:r>
          </w:p>
        </w:tc>
        <w:tc>
          <w:tcPr>
            <w:tcW w:type="dxa" w:w="1320"/>
          </w:tcPr>
          <w:p>
            <w:pPr>
              <w:spacing w:after="20" w:before="20" w:line="252" w:lineRule="auto"/>
              <w:jc w:val="center"/>
            </w:pPr>
            <w:r>
              <w:rPr>
                <w:rFonts w:ascii="Calibri" w:hAnsi="Calibri" w:eastAsia="Microsoft YaHei" w:cs="Calibri"/>
                <w:sz w:val="17"/>
              </w:rPr>
              <w:t>+32</w:t>
            </w:r>
          </w:p>
        </w:tc>
        <w:tc>
          <w:tcPr>
            <w:tcW w:type="dxa" w:w="1415"/>
          </w:tcPr>
          <w:p>
            <w:pPr>
              <w:spacing w:after="20" w:before="20" w:line="252" w:lineRule="auto"/>
              <w:jc w:val="center"/>
            </w:pPr>
            <w:r>
              <w:rPr>
                <w:rFonts w:ascii="Calibri" w:hAnsi="Calibri" w:eastAsia="Microsoft YaHei" w:cs="Calibri"/>
                <w:sz w:val="17"/>
              </w:rPr>
              <w:t>-18</w:t>
            </w:r>
          </w:p>
        </w:tc>
      </w:tr>
      <w:tr>
        <w:trPr>
          <w:cantSplit/>
        </w:trPr>
        <w:tc>
          <w:tcPr>
            <w:tcW w:type="dxa" w:w="2214"/>
            <w:shd w:val="clear" w:color="auto" w:fill="F2F5F9"/>
          </w:tcPr>
          <w:p>
            <w:pPr>
              <w:spacing w:after="20" w:before="20" w:line="252" w:lineRule="auto"/>
              <w:jc w:val="left"/>
            </w:pPr>
            <w:r>
              <w:rPr>
                <w:rFonts w:ascii="Calibri" w:hAnsi="Calibri" w:eastAsia="Microsoft YaHei" w:cs="Calibri"/>
                <w:sz w:val="17"/>
              </w:rPr>
              <w:t>3M</w:t>
            </w:r>
          </w:p>
        </w:tc>
        <w:tc>
          <w:tcPr>
            <w:tcW w:type="dxa" w:w="1601"/>
            <w:shd w:val="clear" w:color="auto" w:fill="F2F5F9"/>
          </w:tcPr>
          <w:p>
            <w:pPr>
              <w:spacing w:after="20" w:before="20" w:line="252" w:lineRule="auto"/>
              <w:jc w:val="center"/>
            </w:pPr>
            <w:r>
              <w:rPr>
                <w:rFonts w:ascii="Calibri" w:hAnsi="Calibri" w:eastAsia="Microsoft YaHei" w:cs="Calibri"/>
                <w:sz w:val="17"/>
              </w:rPr>
              <w:t>4.02</w:t>
            </w:r>
          </w:p>
        </w:tc>
        <w:tc>
          <w:tcPr>
            <w:tcW w:type="dxa" w:w="1601"/>
            <w:shd w:val="clear" w:color="auto" w:fill="F2F5F9"/>
          </w:tcPr>
          <w:p>
            <w:pPr>
              <w:spacing w:after="20" w:before="20" w:line="252" w:lineRule="auto"/>
              <w:jc w:val="center"/>
            </w:pPr>
            <w:r>
              <w:rPr>
                <w:rFonts w:ascii="Calibri" w:hAnsi="Calibri" w:eastAsia="Microsoft YaHei" w:cs="Calibri"/>
                <w:sz w:val="17"/>
              </w:rPr>
              <w:t>3.87</w:t>
            </w:r>
          </w:p>
        </w:tc>
        <w:tc>
          <w:tcPr>
            <w:tcW w:type="dxa" w:w="1601"/>
            <w:shd w:val="clear" w:color="auto" w:fill="F2F5F9"/>
          </w:tcPr>
          <w:p>
            <w:pPr>
              <w:spacing w:after="20" w:before="20" w:line="252" w:lineRule="auto"/>
              <w:jc w:val="center"/>
            </w:pPr>
            <w:r>
              <w:rPr>
                <w:rFonts w:ascii="Calibri" w:hAnsi="Calibri" w:eastAsia="Microsoft YaHei" w:cs="Calibri"/>
                <w:sz w:val="17"/>
              </w:rPr>
              <w:t>4.20</w:t>
            </w:r>
          </w:p>
        </w:tc>
        <w:tc>
          <w:tcPr>
            <w:tcW w:type="dxa" w:w="1320"/>
            <w:shd w:val="clear" w:color="auto" w:fill="F2F5F9"/>
          </w:tcPr>
          <w:p>
            <w:pPr>
              <w:spacing w:after="20" w:before="20" w:line="252" w:lineRule="auto"/>
              <w:jc w:val="center"/>
            </w:pPr>
            <w:r>
              <w:rPr>
                <w:rFonts w:ascii="Calibri" w:hAnsi="Calibri" w:eastAsia="Microsoft YaHei" w:cs="Calibri"/>
                <w:sz w:val="17"/>
              </w:rPr>
              <w:t>+33</w:t>
            </w:r>
          </w:p>
        </w:tc>
        <w:tc>
          <w:tcPr>
            <w:tcW w:type="dxa" w:w="1415"/>
            <w:shd w:val="clear" w:color="auto" w:fill="F2F5F9"/>
          </w:tcPr>
          <w:p>
            <w:pPr>
              <w:spacing w:after="20" w:before="20" w:line="252" w:lineRule="auto"/>
              <w:jc w:val="center"/>
            </w:pPr>
            <w:r>
              <w:rPr>
                <w:rFonts w:ascii="Calibri" w:hAnsi="Calibri" w:eastAsia="Microsoft YaHei" w:cs="Calibri"/>
                <w:sz w:val="17"/>
              </w:rPr>
              <w:t>+18</w:t>
            </w:r>
          </w:p>
        </w:tc>
      </w:tr>
      <w:tr>
        <w:trPr>
          <w:cantSplit/>
        </w:trPr>
        <w:tc>
          <w:tcPr>
            <w:tcW w:type="dxa" w:w="2214"/>
          </w:tcPr>
          <w:p>
            <w:pPr>
              <w:spacing w:after="20" w:before="20" w:line="252" w:lineRule="auto"/>
              <w:jc w:val="left"/>
            </w:pPr>
            <w:r>
              <w:rPr>
                <w:rFonts w:ascii="Calibri" w:hAnsi="Calibri" w:eastAsia="Microsoft YaHei" w:cs="Calibri"/>
                <w:sz w:val="17"/>
              </w:rPr>
              <w:t>6M</w:t>
            </w:r>
          </w:p>
        </w:tc>
        <w:tc>
          <w:tcPr>
            <w:tcW w:type="dxa" w:w="1601"/>
          </w:tcPr>
          <w:p>
            <w:pPr>
              <w:spacing w:after="20" w:before="20" w:line="252" w:lineRule="auto"/>
              <w:jc w:val="center"/>
            </w:pPr>
            <w:r>
              <w:rPr>
                <w:rFonts w:ascii="Calibri" w:hAnsi="Calibri" w:eastAsia="Microsoft YaHei" w:cs="Calibri"/>
                <w:sz w:val="17"/>
              </w:rPr>
              <w:t>3.83</w:t>
            </w:r>
          </w:p>
        </w:tc>
        <w:tc>
          <w:tcPr>
            <w:tcW w:type="dxa" w:w="1601"/>
          </w:tcPr>
          <w:p>
            <w:pPr>
              <w:spacing w:after="20" w:before="20" w:line="252" w:lineRule="auto"/>
              <w:jc w:val="center"/>
            </w:pPr>
            <w:r>
              <w:rPr>
                <w:rFonts w:ascii="Calibri" w:hAnsi="Calibri" w:eastAsia="Microsoft YaHei" w:cs="Calibri"/>
                <w:sz w:val="17"/>
              </w:rPr>
              <w:t>4.01</w:t>
            </w:r>
          </w:p>
        </w:tc>
        <w:tc>
          <w:tcPr>
            <w:tcW w:type="dxa" w:w="1601"/>
          </w:tcPr>
          <w:p>
            <w:pPr>
              <w:spacing w:after="20" w:before="20" w:line="252" w:lineRule="auto"/>
              <w:jc w:val="center"/>
            </w:pPr>
            <w:r>
              <w:rPr>
                <w:rFonts w:ascii="Calibri" w:hAnsi="Calibri" w:eastAsia="Microsoft YaHei" w:cs="Calibri"/>
                <w:sz w:val="17"/>
              </w:rPr>
              <w:t>4.33</w:t>
            </w:r>
          </w:p>
        </w:tc>
        <w:tc>
          <w:tcPr>
            <w:tcW w:type="dxa" w:w="1320"/>
          </w:tcPr>
          <w:p>
            <w:pPr>
              <w:spacing w:after="20" w:before="20" w:line="252" w:lineRule="auto"/>
              <w:jc w:val="center"/>
            </w:pPr>
            <w:r>
              <w:rPr>
                <w:rFonts w:ascii="Calibri" w:hAnsi="Calibri" w:eastAsia="Microsoft YaHei" w:cs="Calibri"/>
                <w:sz w:val="17"/>
              </w:rPr>
              <w:t>+32</w:t>
            </w:r>
          </w:p>
        </w:tc>
        <w:tc>
          <w:tcPr>
            <w:tcW w:type="dxa" w:w="1415"/>
          </w:tcPr>
          <w:p>
            <w:pPr>
              <w:spacing w:after="20" w:before="20" w:line="252" w:lineRule="auto"/>
              <w:jc w:val="center"/>
            </w:pPr>
            <w:r>
              <w:rPr>
                <w:rFonts w:ascii="Calibri" w:hAnsi="Calibri" w:eastAsia="Microsoft YaHei" w:cs="Calibri"/>
                <w:sz w:val="17"/>
              </w:rPr>
              <w:t>+50</w:t>
            </w:r>
          </w:p>
        </w:tc>
      </w:tr>
      <w:tr>
        <w:trPr>
          <w:cantSplit/>
        </w:trPr>
        <w:tc>
          <w:tcPr>
            <w:tcW w:type="dxa" w:w="2214"/>
            <w:shd w:val="clear" w:color="auto" w:fill="F2F5F9"/>
          </w:tcPr>
          <w:p>
            <w:pPr>
              <w:spacing w:after="20" w:before="20" w:line="252" w:lineRule="auto"/>
              <w:jc w:val="left"/>
            </w:pPr>
            <w:r>
              <w:rPr>
                <w:rFonts w:ascii="Calibri" w:hAnsi="Calibri" w:eastAsia="Microsoft YaHei" w:cs="Calibri"/>
                <w:sz w:val="17"/>
              </w:rPr>
              <w:t>1Y</w:t>
            </w:r>
          </w:p>
        </w:tc>
        <w:tc>
          <w:tcPr>
            <w:tcW w:type="dxa" w:w="1601"/>
            <w:shd w:val="clear" w:color="auto" w:fill="F2F5F9"/>
          </w:tcPr>
          <w:p>
            <w:pPr>
              <w:spacing w:after="20" w:before="20" w:line="252" w:lineRule="auto"/>
              <w:jc w:val="center"/>
            </w:pPr>
            <w:r>
              <w:rPr>
                <w:rFonts w:ascii="Calibri" w:hAnsi="Calibri" w:eastAsia="Microsoft YaHei" w:cs="Calibri"/>
                <w:sz w:val="17"/>
              </w:rPr>
              <w:t>3.68</w:t>
            </w:r>
          </w:p>
        </w:tc>
        <w:tc>
          <w:tcPr>
            <w:tcW w:type="dxa" w:w="1601"/>
            <w:shd w:val="clear" w:color="auto" w:fill="F2F5F9"/>
          </w:tcPr>
          <w:p>
            <w:pPr>
              <w:spacing w:after="20" w:before="20" w:line="252" w:lineRule="auto"/>
              <w:jc w:val="center"/>
            </w:pPr>
            <w:r>
              <w:rPr>
                <w:rFonts w:ascii="Calibri" w:hAnsi="Calibri" w:eastAsia="Microsoft YaHei" w:cs="Calibri"/>
                <w:sz w:val="17"/>
              </w:rPr>
              <w:t>3.98</w:t>
            </w:r>
          </w:p>
        </w:tc>
        <w:tc>
          <w:tcPr>
            <w:tcW w:type="dxa" w:w="1601"/>
            <w:shd w:val="clear" w:color="auto" w:fill="F2F5F9"/>
          </w:tcPr>
          <w:p>
            <w:pPr>
              <w:spacing w:after="20" w:before="20" w:line="252" w:lineRule="auto"/>
              <w:jc w:val="center"/>
            </w:pPr>
            <w:r>
              <w:rPr>
                <w:rFonts w:ascii="Calibri" w:hAnsi="Calibri" w:eastAsia="Microsoft YaHei" w:cs="Calibri"/>
                <w:sz w:val="17"/>
              </w:rPr>
              <w:t>4.54</w:t>
            </w:r>
          </w:p>
        </w:tc>
        <w:tc>
          <w:tcPr>
            <w:tcW w:type="dxa" w:w="1320"/>
            <w:shd w:val="clear" w:color="auto" w:fill="F2F5F9"/>
          </w:tcPr>
          <w:p>
            <w:pPr>
              <w:spacing w:after="20" w:before="20" w:line="252" w:lineRule="auto"/>
              <w:jc w:val="center"/>
            </w:pPr>
            <w:r>
              <w:rPr>
                <w:rFonts w:ascii="Calibri" w:hAnsi="Calibri" w:eastAsia="Microsoft YaHei" w:cs="Calibri"/>
                <w:sz w:val="17"/>
              </w:rPr>
              <w:t>+56</w:t>
            </w:r>
          </w:p>
        </w:tc>
        <w:tc>
          <w:tcPr>
            <w:tcW w:type="dxa" w:w="1415"/>
            <w:shd w:val="clear" w:color="auto" w:fill="F2F5F9"/>
          </w:tcPr>
          <w:p>
            <w:pPr>
              <w:spacing w:after="20" w:before="20" w:line="252" w:lineRule="auto"/>
              <w:jc w:val="center"/>
            </w:pPr>
            <w:r>
              <w:rPr>
                <w:rFonts w:ascii="Calibri" w:hAnsi="Calibri" w:eastAsia="Microsoft YaHei" w:cs="Calibri"/>
                <w:sz w:val="17"/>
              </w:rPr>
              <w:t>+86</w:t>
            </w:r>
          </w:p>
        </w:tc>
      </w:tr>
      <w:tr>
        <w:trPr>
          <w:cantSplit/>
        </w:trPr>
        <w:tc>
          <w:tcPr>
            <w:tcW w:type="dxa" w:w="2214"/>
          </w:tcPr>
          <w:p>
            <w:pPr>
              <w:spacing w:after="20" w:before="20" w:line="252" w:lineRule="auto"/>
              <w:jc w:val="left"/>
            </w:pPr>
            <w:r>
              <w:rPr>
                <w:rFonts w:ascii="Calibri" w:hAnsi="Calibri" w:eastAsia="Microsoft YaHei" w:cs="Calibri"/>
                <w:sz w:val="17"/>
              </w:rPr>
              <w:t>2Y</w:t>
            </w:r>
          </w:p>
        </w:tc>
        <w:tc>
          <w:tcPr>
            <w:tcW w:type="dxa" w:w="1601"/>
          </w:tcPr>
          <w:p>
            <w:pPr>
              <w:spacing w:after="20" w:before="20" w:line="252" w:lineRule="auto"/>
              <w:jc w:val="center"/>
            </w:pPr>
            <w:r>
              <w:rPr>
                <w:rFonts w:ascii="Calibri" w:hAnsi="Calibri" w:eastAsia="Microsoft YaHei" w:cs="Calibri"/>
                <w:sz w:val="17"/>
              </w:rPr>
              <w:t>3.60</w:t>
            </w:r>
          </w:p>
        </w:tc>
        <w:tc>
          <w:tcPr>
            <w:tcW w:type="dxa" w:w="1601"/>
          </w:tcPr>
          <w:p>
            <w:pPr>
              <w:spacing w:after="20" w:before="20" w:line="252" w:lineRule="auto"/>
              <w:jc w:val="center"/>
            </w:pPr>
            <w:r>
              <w:rPr>
                <w:rFonts w:ascii="Calibri" w:hAnsi="Calibri" w:eastAsia="Microsoft YaHei" w:cs="Calibri"/>
                <w:sz w:val="17"/>
              </w:rPr>
              <w:t>4.14</w:t>
            </w:r>
          </w:p>
        </w:tc>
        <w:tc>
          <w:tcPr>
            <w:tcW w:type="dxa" w:w="1601"/>
          </w:tcPr>
          <w:p>
            <w:pPr>
              <w:spacing w:after="20" w:before="20" w:line="252" w:lineRule="auto"/>
              <w:jc w:val="center"/>
            </w:pPr>
            <w:r>
              <w:rPr>
                <w:rFonts w:ascii="Calibri" w:hAnsi="Calibri" w:eastAsia="Microsoft YaHei" w:cs="Calibri"/>
                <w:sz w:val="17"/>
              </w:rPr>
              <w:t>4.88</w:t>
            </w:r>
          </w:p>
        </w:tc>
        <w:tc>
          <w:tcPr>
            <w:tcW w:type="dxa" w:w="1320"/>
          </w:tcPr>
          <w:p>
            <w:pPr>
              <w:spacing w:after="20" w:before="20" w:line="252" w:lineRule="auto"/>
              <w:jc w:val="center"/>
            </w:pPr>
            <w:r>
              <w:rPr>
                <w:rFonts w:ascii="Calibri" w:hAnsi="Calibri" w:eastAsia="Microsoft YaHei" w:cs="Calibri"/>
                <w:sz w:val="17"/>
              </w:rPr>
              <w:t>+74</w:t>
            </w:r>
          </w:p>
        </w:tc>
        <w:tc>
          <w:tcPr>
            <w:tcW w:type="dxa" w:w="1415"/>
          </w:tcPr>
          <w:p>
            <w:pPr>
              <w:spacing w:after="20" w:before="20" w:line="252" w:lineRule="auto"/>
              <w:jc w:val="center"/>
            </w:pPr>
            <w:r>
              <w:rPr>
                <w:rFonts w:ascii="Calibri" w:hAnsi="Calibri" w:eastAsia="Microsoft YaHei" w:cs="Calibri"/>
                <w:sz w:val="17"/>
              </w:rPr>
              <w:t>+128</w:t>
            </w:r>
          </w:p>
        </w:tc>
      </w:tr>
      <w:tr>
        <w:trPr>
          <w:cantSplit/>
        </w:trPr>
        <w:tc>
          <w:tcPr>
            <w:tcW w:type="dxa" w:w="2214"/>
            <w:shd w:val="clear" w:color="auto" w:fill="F2F5F9"/>
          </w:tcPr>
          <w:p>
            <w:pPr>
              <w:spacing w:after="20" w:before="20" w:line="252" w:lineRule="auto"/>
              <w:jc w:val="left"/>
            </w:pPr>
            <w:r>
              <w:rPr>
                <w:rFonts w:ascii="Calibri" w:hAnsi="Calibri" w:eastAsia="Microsoft YaHei" w:cs="Calibri"/>
                <w:sz w:val="17"/>
              </w:rPr>
              <w:t>3Y</w:t>
            </w:r>
          </w:p>
        </w:tc>
        <w:tc>
          <w:tcPr>
            <w:tcW w:type="dxa" w:w="1601"/>
            <w:shd w:val="clear" w:color="auto" w:fill="F2F5F9"/>
          </w:tcPr>
          <w:p>
            <w:pPr>
              <w:spacing w:after="20" w:before="20" w:line="252" w:lineRule="auto"/>
              <w:jc w:val="center"/>
            </w:pPr>
            <w:r>
              <w:rPr>
                <w:rFonts w:ascii="Calibri" w:hAnsi="Calibri" w:eastAsia="Microsoft YaHei" w:cs="Calibri"/>
                <w:sz w:val="17"/>
              </w:rPr>
              <w:t>3.61</w:t>
            </w:r>
          </w:p>
        </w:tc>
        <w:tc>
          <w:tcPr>
            <w:tcW w:type="dxa" w:w="1601"/>
            <w:shd w:val="clear" w:color="auto" w:fill="F2F5F9"/>
          </w:tcPr>
          <w:p>
            <w:pPr>
              <w:spacing w:after="20" w:before="20" w:line="252" w:lineRule="auto"/>
              <w:jc w:val="center"/>
            </w:pPr>
            <w:r>
              <w:rPr>
                <w:rFonts w:ascii="Calibri" w:hAnsi="Calibri" w:eastAsia="Microsoft YaHei" w:cs="Calibri"/>
                <w:sz w:val="17"/>
              </w:rPr>
              <w:t>4.15</w:t>
            </w:r>
          </w:p>
        </w:tc>
        <w:tc>
          <w:tcPr>
            <w:tcW w:type="dxa" w:w="1601"/>
            <w:shd w:val="clear" w:color="auto" w:fill="F2F5F9"/>
          </w:tcPr>
          <w:p>
            <w:pPr>
              <w:spacing w:after="20" w:before="20" w:line="252" w:lineRule="auto"/>
              <w:jc w:val="center"/>
            </w:pPr>
            <w:r>
              <w:rPr>
                <w:rFonts w:ascii="Calibri" w:hAnsi="Calibri" w:eastAsia="Microsoft YaHei" w:cs="Calibri"/>
                <w:sz w:val="17"/>
              </w:rPr>
              <w:t>5.00</w:t>
            </w:r>
          </w:p>
        </w:tc>
        <w:tc>
          <w:tcPr>
            <w:tcW w:type="dxa" w:w="1320"/>
            <w:shd w:val="clear" w:color="auto" w:fill="F2F5F9"/>
          </w:tcPr>
          <w:p>
            <w:pPr>
              <w:spacing w:after="20" w:before="20" w:line="252" w:lineRule="auto"/>
              <w:jc w:val="center"/>
            </w:pPr>
            <w:r>
              <w:rPr>
                <w:rFonts w:ascii="Calibri" w:hAnsi="Calibri" w:eastAsia="Microsoft YaHei" w:cs="Calibri"/>
                <w:sz w:val="17"/>
              </w:rPr>
              <w:t>+85</w:t>
            </w:r>
          </w:p>
        </w:tc>
        <w:tc>
          <w:tcPr>
            <w:tcW w:type="dxa" w:w="1415"/>
            <w:shd w:val="clear" w:color="auto" w:fill="F2F5F9"/>
          </w:tcPr>
          <w:p>
            <w:pPr>
              <w:spacing w:after="20" w:before="20" w:line="252" w:lineRule="auto"/>
              <w:jc w:val="center"/>
            </w:pPr>
            <w:r>
              <w:rPr>
                <w:rFonts w:ascii="Calibri" w:hAnsi="Calibri" w:eastAsia="Microsoft YaHei" w:cs="Calibri"/>
                <w:sz w:val="17"/>
              </w:rPr>
              <w:t>+139</w:t>
            </w:r>
          </w:p>
        </w:tc>
      </w:tr>
      <w:tr>
        <w:trPr>
          <w:cantSplit/>
        </w:trPr>
        <w:tc>
          <w:tcPr>
            <w:tcW w:type="dxa" w:w="2214"/>
          </w:tcPr>
          <w:p>
            <w:pPr>
              <w:spacing w:after="20" w:before="20" w:line="252" w:lineRule="auto"/>
              <w:jc w:val="left"/>
            </w:pPr>
            <w:r>
              <w:rPr>
                <w:rFonts w:ascii="Calibri" w:hAnsi="Calibri" w:eastAsia="Microsoft YaHei" w:cs="Calibri"/>
                <w:sz w:val="17"/>
              </w:rPr>
              <w:t>5Y</w:t>
            </w:r>
          </w:p>
        </w:tc>
        <w:tc>
          <w:tcPr>
            <w:tcW w:type="dxa" w:w="1601"/>
          </w:tcPr>
          <w:p>
            <w:pPr>
              <w:spacing w:after="20" w:before="20" w:line="252" w:lineRule="auto"/>
              <w:jc w:val="center"/>
            </w:pPr>
            <w:r>
              <w:rPr>
                <w:rFonts w:ascii="Calibri" w:hAnsi="Calibri" w:eastAsia="Microsoft YaHei" w:cs="Calibri"/>
                <w:sz w:val="17"/>
              </w:rPr>
              <w:t>3.74</w:t>
            </w:r>
          </w:p>
        </w:tc>
        <w:tc>
          <w:tcPr>
            <w:tcW w:type="dxa" w:w="1601"/>
          </w:tcPr>
          <w:p>
            <w:pPr>
              <w:spacing w:after="20" w:before="20" w:line="252" w:lineRule="auto"/>
              <w:jc w:val="center"/>
            </w:pPr>
            <w:r>
              <w:rPr>
                <w:rFonts w:ascii="Calibri" w:hAnsi="Calibri" w:eastAsia="Microsoft YaHei" w:cs="Calibri"/>
                <w:sz w:val="17"/>
              </w:rPr>
              <w:t>4.19</w:t>
            </w:r>
          </w:p>
        </w:tc>
        <w:tc>
          <w:tcPr>
            <w:tcW w:type="dxa" w:w="1601"/>
          </w:tcPr>
          <w:p>
            <w:pPr>
              <w:spacing w:after="20" w:before="20" w:line="252" w:lineRule="auto"/>
              <w:jc w:val="center"/>
            </w:pPr>
            <w:r>
              <w:rPr>
                <w:rFonts w:ascii="Calibri" w:hAnsi="Calibri" w:eastAsia="Microsoft YaHei" w:cs="Calibri"/>
                <w:sz w:val="17"/>
              </w:rPr>
              <w:t>5.09</w:t>
            </w:r>
          </w:p>
        </w:tc>
        <w:tc>
          <w:tcPr>
            <w:tcW w:type="dxa" w:w="1320"/>
          </w:tcPr>
          <w:p>
            <w:pPr>
              <w:spacing w:after="20" w:before="20" w:line="252" w:lineRule="auto"/>
              <w:jc w:val="center"/>
            </w:pPr>
            <w:r>
              <w:rPr>
                <w:rFonts w:ascii="Calibri" w:hAnsi="Calibri" w:eastAsia="Microsoft YaHei" w:cs="Calibri"/>
                <w:sz w:val="17"/>
              </w:rPr>
              <w:t>+90</w:t>
            </w:r>
          </w:p>
        </w:tc>
        <w:tc>
          <w:tcPr>
            <w:tcW w:type="dxa" w:w="1415"/>
          </w:tcPr>
          <w:p>
            <w:pPr>
              <w:spacing w:after="20" w:before="20" w:line="252" w:lineRule="auto"/>
              <w:jc w:val="center"/>
            </w:pPr>
            <w:r>
              <w:rPr>
                <w:rFonts w:ascii="Calibri" w:hAnsi="Calibri" w:eastAsia="Microsoft YaHei" w:cs="Calibri"/>
                <w:sz w:val="17"/>
              </w:rPr>
              <w:t>+135</w:t>
            </w:r>
          </w:p>
        </w:tc>
      </w:tr>
      <w:tr>
        <w:trPr>
          <w:cantSplit/>
        </w:trPr>
        <w:tc>
          <w:tcPr>
            <w:tcW w:type="dxa" w:w="2214"/>
            <w:shd w:val="clear" w:color="auto" w:fill="F2F5F9"/>
          </w:tcPr>
          <w:p>
            <w:pPr>
              <w:spacing w:after="20" w:before="20" w:line="252" w:lineRule="auto"/>
              <w:jc w:val="left"/>
            </w:pPr>
            <w:r>
              <w:rPr>
                <w:rFonts w:ascii="Calibri" w:hAnsi="Calibri" w:eastAsia="Microsoft YaHei" w:cs="Calibri"/>
                <w:sz w:val="17"/>
              </w:rPr>
              <w:t>7Y</w:t>
            </w:r>
          </w:p>
        </w:tc>
        <w:tc>
          <w:tcPr>
            <w:tcW w:type="dxa" w:w="1601"/>
            <w:shd w:val="clear" w:color="auto" w:fill="F2F5F9"/>
          </w:tcPr>
          <w:p>
            <w:pPr>
              <w:spacing w:after="20" w:before="20" w:line="252" w:lineRule="auto"/>
              <w:jc w:val="center"/>
            </w:pPr>
            <w:r>
              <w:rPr>
                <w:rFonts w:ascii="Calibri" w:hAnsi="Calibri" w:eastAsia="Microsoft YaHei" w:cs="Calibri"/>
                <w:sz w:val="17"/>
              </w:rPr>
              <w:t>3.93</w:t>
            </w:r>
          </w:p>
        </w:tc>
        <w:tc>
          <w:tcPr>
            <w:tcW w:type="dxa" w:w="1601"/>
            <w:shd w:val="clear" w:color="auto" w:fill="F2F5F9"/>
          </w:tcPr>
          <w:p>
            <w:pPr>
              <w:spacing w:after="20" w:before="20" w:line="252" w:lineRule="auto"/>
              <w:jc w:val="center"/>
            </w:pPr>
            <w:r>
              <w:rPr>
                <w:rFonts w:ascii="Calibri" w:hAnsi="Calibri" w:eastAsia="Microsoft YaHei" w:cs="Calibri"/>
                <w:sz w:val="17"/>
              </w:rPr>
              <w:t>4.30</w:t>
            </w:r>
          </w:p>
        </w:tc>
        <w:tc>
          <w:tcPr>
            <w:tcW w:type="dxa" w:w="1601"/>
            <w:shd w:val="clear" w:color="auto" w:fill="F2F5F9"/>
          </w:tcPr>
          <w:p>
            <w:pPr>
              <w:spacing w:after="20" w:before="20" w:line="252" w:lineRule="auto"/>
              <w:jc w:val="center"/>
            </w:pPr>
            <w:r>
              <w:rPr>
                <w:rFonts w:ascii="Calibri" w:hAnsi="Calibri" w:eastAsia="Microsoft YaHei" w:cs="Calibri"/>
                <w:sz w:val="17"/>
              </w:rPr>
              <w:t>5.19</w:t>
            </w:r>
          </w:p>
        </w:tc>
        <w:tc>
          <w:tcPr>
            <w:tcW w:type="dxa" w:w="1320"/>
            <w:shd w:val="clear" w:color="auto" w:fill="F2F5F9"/>
          </w:tcPr>
          <w:p>
            <w:pPr>
              <w:spacing w:after="20" w:before="20" w:line="252" w:lineRule="auto"/>
              <w:jc w:val="center"/>
            </w:pPr>
            <w:r>
              <w:rPr>
                <w:rFonts w:ascii="Calibri" w:hAnsi="Calibri" w:eastAsia="Microsoft YaHei" w:cs="Calibri"/>
                <w:sz w:val="17"/>
              </w:rPr>
              <w:t>+89</w:t>
            </w:r>
          </w:p>
        </w:tc>
        <w:tc>
          <w:tcPr>
            <w:tcW w:type="dxa" w:w="1415"/>
            <w:shd w:val="clear" w:color="auto" w:fill="F2F5F9"/>
          </w:tcPr>
          <w:p>
            <w:pPr>
              <w:spacing w:after="20" w:before="20" w:line="252" w:lineRule="auto"/>
              <w:jc w:val="center"/>
            </w:pPr>
            <w:r>
              <w:rPr>
                <w:rFonts w:ascii="Calibri" w:hAnsi="Calibri" w:eastAsia="Microsoft YaHei" w:cs="Calibri"/>
                <w:sz w:val="17"/>
              </w:rPr>
              <w:t>+126</w:t>
            </w:r>
          </w:p>
        </w:tc>
      </w:tr>
      <w:tr>
        <w:trPr>
          <w:cantSplit/>
        </w:trPr>
        <w:tc>
          <w:tcPr>
            <w:tcW w:type="dxa" w:w="2214"/>
          </w:tcPr>
          <w:p>
            <w:pPr>
              <w:spacing w:after="20" w:before="20" w:line="252" w:lineRule="auto"/>
              <w:jc w:val="left"/>
            </w:pPr>
            <w:r>
              <w:rPr>
                <w:rFonts w:ascii="Calibri" w:hAnsi="Calibri" w:eastAsia="Microsoft YaHei" w:cs="Calibri"/>
                <w:sz w:val="17"/>
              </w:rPr>
              <w:t>10Y</w:t>
            </w:r>
          </w:p>
        </w:tc>
        <w:tc>
          <w:tcPr>
            <w:tcW w:type="dxa" w:w="1601"/>
          </w:tcPr>
          <w:p>
            <w:pPr>
              <w:spacing w:after="20" w:before="20" w:line="252" w:lineRule="auto"/>
              <w:jc w:val="center"/>
            </w:pPr>
            <w:r>
              <w:rPr>
                <w:rFonts w:ascii="Calibri" w:hAnsi="Calibri" w:eastAsia="Microsoft YaHei" w:cs="Calibri"/>
                <w:sz w:val="17"/>
              </w:rPr>
              <w:t>4.16</w:t>
            </w:r>
          </w:p>
        </w:tc>
        <w:tc>
          <w:tcPr>
            <w:tcW w:type="dxa" w:w="1601"/>
          </w:tcPr>
          <w:p>
            <w:pPr>
              <w:spacing w:after="20" w:before="20" w:line="252" w:lineRule="auto"/>
              <w:jc w:val="center"/>
            </w:pPr>
            <w:r>
              <w:rPr>
                <w:rFonts w:ascii="Calibri" w:hAnsi="Calibri" w:eastAsia="Microsoft YaHei" w:cs="Calibri"/>
                <w:sz w:val="17"/>
              </w:rPr>
              <w:t>4.44</w:t>
            </w:r>
          </w:p>
        </w:tc>
        <w:tc>
          <w:tcPr>
            <w:tcW w:type="dxa" w:w="1601"/>
          </w:tcPr>
          <w:p>
            <w:pPr>
              <w:spacing w:after="20" w:before="20" w:line="252" w:lineRule="auto"/>
              <w:jc w:val="center"/>
            </w:pPr>
            <w:r>
              <w:rPr>
                <w:rFonts w:ascii="Calibri" w:hAnsi="Calibri" w:eastAsia="Microsoft YaHei" w:cs="Calibri"/>
                <w:sz w:val="17"/>
              </w:rPr>
              <w:t>5.29</w:t>
            </w:r>
          </w:p>
        </w:tc>
        <w:tc>
          <w:tcPr>
            <w:tcW w:type="dxa" w:w="1320"/>
          </w:tcPr>
          <w:p>
            <w:pPr>
              <w:spacing w:after="20" w:before="20" w:line="252" w:lineRule="auto"/>
              <w:jc w:val="center"/>
            </w:pPr>
            <w:r>
              <w:rPr>
                <w:rFonts w:ascii="Calibri" w:hAnsi="Calibri" w:eastAsia="Microsoft YaHei" w:cs="Calibri"/>
                <w:sz w:val="17"/>
              </w:rPr>
              <w:t>+85</w:t>
            </w:r>
          </w:p>
        </w:tc>
        <w:tc>
          <w:tcPr>
            <w:tcW w:type="dxa" w:w="1415"/>
          </w:tcPr>
          <w:p>
            <w:pPr>
              <w:spacing w:after="20" w:before="20" w:line="252" w:lineRule="auto"/>
              <w:jc w:val="center"/>
            </w:pPr>
            <w:r>
              <w:rPr>
                <w:rFonts w:ascii="Calibri" w:hAnsi="Calibri" w:eastAsia="Microsoft YaHei" w:cs="Calibri"/>
                <w:sz w:val="17"/>
              </w:rPr>
              <w:t>+113</w:t>
            </w:r>
          </w:p>
        </w:tc>
      </w:tr>
      <w:tr>
        <w:trPr>
          <w:cantSplit/>
        </w:trPr>
        <w:tc>
          <w:tcPr>
            <w:tcW w:type="dxa" w:w="2214"/>
            <w:shd w:val="clear" w:color="auto" w:fill="F2F5F9"/>
          </w:tcPr>
          <w:p>
            <w:pPr>
              <w:spacing w:after="20" w:before="20" w:line="252" w:lineRule="auto"/>
              <w:jc w:val="left"/>
            </w:pPr>
            <w:r>
              <w:rPr>
                <w:rFonts w:ascii="Calibri" w:hAnsi="Calibri" w:eastAsia="Microsoft YaHei" w:cs="Calibri"/>
                <w:sz w:val="17"/>
              </w:rPr>
              <w:t>20Y</w:t>
            </w:r>
          </w:p>
        </w:tc>
        <w:tc>
          <w:tcPr>
            <w:tcW w:type="dxa" w:w="1601"/>
            <w:shd w:val="clear" w:color="auto" w:fill="F2F5F9"/>
          </w:tcPr>
          <w:p>
            <w:pPr>
              <w:spacing w:after="20" w:before="20" w:line="252" w:lineRule="auto"/>
              <w:jc w:val="center"/>
            </w:pPr>
            <w:r>
              <w:rPr>
                <w:rFonts w:ascii="Calibri" w:hAnsi="Calibri" w:eastAsia="Microsoft YaHei" w:cs="Calibri"/>
                <w:sz w:val="17"/>
              </w:rPr>
              <w:t>4.71</w:t>
            </w:r>
          </w:p>
        </w:tc>
        <w:tc>
          <w:tcPr>
            <w:tcW w:type="dxa" w:w="1601"/>
            <w:shd w:val="clear" w:color="auto" w:fill="F2F5F9"/>
          </w:tcPr>
          <w:p>
            <w:pPr>
              <w:spacing w:after="20" w:before="20" w:line="252" w:lineRule="auto"/>
              <w:jc w:val="center"/>
            </w:pPr>
            <w:r>
              <w:rPr>
                <w:rFonts w:ascii="Calibri" w:hAnsi="Calibri" w:eastAsia="Microsoft YaHei" w:cs="Calibri"/>
                <w:sz w:val="17"/>
              </w:rPr>
              <w:t>4.93</w:t>
            </w:r>
          </w:p>
        </w:tc>
        <w:tc>
          <w:tcPr>
            <w:tcW w:type="dxa" w:w="1601"/>
            <w:shd w:val="clear" w:color="auto" w:fill="F2F5F9"/>
          </w:tcPr>
          <w:p>
            <w:pPr>
              <w:spacing w:after="20" w:before="20" w:line="252" w:lineRule="auto"/>
              <w:jc w:val="center"/>
            </w:pPr>
            <w:r>
              <w:rPr>
                <w:rFonts w:ascii="Calibri" w:hAnsi="Calibri" w:eastAsia="Microsoft YaHei" w:cs="Calibri"/>
                <w:sz w:val="17"/>
              </w:rPr>
              <w:t>5.68</w:t>
            </w:r>
          </w:p>
        </w:tc>
        <w:tc>
          <w:tcPr>
            <w:tcW w:type="dxa" w:w="1320"/>
            <w:shd w:val="clear" w:color="auto" w:fill="F2F5F9"/>
          </w:tcPr>
          <w:p>
            <w:pPr>
              <w:spacing w:after="20" w:before="20" w:line="252" w:lineRule="auto"/>
              <w:jc w:val="center"/>
            </w:pPr>
            <w:r>
              <w:rPr>
                <w:rFonts w:ascii="Calibri" w:hAnsi="Calibri" w:eastAsia="Microsoft YaHei" w:cs="Calibri"/>
                <w:sz w:val="17"/>
              </w:rPr>
              <w:t>+75</w:t>
            </w:r>
          </w:p>
        </w:tc>
        <w:tc>
          <w:tcPr>
            <w:tcW w:type="dxa" w:w="1415"/>
            <w:shd w:val="clear" w:color="auto" w:fill="F2F5F9"/>
          </w:tcPr>
          <w:p>
            <w:pPr>
              <w:spacing w:after="20" w:before="20" w:line="252" w:lineRule="auto"/>
              <w:jc w:val="center"/>
            </w:pPr>
            <w:r>
              <w:rPr>
                <w:rFonts w:ascii="Calibri" w:hAnsi="Calibri" w:eastAsia="Microsoft YaHei" w:cs="Calibri"/>
                <w:sz w:val="17"/>
              </w:rPr>
              <w:t>+97</w:t>
            </w:r>
          </w:p>
        </w:tc>
      </w:tr>
      <w:tr>
        <w:trPr>
          <w:cantSplit/>
        </w:trPr>
        <w:tc>
          <w:tcPr>
            <w:tcW w:type="dxa" w:w="2214"/>
          </w:tcPr>
          <w:p>
            <w:pPr>
              <w:spacing w:after="20" w:before="20" w:line="252" w:lineRule="auto"/>
              <w:jc w:val="left"/>
            </w:pPr>
            <w:r>
              <w:rPr>
                <w:rFonts w:ascii="Calibri" w:hAnsi="Calibri" w:eastAsia="Microsoft YaHei" w:cs="Calibri"/>
                <w:sz w:val="17"/>
              </w:rPr>
              <w:t>30Y</w:t>
            </w:r>
          </w:p>
        </w:tc>
        <w:tc>
          <w:tcPr>
            <w:tcW w:type="dxa" w:w="1601"/>
          </w:tcPr>
          <w:p>
            <w:pPr>
              <w:spacing w:after="20" w:before="20" w:line="252" w:lineRule="auto"/>
              <w:jc w:val="center"/>
            </w:pPr>
            <w:r>
              <w:rPr>
                <w:rFonts w:ascii="Calibri" w:hAnsi="Calibri" w:eastAsia="Microsoft YaHei" w:cs="Calibri"/>
                <w:sz w:val="17"/>
              </w:rPr>
              <w:t>4.73</w:t>
            </w:r>
          </w:p>
        </w:tc>
        <w:tc>
          <w:tcPr>
            <w:tcW w:type="dxa" w:w="1601"/>
          </w:tcPr>
          <w:p>
            <w:pPr>
              <w:spacing w:after="20" w:before="20" w:line="252" w:lineRule="auto"/>
              <w:jc w:val="center"/>
            </w:pPr>
            <w:r>
              <w:rPr>
                <w:rFonts w:ascii="Calibri" w:hAnsi="Calibri" w:eastAsia="Microsoft YaHei" w:cs="Calibri"/>
                <w:sz w:val="17"/>
              </w:rPr>
              <w:t>4.91</w:t>
            </w:r>
          </w:p>
        </w:tc>
        <w:tc>
          <w:tcPr>
            <w:tcW w:type="dxa" w:w="1601"/>
          </w:tcPr>
          <w:p>
            <w:pPr>
              <w:spacing w:after="20" w:before="20" w:line="252" w:lineRule="auto"/>
              <w:jc w:val="center"/>
            </w:pPr>
            <w:r>
              <w:rPr>
                <w:rFonts w:ascii="Calibri" w:hAnsi="Calibri" w:eastAsia="Microsoft YaHei" w:cs="Calibri"/>
                <w:sz w:val="17"/>
              </w:rPr>
              <w:t>5.64</w:t>
            </w:r>
          </w:p>
        </w:tc>
        <w:tc>
          <w:tcPr>
            <w:tcW w:type="dxa" w:w="1320"/>
          </w:tcPr>
          <w:p>
            <w:pPr>
              <w:spacing w:after="20" w:before="20" w:line="252" w:lineRule="auto"/>
              <w:jc w:val="center"/>
            </w:pPr>
            <w:r>
              <w:rPr>
                <w:rFonts w:ascii="Calibri" w:hAnsi="Calibri" w:eastAsia="Microsoft YaHei" w:cs="Calibri"/>
                <w:sz w:val="17"/>
              </w:rPr>
              <w:t>+73</w:t>
            </w:r>
          </w:p>
        </w:tc>
        <w:tc>
          <w:tcPr>
            <w:tcW w:type="dxa" w:w="1415"/>
          </w:tcPr>
          <w:p>
            <w:pPr>
              <w:spacing w:after="20" w:before="20" w:line="252" w:lineRule="auto"/>
              <w:jc w:val="center"/>
            </w:pPr>
            <w:r>
              <w:rPr>
                <w:rFonts w:ascii="Calibri" w:hAnsi="Calibri" w:eastAsia="Microsoft YaHei" w:cs="Calibri"/>
                <w:sz w:val="17"/>
              </w:rPr>
              <w:t>+91</w:t>
            </w:r>
          </w:p>
        </w:tc>
      </w:tr>
      <w:tr>
        <w:trPr>
          <w:cantSplit/>
        </w:trPr>
        <w:tc>
          <w:tcPr>
            <w:tcW w:type="dxa" w:w="2214"/>
            <w:shd w:val="clear" w:color="auto" w:fill="F2F5F9"/>
          </w:tcPr>
          <w:p>
            <w:pPr>
              <w:spacing w:after="20" w:before="20" w:line="252" w:lineRule="auto"/>
              <w:jc w:val="left"/>
            </w:pPr>
            <w:r>
              <w:rPr>
                <w:rFonts w:ascii="Calibri" w:hAnsi="Calibri" w:eastAsia="Microsoft YaHei" w:cs="Calibri"/>
                <w:sz w:val="17"/>
              </w:rPr>
              <w:t>30Y mortgage</w:t>
            </w:r>
          </w:p>
        </w:tc>
        <w:tc>
          <w:tcPr>
            <w:tcW w:type="dxa" w:w="1601"/>
            <w:shd w:val="clear" w:color="auto" w:fill="F2F5F9"/>
          </w:tcPr>
          <w:p>
            <w:pPr>
              <w:spacing w:after="20" w:before="20" w:line="252" w:lineRule="auto"/>
              <w:jc w:val="center"/>
            </w:pPr>
            <w:r>
              <w:rPr>
                <w:rFonts w:ascii="Calibri" w:hAnsi="Calibri" w:eastAsia="Microsoft YaHei" w:cs="Calibri"/>
                <w:sz w:val="17"/>
              </w:rPr>
              <w:t>6.30</w:t>
            </w:r>
          </w:p>
        </w:tc>
        <w:tc>
          <w:tcPr>
            <w:tcW w:type="dxa" w:w="1601"/>
            <w:shd w:val="clear" w:color="auto" w:fill="F2F5F9"/>
          </w:tcPr>
          <w:p>
            <w:pPr>
              <w:spacing w:after="20" w:before="20" w:line="252" w:lineRule="auto"/>
              <w:jc w:val="center"/>
            </w:pPr>
            <w:r>
              <w:rPr>
                <w:rFonts w:ascii="Calibri" w:hAnsi="Calibri" w:eastAsia="Microsoft YaHei" w:cs="Calibri"/>
                <w:sz w:val="17"/>
              </w:rPr>
              <w:t>6.49</w:t>
            </w:r>
          </w:p>
        </w:tc>
        <w:tc>
          <w:tcPr>
            <w:tcW w:type="dxa" w:w="1601"/>
            <w:shd w:val="clear" w:color="auto" w:fill="F2F5F9"/>
          </w:tcPr>
          <w:p>
            <w:pPr>
              <w:spacing w:after="20" w:before="20" w:line="252" w:lineRule="auto"/>
              <w:jc w:val="center"/>
            </w:pPr>
            <w:r>
              <w:rPr>
                <w:rFonts w:ascii="Calibri" w:hAnsi="Calibri" w:eastAsia="Microsoft YaHei" w:cs="Calibri"/>
                <w:sz w:val="17"/>
              </w:rPr>
              <w:t>7.03</w:t>
            </w:r>
          </w:p>
        </w:tc>
        <w:tc>
          <w:tcPr>
            <w:tcW w:type="dxa" w:w="1320"/>
            <w:shd w:val="clear" w:color="auto" w:fill="F2F5F9"/>
          </w:tcPr>
          <w:p>
            <w:pPr>
              <w:spacing w:after="20" w:before="20" w:line="252" w:lineRule="auto"/>
              <w:jc w:val="center"/>
            </w:pPr>
            <w:r>
              <w:rPr>
                <w:rFonts w:ascii="Calibri" w:hAnsi="Calibri" w:eastAsia="Microsoft YaHei" w:cs="Calibri"/>
                <w:sz w:val="17"/>
              </w:rPr>
              <w:t>+54</w:t>
            </w:r>
          </w:p>
        </w:tc>
        <w:tc>
          <w:tcPr>
            <w:tcW w:type="dxa" w:w="1415"/>
            <w:shd w:val="clear" w:color="auto" w:fill="F2F5F9"/>
          </w:tcPr>
          <w:p>
            <w:pPr>
              <w:spacing w:after="20" w:before="20" w:line="252" w:lineRule="auto"/>
              <w:jc w:val="center"/>
            </w:pPr>
            <w:r>
              <w:rPr>
                <w:rFonts w:ascii="Calibri" w:hAnsi="Calibri" w:eastAsia="Microsoft YaHei" w:cs="Calibri"/>
                <w:sz w:val="17"/>
              </w:rPr>
              <w:t>+73</w:t>
            </w:r>
          </w:p>
        </w:tc>
      </w:tr>
      <w:tr>
        <w:trPr>
          <w:cantSplit/>
        </w:trPr>
        <w:tc>
          <w:tcPr>
            <w:tcW w:type="dxa" w:w="2214"/>
          </w:tcPr>
          <w:p>
            <w:pPr>
              <w:spacing w:after="20" w:before="20" w:line="252" w:lineRule="auto"/>
              <w:jc w:val="left"/>
            </w:pPr>
            <w:r>
              <w:rPr>
                <w:rFonts w:ascii="Calibri" w:hAnsi="Calibri" w:eastAsia="Microsoft YaHei" w:cs="Calibri"/>
                <w:sz w:val="17"/>
              </w:rPr>
              <w:t>Fed funds (effective)</w:t>
            </w:r>
          </w:p>
        </w:tc>
        <w:tc>
          <w:tcPr>
            <w:tcW w:type="dxa" w:w="1601"/>
          </w:tcPr>
          <w:p>
            <w:pPr>
              <w:spacing w:after="20" w:before="20" w:line="252" w:lineRule="auto"/>
              <w:jc w:val="center"/>
            </w:pPr>
            <w:r>
              <w:rPr>
                <w:rFonts w:ascii="Calibri" w:hAnsi="Calibri" w:eastAsia="Microsoft YaHei" w:cs="Calibri"/>
                <w:sz w:val="17"/>
              </w:rPr>
              <w:t>4.09</w:t>
            </w:r>
          </w:p>
        </w:tc>
        <w:tc>
          <w:tcPr>
            <w:tcW w:type="dxa" w:w="1601"/>
          </w:tcPr>
          <w:p>
            <w:pPr>
              <w:spacing w:after="20" w:before="20" w:line="252" w:lineRule="auto"/>
              <w:jc w:val="center"/>
            </w:pPr>
            <w:r>
              <w:rPr>
                <w:rFonts w:ascii="Calibri" w:hAnsi="Calibri" w:eastAsia="Microsoft YaHei" w:cs="Calibri"/>
                <w:sz w:val="17"/>
              </w:rPr>
              <w:t>3.63</w:t>
            </w:r>
          </w:p>
        </w:tc>
        <w:tc>
          <w:tcPr>
            <w:tcW w:type="dxa" w:w="1601"/>
          </w:tcPr>
          <w:p>
            <w:pPr>
              <w:spacing w:after="20" w:before="20" w:line="252" w:lineRule="auto"/>
              <w:jc w:val="center"/>
            </w:pPr>
            <w:r>
              <w:rPr>
                <w:rFonts w:ascii="Calibri" w:hAnsi="Calibri" w:eastAsia="Microsoft YaHei" w:cs="Calibri"/>
                <w:sz w:val="17"/>
              </w:rPr>
              <w:t>3.88</w:t>
            </w:r>
          </w:p>
        </w:tc>
        <w:tc>
          <w:tcPr>
            <w:tcW w:type="dxa" w:w="1320"/>
          </w:tcPr>
          <w:p>
            <w:pPr>
              <w:spacing w:after="20" w:before="20" w:line="252" w:lineRule="auto"/>
              <w:jc w:val="center"/>
            </w:pPr>
            <w:r>
              <w:rPr>
                <w:rFonts w:ascii="Calibri" w:hAnsi="Calibri" w:eastAsia="Microsoft YaHei" w:cs="Calibri"/>
                <w:sz w:val="17"/>
              </w:rPr>
              <w:t>+25</w:t>
            </w:r>
          </w:p>
        </w:tc>
        <w:tc>
          <w:tcPr>
            <w:tcW w:type="dxa" w:w="1415"/>
          </w:tcPr>
          <w:p>
            <w:pPr>
              <w:spacing w:after="20" w:before="20" w:line="252" w:lineRule="auto"/>
              <w:jc w:val="center"/>
            </w:pPr>
            <w:r>
              <w:rPr>
                <w:rFonts w:ascii="Calibri" w:hAnsi="Calibri" w:eastAsia="Microsoft YaHei" w:cs="Calibri"/>
                <w:sz w:val="17"/>
              </w:rPr>
              <w:t>-21</w:t>
            </w:r>
          </w:p>
        </w:tc>
      </w:tr>
      <w:tr>
        <w:trPr>
          <w:cantSplit/>
        </w:trPr>
        <w:tc>
          <w:tcPr>
            <w:tcW w:type="dxa" w:w="2214"/>
            <w:shd w:val="clear" w:color="auto" w:fill="F2F5F9"/>
          </w:tcPr>
          <w:p>
            <w:pPr>
              <w:spacing w:after="20" w:before="20" w:line="252" w:lineRule="auto"/>
              <w:jc w:val="left"/>
            </w:pPr>
            <w:r>
              <w:rPr>
                <w:rFonts w:ascii="Calibri" w:hAnsi="Calibri" w:eastAsia="Microsoft YaHei" w:cs="Calibri"/>
                <w:sz w:val="17"/>
              </w:rPr>
              <w:t>2s10s (bp)</w:t>
            </w:r>
          </w:p>
        </w:tc>
        <w:tc>
          <w:tcPr>
            <w:tcW w:type="dxa" w:w="1601"/>
            <w:shd w:val="clear" w:color="auto" w:fill="F2F5F9"/>
          </w:tcPr>
          <w:p>
            <w:pPr>
              <w:spacing w:after="20" w:before="20" w:line="252" w:lineRule="auto"/>
              <w:jc w:val="center"/>
            </w:pPr>
            <w:r>
              <w:rPr>
                <w:rFonts w:ascii="Calibri" w:hAnsi="Calibri" w:eastAsia="Microsoft YaHei" w:cs="Calibri"/>
                <w:sz w:val="17"/>
              </w:rPr>
              <w:t>56</w:t>
            </w:r>
          </w:p>
        </w:tc>
        <w:tc>
          <w:tcPr>
            <w:tcW w:type="dxa" w:w="1601"/>
            <w:shd w:val="clear" w:color="auto" w:fill="F2F5F9"/>
          </w:tcPr>
          <w:p>
            <w:pPr>
              <w:spacing w:after="20" w:before="20" w:line="252" w:lineRule="auto"/>
              <w:jc w:val="center"/>
            </w:pPr>
            <w:r>
              <w:rPr>
                <w:rFonts w:ascii="Calibri" w:hAnsi="Calibri" w:eastAsia="Microsoft YaHei" w:cs="Calibri"/>
                <w:sz w:val="17"/>
              </w:rPr>
              <w:t>30</w:t>
            </w:r>
          </w:p>
        </w:tc>
        <w:tc>
          <w:tcPr>
            <w:tcW w:type="dxa" w:w="1601"/>
            <w:shd w:val="clear" w:color="auto" w:fill="F2F5F9"/>
          </w:tcPr>
          <w:p>
            <w:pPr>
              <w:spacing w:after="20" w:before="20" w:line="252" w:lineRule="auto"/>
              <w:jc w:val="center"/>
            </w:pPr>
            <w:r>
              <w:rPr>
                <w:rFonts w:ascii="Calibri" w:hAnsi="Calibri" w:eastAsia="Microsoft YaHei" w:cs="Calibri"/>
                <w:sz w:val="17"/>
              </w:rPr>
              <w:t>41</w:t>
            </w:r>
          </w:p>
        </w:tc>
        <w:tc>
          <w:tcPr>
            <w:tcW w:type="dxa" w:w="1320"/>
            <w:shd w:val="clear" w:color="auto" w:fill="F2F5F9"/>
          </w:tcPr>
          <w:p>
            <w:pPr>
              <w:spacing w:after="20" w:before="20" w:line="252" w:lineRule="auto"/>
              <w:jc w:val="center"/>
            </w:pPr>
            <w:r>
              <w:rPr>
                <w:rFonts w:ascii="Calibri" w:hAnsi="Calibri" w:eastAsia="Microsoft YaHei" w:cs="Calibri"/>
                <w:sz w:val="17"/>
              </w:rPr>
              <w:t>+11</w:t>
            </w:r>
          </w:p>
        </w:tc>
        <w:tc>
          <w:tcPr>
            <w:tcW w:type="dxa" w:w="1415"/>
            <w:shd w:val="clear" w:color="auto" w:fill="F2F5F9"/>
          </w:tcPr>
          <w:p>
            <w:pPr>
              <w:spacing w:after="20" w:before="20" w:line="252" w:lineRule="auto"/>
              <w:jc w:val="center"/>
            </w:pPr>
            <w:r>
              <w:rPr>
                <w:rFonts w:ascii="Calibri" w:hAnsi="Calibri" w:eastAsia="Microsoft YaHei" w:cs="Calibri"/>
                <w:sz w:val="17"/>
              </w:rPr>
              <w:t>-15</w:t>
            </w:r>
          </w:p>
        </w:tc>
      </w:tr>
    </w:tbl>
    <w:p>
      <w:pPr>
        <w:spacing w:after="40"/>
      </w:pPr>
    </w:p>
    <w:p>
      <w:r>
        <w:rPr>
          <w:rFonts w:ascii="Calibri" w:hAnsi="Calibri" w:eastAsia="Microsoft YaHei" w:cs="Calibri"/>
          <w:i/>
          <w:sz w:val="21"/>
        </w:rPr>
        <w:t>Source: FRED. 2s10s and changes are in bp; the rest in %.</w:t>
      </w:r>
    </w:p>
    <w:p>
      <w:pPr>
        <w:pStyle w:val="Heading3"/>
      </w:pPr>
      <w:r>
        <w:rPr>
          <w:rFonts w:ascii="Calibri" w:hAnsi="Calibri" w:eastAsia="Microsoft YaHei" w:cs="Calibri"/>
          <w:b/>
          <w:color w:val="1F4E79"/>
          <w:sz w:val="24"/>
        </w:rPr>
        <w:t>How to read it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Shape</w:t>
      </w:r>
      <w:r>
        <w:rPr>
          <w:rFonts w:ascii="Calibri" w:hAnsi="Calibri" w:eastAsia="Microsoft YaHei" w:cs="Calibri"/>
          <w:sz w:val="21"/>
        </w:rPr>
        <w:t>: the Q3 rise was not parallel. The short end (1M-6M) rose only about 32-33bp, 1Y rose 56bp, 2Y 74bp, 3Y-7Y 85-90bp (the 5Y was the largest), 10Y 85bp, and 20Y-30Y about 73-75bp. The belly (around 5Y) moved the most, so the slope between 3M and 5Y steepened sharply.</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2s10s</w:t>
      </w:r>
      <w:r>
        <w:rPr>
          <w:rFonts w:ascii="Calibri" w:hAnsi="Calibri" w:eastAsia="Microsoft YaHei" w:cs="Calibri"/>
          <w:sz w:val="21"/>
        </w:rPr>
        <w:t>: 41bp at quarter-end vs. 30bp at the start, only 11bp wider, but the path was uneven: it narrowed to about 22bp on 9/22 (Figure 3, right).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Year-on-year (comparability)</w:t>
      </w:r>
      <w:r>
        <w:rPr>
          <w:rFonts w:ascii="Calibri" w:hAnsi="Calibri" w:eastAsia="Microsoft YaHei" w:cs="Calibri"/>
          <w:sz w:val="21"/>
        </w:rPr>
        <w:t>: versus a year earlier (2025-09-30), the 2Y is 128bp higher and the 10Y 113bp higher, while the effective fed funds rate is actually 21bp lower (4.09% to 3.88%). The rise in the intermediate and long end was mainly not driven by the policy rate. 2s10s is narrower YoY (56bp to 41bp).</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Average vs. exit</w:t>
      </w:r>
      <w:r>
        <w:rPr>
          <w:rFonts w:ascii="Calibri" w:hAnsi="Calibri" w:eastAsia="Microsoft YaHei" w:cs="Calibri"/>
          <w:sz w:val="21"/>
        </w:rPr>
        <w:t>: the effective fed funds rate averaged only 4bp above Q2 in Q3, since the hike came on 9/16; it ended 25bp above 6/30. Most of the rise in liability costs lands in Q4.</w:t>
      </w:r>
    </w:p>
    <w:p>
      <w:pPr>
        <w:keepNext/>
        <w:spacing w:before="120"/>
        <w:jc w:val="center"/>
      </w:pPr>
      <w:r>
        <w:drawing>
          <wp:inline xmlns:a="http://schemas.openxmlformats.org/drawingml/2006/main" xmlns:pic="http://schemas.openxmlformats.org/drawingml/2006/picture">
            <wp:extent cx="6048000" cy="2595898"/>
            <wp:docPr id="2" name="Picture 2"/>
            <wp:cNvGraphicFramePr>
              <a:graphicFrameLocks noChangeAspect="1"/>
            </wp:cNvGraphicFramePr>
            <a:graphic>
              <a:graphicData uri="http://schemas.openxmlformats.org/drawingml/2006/picture">
                <pic:pic>
                  <pic:nvPicPr>
                    <pic:cNvPr id="0" name="f02_rate_bars.png"/>
                    <pic:cNvPicPr/>
                  </pic:nvPicPr>
                  <pic:blipFill>
                    <a:blip r:embed="rId12"/>
                    <a:stretch>
                      <a:fillRect/>
                    </a:stretch>
                  </pic:blipFill>
                  <pic:spPr>
                    <a:xfrm>
                      <a:off x="0" y="0"/>
                      <a:ext cx="6048000" cy="2595898"/>
                    </a:xfrm>
                    <a:prstGeom prst="rect"/>
                  </pic:spPr>
                </pic:pic>
              </a:graphicData>
            </a:graphic>
          </wp:inline>
        </w:drawing>
      </w:r>
    </w:p>
    <w:p>
      <w:pPr>
        <w:spacing w:after="200"/>
        <w:jc w:val="center"/>
      </w:pPr>
      <w:r>
        <w:rPr>
          <w:rFonts w:ascii="Calibri" w:hAnsi="Calibri" w:eastAsia="Microsoft YaHei" w:cs="Calibri"/>
          <w:i/>
          <w:color w:val="555555"/>
          <w:sz w:val="18"/>
        </w:rPr>
        <w:t>Figure 2. Policy and benchmark rates at each quarter-end (bar chart)</w:t>
      </w:r>
    </w:p>
    <w:p>
      <w:pPr>
        <w:keepNext/>
        <w:spacing w:before="120"/>
        <w:jc w:val="center"/>
      </w:pPr>
      <w:r>
        <w:drawing>
          <wp:inline xmlns:a="http://schemas.openxmlformats.org/drawingml/2006/main" xmlns:pic="http://schemas.openxmlformats.org/drawingml/2006/picture">
            <wp:extent cx="6048000" cy="2525650"/>
            <wp:docPr id="3" name="Picture 3"/>
            <wp:cNvGraphicFramePr>
              <a:graphicFrameLocks noChangeAspect="1"/>
            </wp:cNvGraphicFramePr>
            <a:graphic>
              <a:graphicData uri="http://schemas.openxmlformats.org/drawingml/2006/picture">
                <pic:pic>
                  <pic:nvPicPr>
                    <pic:cNvPr id="0" name="f03_q3_path.png"/>
                    <pic:cNvPicPr/>
                  </pic:nvPicPr>
                  <pic:blipFill>
                    <a:blip r:embed="rId13"/>
                    <a:stretch>
                      <a:fillRect/>
                    </a:stretch>
                  </pic:blipFill>
                  <pic:spPr>
                    <a:xfrm>
                      <a:off x="0" y="0"/>
                      <a:ext cx="6048000" cy="2525650"/>
                    </a:xfrm>
                    <a:prstGeom prst="rect"/>
                  </pic:spPr>
                </pic:pic>
              </a:graphicData>
            </a:graphic>
          </wp:inline>
        </w:drawing>
      </w:r>
    </w:p>
    <w:p>
      <w:pPr>
        <w:spacing w:after="200"/>
        <w:jc w:val="center"/>
      </w:pPr>
      <w:r>
        <w:rPr>
          <w:rFonts w:ascii="Calibri" w:hAnsi="Calibri" w:eastAsia="Microsoft YaHei" w:cs="Calibri"/>
          <w:i/>
          <w:color w:val="555555"/>
          <w:sz w:val="18"/>
        </w:rPr>
        <w:t>Figure 3. Q3 daily path (left) and 2s10s spread (right)</w:t>
      </w:r>
    </w:p>
    <w:p>
      <w:r>
        <w:rPr>
          <w:rFonts w:ascii="Calibri" w:hAnsi="Calibri" w:eastAsia="Microsoft YaHei" w:cs="Calibri"/>
          <w:i/>
          <w:sz w:val="21"/>
        </w:rPr>
        <w:t>Figure 2 puts nine quarters side by side: from 2025Q3 to 2026Q2 the effective policy rate fell from 4.09% to 3.63% while the 10Y rose from 4.16% to 4.44%, and in 2026Q3 the long end rose sharply again. That is the background for Q3's 'long end first, policy rate later' pattern.</w:t>
      </w:r>
    </w:p>
    <w:p>
      <w:pPr>
        <w:pStyle w:val="Heading2"/>
      </w:pPr>
      <w:r>
        <w:rPr>
          <w:rFonts w:ascii="Calibri" w:hAnsi="Calibri" w:eastAsia="Microsoft YaHei" w:cs="Calibri"/>
          <w:b/>
          <w:color w:val="1F4E79"/>
          <w:sz w:val="28"/>
        </w:rPr>
        <w:t>12. How the term-structure move feeds deposit cost and loan income</w:t>
      </w:r>
    </w:p>
    <w:p>
      <w:pPr>
        <w:keepNext/>
        <w:spacing w:before="120"/>
        <w:jc w:val="center"/>
      </w:pPr>
      <w:r>
        <w:drawing>
          <wp:inline xmlns:a="http://schemas.openxmlformats.org/drawingml/2006/main" xmlns:pic="http://schemas.openxmlformats.org/drawingml/2006/picture">
            <wp:extent cx="6048000" cy="2727978"/>
            <wp:docPr id="4" name="Picture 4"/>
            <wp:cNvGraphicFramePr>
              <a:graphicFrameLocks noChangeAspect="1"/>
            </wp:cNvGraphicFramePr>
            <a:graphic>
              <a:graphicData uri="http://schemas.openxmlformats.org/drawingml/2006/picture">
                <pic:pic>
                  <pic:nvPicPr>
                    <pic:cNvPr id="0" name="f04_transmission.png"/>
                    <pic:cNvPicPr/>
                  </pic:nvPicPr>
                  <pic:blipFill>
                    <a:blip r:embed="rId14"/>
                    <a:stretch>
                      <a:fillRect/>
                    </a:stretch>
                  </pic:blipFill>
                  <pic:spPr>
                    <a:xfrm>
                      <a:off x="0" y="0"/>
                      <a:ext cx="6048000" cy="2727978"/>
                    </a:xfrm>
                    <a:prstGeom prst="rect"/>
                  </pic:spPr>
                </pic:pic>
              </a:graphicData>
            </a:graphic>
          </wp:inline>
        </w:drawing>
      </w:r>
    </w:p>
    <w:p>
      <w:pPr>
        <w:spacing w:after="200"/>
        <w:jc w:val="center"/>
      </w:pPr>
      <w:r>
        <w:rPr>
          <w:rFonts w:ascii="Calibri" w:hAnsi="Calibri" w:eastAsia="Microsoft YaHei" w:cs="Calibri"/>
          <w:i/>
          <w:color w:val="555555"/>
          <w:sz w:val="18"/>
        </w:rPr>
        <w:t>Figure 4. Change in reference rates (left) and annualised effect per $100bn that reprices (right)</w:t>
      </w:r>
    </w:p>
    <w:tbl>
      <w:tblPr>
        <w:tblStyle w:val="TableGrid"/>
        <w:tblW w:type="auto" w:w="0"/>
        <w:jc w:val="center"/>
        <w:tblLayout w:type="fixed"/>
        <w:tblLook w:firstColumn="1" w:firstRow="1" w:lastColumn="0" w:lastRow="0" w:noHBand="0" w:noVBand="1" w:val="04A0"/>
      </w:tblPr>
      <w:tblGrid>
        <w:gridCol w:w="2983"/>
        <w:gridCol w:w="3096"/>
        <w:gridCol w:w="2157"/>
        <w:gridCol w:w="1515"/>
      </w:tblGrid>
      <w:tr>
        <w:trPr>
          <w:tblHeader w:val="true"/>
          <w:cantSplit/>
        </w:trPr>
        <w:tc>
          <w:tcPr>
            <w:tcW w:type="dxa" w:w="2983"/>
            <w:shd w:val="clear" w:color="auto" w:fill="1F4E79"/>
          </w:tcPr>
          <w:p>
            <w:pPr>
              <w:spacing w:after="20" w:before="20" w:line="252" w:lineRule="auto"/>
              <w:jc w:val="center"/>
            </w:pPr>
            <w:r>
              <w:rPr>
                <w:rFonts w:ascii="Calibri" w:hAnsi="Calibri" w:eastAsia="Microsoft YaHei" w:cs="Calibri"/>
                <w:b/>
                <w:color w:val="FFFFFF"/>
                <w:sz w:val="18"/>
              </w:rPr>
              <w:t>Bank product / asset</w:t>
            </w:r>
          </w:p>
        </w:tc>
        <w:tc>
          <w:tcPr>
            <w:tcW w:type="dxa" w:w="3096"/>
            <w:shd w:val="clear" w:color="auto" w:fill="1F4E79"/>
          </w:tcPr>
          <w:p>
            <w:pPr>
              <w:spacing w:after="20" w:before="20" w:line="252" w:lineRule="auto"/>
              <w:jc w:val="center"/>
            </w:pPr>
            <w:r>
              <w:rPr>
                <w:rFonts w:ascii="Calibri" w:hAnsi="Calibri" w:eastAsia="Microsoft YaHei" w:cs="Calibri"/>
                <w:b/>
                <w:color w:val="FFFFFF"/>
                <w:sz w:val="18"/>
              </w:rPr>
              <w:t>Reference rate</w:t>
            </w:r>
          </w:p>
        </w:tc>
        <w:tc>
          <w:tcPr>
            <w:tcW w:type="dxa" w:w="2157"/>
            <w:shd w:val="clear" w:color="auto" w:fill="1F4E79"/>
          </w:tcPr>
          <w:p>
            <w:pPr>
              <w:spacing w:after="20" w:before="20" w:line="252" w:lineRule="auto"/>
              <w:jc w:val="center"/>
            </w:pPr>
            <w:r>
              <w:rPr>
                <w:rFonts w:ascii="Calibri" w:hAnsi="Calibri" w:eastAsia="Microsoft YaHei" w:cs="Calibri"/>
                <w:b/>
                <w:color w:val="FFFFFF"/>
                <w:sz w:val="18"/>
              </w:rPr>
              <w:t>Q3 change (bp)</w:t>
            </w:r>
          </w:p>
        </w:tc>
        <w:tc>
          <w:tcPr>
            <w:tcW w:type="dxa" w:w="1515"/>
            <w:shd w:val="clear" w:color="auto" w:fill="1F4E79"/>
          </w:tcPr>
          <w:p>
            <w:pPr>
              <w:spacing w:after="20" w:before="20" w:line="252" w:lineRule="auto"/>
              <w:jc w:val="center"/>
            </w:pPr>
            <w:r>
              <w:rPr>
                <w:rFonts w:ascii="Calibri" w:hAnsi="Calibri" w:eastAsia="Microsoft YaHei" w:cs="Calibri"/>
                <w:b/>
                <w:color w:val="FFFFFF"/>
                <w:sz w:val="18"/>
              </w:rPr>
              <w:t>Side</w:t>
            </w:r>
          </w:p>
        </w:tc>
      </w:tr>
      <w:tr>
        <w:trPr>
          <w:cantSplit/>
        </w:trPr>
        <w:tc>
          <w:tcPr>
            <w:tcW w:type="dxa" w:w="2983"/>
          </w:tcPr>
          <w:p>
            <w:pPr>
              <w:spacing w:after="20" w:before="20" w:line="252" w:lineRule="auto"/>
              <w:jc w:val="left"/>
            </w:pPr>
            <w:r>
              <w:rPr>
                <w:rFonts w:ascii="Calibri" w:hAnsi="Calibri" w:eastAsia="Microsoft YaHei" w:cs="Calibri"/>
                <w:sz w:val="18"/>
              </w:rPr>
              <w:t>Core deposits (avg)</w:t>
            </w:r>
          </w:p>
        </w:tc>
        <w:tc>
          <w:tcPr>
            <w:tcW w:type="dxa" w:w="3096"/>
          </w:tcPr>
          <w:p>
            <w:pPr>
              <w:spacing w:after="20" w:before="20" w:line="252" w:lineRule="auto"/>
              <w:jc w:val="left"/>
            </w:pPr>
            <w:r>
              <w:rPr>
                <w:rFonts w:ascii="Calibri" w:hAnsi="Calibri" w:eastAsia="Microsoft YaHei" w:cs="Calibri"/>
                <w:sz w:val="18"/>
              </w:rPr>
              <w:t>Fed funds (Q3 average)</w:t>
            </w:r>
          </w:p>
        </w:tc>
        <w:tc>
          <w:tcPr>
            <w:tcW w:type="dxa" w:w="2157"/>
          </w:tcPr>
          <w:p>
            <w:pPr>
              <w:spacing w:after="20" w:before="20" w:line="252" w:lineRule="auto"/>
              <w:jc w:val="center"/>
            </w:pPr>
            <w:r>
              <w:rPr>
                <w:rFonts w:ascii="Calibri" w:hAnsi="Calibri" w:eastAsia="Microsoft YaHei" w:cs="Calibri"/>
                <w:sz w:val="18"/>
              </w:rPr>
              <w:t>+4</w:t>
            </w:r>
          </w:p>
        </w:tc>
        <w:tc>
          <w:tcPr>
            <w:tcW w:type="dxa" w:w="1515"/>
          </w:tcPr>
          <w:p>
            <w:pPr>
              <w:spacing w:after="20" w:before="20" w:line="252" w:lineRule="auto"/>
              <w:jc w:val="center"/>
            </w:pPr>
            <w:r>
              <w:rPr>
                <w:rFonts w:ascii="Calibri" w:hAnsi="Calibri" w:eastAsia="Microsoft YaHei" w:cs="Calibri"/>
                <w:sz w:val="18"/>
              </w:rPr>
              <w:t>Liability</w:t>
            </w:r>
          </w:p>
        </w:tc>
      </w:tr>
      <w:tr>
        <w:trPr>
          <w:cantSplit/>
        </w:trPr>
        <w:tc>
          <w:tcPr>
            <w:tcW w:type="dxa" w:w="2983"/>
            <w:shd w:val="clear" w:color="auto" w:fill="F2F5F9"/>
          </w:tcPr>
          <w:p>
            <w:pPr>
              <w:spacing w:after="20" w:before="20" w:line="252" w:lineRule="auto"/>
              <w:jc w:val="left"/>
            </w:pPr>
            <w:r>
              <w:rPr>
                <w:rFonts w:ascii="Calibri" w:hAnsi="Calibri" w:eastAsia="Microsoft YaHei" w:cs="Calibri"/>
                <w:sz w:val="18"/>
              </w:rPr>
              <w:t>Core deposits (exit)</w:t>
            </w:r>
          </w:p>
        </w:tc>
        <w:tc>
          <w:tcPr>
            <w:tcW w:type="dxa" w:w="3096"/>
            <w:shd w:val="clear" w:color="auto" w:fill="F2F5F9"/>
          </w:tcPr>
          <w:p>
            <w:pPr>
              <w:spacing w:after="20" w:before="20" w:line="252" w:lineRule="auto"/>
              <w:jc w:val="center"/>
            </w:pPr>
            <w:r>
              <w:rPr>
                <w:rFonts w:ascii="Calibri" w:hAnsi="Calibri" w:eastAsia="Microsoft YaHei" w:cs="Calibri"/>
                <w:sz w:val="18"/>
              </w:rPr>
              <w:t>Fed funds (exit)</w:t>
            </w:r>
          </w:p>
        </w:tc>
        <w:tc>
          <w:tcPr>
            <w:tcW w:type="dxa" w:w="2157"/>
            <w:shd w:val="clear" w:color="auto" w:fill="F2F5F9"/>
          </w:tcPr>
          <w:p>
            <w:pPr>
              <w:spacing w:after="20" w:before="20" w:line="252" w:lineRule="auto"/>
              <w:jc w:val="center"/>
            </w:pPr>
            <w:r>
              <w:rPr>
                <w:rFonts w:ascii="Calibri" w:hAnsi="Calibri" w:eastAsia="Microsoft YaHei" w:cs="Calibri"/>
                <w:sz w:val="18"/>
              </w:rPr>
              <w:t>+25</w:t>
            </w:r>
          </w:p>
        </w:tc>
        <w:tc>
          <w:tcPr>
            <w:tcW w:type="dxa" w:w="1515"/>
            <w:shd w:val="clear" w:color="auto" w:fill="F2F5F9"/>
          </w:tcPr>
          <w:p>
            <w:pPr>
              <w:spacing w:after="20" w:before="20" w:line="252" w:lineRule="auto"/>
              <w:jc w:val="center"/>
            </w:pPr>
            <w:r>
              <w:rPr>
                <w:rFonts w:ascii="Calibri" w:hAnsi="Calibri" w:eastAsia="Microsoft YaHei" w:cs="Calibri"/>
                <w:sz w:val="18"/>
              </w:rPr>
              <w:t>Liability</w:t>
            </w:r>
          </w:p>
        </w:tc>
      </w:tr>
      <w:tr>
        <w:trPr>
          <w:cantSplit/>
        </w:trPr>
        <w:tc>
          <w:tcPr>
            <w:tcW w:type="dxa" w:w="2983"/>
          </w:tcPr>
          <w:p>
            <w:pPr>
              <w:spacing w:after="20" w:before="20" w:line="252" w:lineRule="auto"/>
              <w:jc w:val="left"/>
            </w:pPr>
            <w:r>
              <w:rPr>
                <w:rFonts w:ascii="Calibri" w:hAnsi="Calibri" w:eastAsia="Microsoft YaHei" w:cs="Calibri"/>
                <w:sz w:val="18"/>
              </w:rPr>
              <w:t>Wholesale / CD</w:t>
            </w:r>
          </w:p>
        </w:tc>
        <w:tc>
          <w:tcPr>
            <w:tcW w:type="dxa" w:w="3096"/>
          </w:tcPr>
          <w:p>
            <w:pPr>
              <w:spacing w:after="20" w:before="20" w:line="252" w:lineRule="auto"/>
              <w:jc w:val="center"/>
            </w:pPr>
            <w:r>
              <w:rPr>
                <w:rFonts w:ascii="Calibri" w:hAnsi="Calibri" w:eastAsia="Microsoft YaHei" w:cs="Calibri"/>
                <w:sz w:val="18"/>
              </w:rPr>
              <w:t>3M</w:t>
            </w:r>
          </w:p>
        </w:tc>
        <w:tc>
          <w:tcPr>
            <w:tcW w:type="dxa" w:w="2157"/>
          </w:tcPr>
          <w:p>
            <w:pPr>
              <w:spacing w:after="20" w:before="20" w:line="252" w:lineRule="auto"/>
              <w:jc w:val="center"/>
            </w:pPr>
            <w:r>
              <w:rPr>
                <w:rFonts w:ascii="Calibri" w:hAnsi="Calibri" w:eastAsia="Microsoft YaHei" w:cs="Calibri"/>
                <w:sz w:val="18"/>
              </w:rPr>
              <w:t>+33</w:t>
            </w:r>
          </w:p>
        </w:tc>
        <w:tc>
          <w:tcPr>
            <w:tcW w:type="dxa" w:w="1515"/>
          </w:tcPr>
          <w:p>
            <w:pPr>
              <w:spacing w:after="20" w:before="20" w:line="252" w:lineRule="auto"/>
              <w:jc w:val="center"/>
            </w:pPr>
            <w:r>
              <w:rPr>
                <w:rFonts w:ascii="Calibri" w:hAnsi="Calibri" w:eastAsia="Microsoft YaHei" w:cs="Calibri"/>
                <w:sz w:val="18"/>
              </w:rPr>
              <w:t>Liability</w:t>
            </w:r>
          </w:p>
        </w:tc>
      </w:tr>
      <w:tr>
        <w:trPr>
          <w:cantSplit/>
        </w:trPr>
        <w:tc>
          <w:tcPr>
            <w:tcW w:type="dxa" w:w="2983"/>
            <w:shd w:val="clear" w:color="auto" w:fill="F2F5F9"/>
          </w:tcPr>
          <w:p>
            <w:pPr>
              <w:spacing w:after="20" w:before="20" w:line="252" w:lineRule="auto"/>
              <w:jc w:val="left"/>
            </w:pPr>
            <w:r>
              <w:rPr>
                <w:rFonts w:ascii="Calibri" w:hAnsi="Calibri" w:eastAsia="Microsoft YaHei" w:cs="Calibri"/>
                <w:sz w:val="18"/>
              </w:rPr>
              <w:t>1Y CD</w:t>
            </w:r>
          </w:p>
        </w:tc>
        <w:tc>
          <w:tcPr>
            <w:tcW w:type="dxa" w:w="3096"/>
            <w:shd w:val="clear" w:color="auto" w:fill="F2F5F9"/>
          </w:tcPr>
          <w:p>
            <w:pPr>
              <w:spacing w:after="20" w:before="20" w:line="252" w:lineRule="auto"/>
              <w:jc w:val="center"/>
            </w:pPr>
            <w:r>
              <w:rPr>
                <w:rFonts w:ascii="Calibri" w:hAnsi="Calibri" w:eastAsia="Microsoft YaHei" w:cs="Calibri"/>
                <w:sz w:val="18"/>
              </w:rPr>
              <w:t>1Y</w:t>
            </w:r>
          </w:p>
        </w:tc>
        <w:tc>
          <w:tcPr>
            <w:tcW w:type="dxa" w:w="2157"/>
            <w:shd w:val="clear" w:color="auto" w:fill="F2F5F9"/>
          </w:tcPr>
          <w:p>
            <w:pPr>
              <w:spacing w:after="20" w:before="20" w:line="252" w:lineRule="auto"/>
              <w:jc w:val="center"/>
            </w:pPr>
            <w:r>
              <w:rPr>
                <w:rFonts w:ascii="Calibri" w:hAnsi="Calibri" w:eastAsia="Microsoft YaHei" w:cs="Calibri"/>
                <w:sz w:val="18"/>
              </w:rPr>
              <w:t>+56</w:t>
            </w:r>
          </w:p>
        </w:tc>
        <w:tc>
          <w:tcPr>
            <w:tcW w:type="dxa" w:w="1515"/>
            <w:shd w:val="clear" w:color="auto" w:fill="F2F5F9"/>
          </w:tcPr>
          <w:p>
            <w:pPr>
              <w:spacing w:after="20" w:before="20" w:line="252" w:lineRule="auto"/>
              <w:jc w:val="center"/>
            </w:pPr>
            <w:r>
              <w:rPr>
                <w:rFonts w:ascii="Calibri" w:hAnsi="Calibri" w:eastAsia="Microsoft YaHei" w:cs="Calibri"/>
                <w:sz w:val="18"/>
              </w:rPr>
              <w:t>Liability</w:t>
            </w:r>
          </w:p>
        </w:tc>
      </w:tr>
      <w:tr>
        <w:trPr>
          <w:cantSplit/>
        </w:trPr>
        <w:tc>
          <w:tcPr>
            <w:tcW w:type="dxa" w:w="2983"/>
          </w:tcPr>
          <w:p>
            <w:pPr>
              <w:spacing w:after="20" w:before="20" w:line="252" w:lineRule="auto"/>
              <w:jc w:val="left"/>
            </w:pPr>
            <w:r>
              <w:rPr>
                <w:rFonts w:ascii="Calibri" w:hAnsi="Calibri" w:eastAsia="Microsoft YaHei" w:cs="Calibri"/>
                <w:sz w:val="18"/>
              </w:rPr>
              <w:t>Short securities</w:t>
            </w:r>
          </w:p>
        </w:tc>
        <w:tc>
          <w:tcPr>
            <w:tcW w:type="dxa" w:w="3096"/>
          </w:tcPr>
          <w:p>
            <w:pPr>
              <w:spacing w:after="20" w:before="20" w:line="252" w:lineRule="auto"/>
              <w:jc w:val="center"/>
            </w:pPr>
            <w:r>
              <w:rPr>
                <w:rFonts w:ascii="Calibri" w:hAnsi="Calibri" w:eastAsia="Microsoft YaHei" w:cs="Calibri"/>
                <w:sz w:val="18"/>
              </w:rPr>
              <w:t>2Y</w:t>
            </w:r>
          </w:p>
        </w:tc>
        <w:tc>
          <w:tcPr>
            <w:tcW w:type="dxa" w:w="2157"/>
          </w:tcPr>
          <w:p>
            <w:pPr>
              <w:spacing w:after="20" w:before="20" w:line="252" w:lineRule="auto"/>
              <w:jc w:val="center"/>
            </w:pPr>
            <w:r>
              <w:rPr>
                <w:rFonts w:ascii="Calibri" w:hAnsi="Calibri" w:eastAsia="Microsoft YaHei" w:cs="Calibri"/>
                <w:sz w:val="18"/>
              </w:rPr>
              <w:t>+74</w:t>
            </w:r>
          </w:p>
        </w:tc>
        <w:tc>
          <w:tcPr>
            <w:tcW w:type="dxa" w:w="1515"/>
          </w:tcPr>
          <w:p>
            <w:pPr>
              <w:spacing w:after="20" w:before="20" w:line="252" w:lineRule="auto"/>
              <w:jc w:val="center"/>
            </w:pPr>
            <w:r>
              <w:rPr>
                <w:rFonts w:ascii="Calibri" w:hAnsi="Calibri" w:eastAsia="Microsoft YaHei" w:cs="Calibri"/>
                <w:sz w:val="18"/>
              </w:rPr>
              <w:t>Asset</w:t>
            </w:r>
          </w:p>
        </w:tc>
      </w:tr>
      <w:tr>
        <w:trPr>
          <w:cantSplit/>
        </w:trPr>
        <w:tc>
          <w:tcPr>
            <w:tcW w:type="dxa" w:w="2983"/>
            <w:shd w:val="clear" w:color="auto" w:fill="F2F5F9"/>
          </w:tcPr>
          <w:p>
            <w:pPr>
              <w:spacing w:after="20" w:before="20" w:line="252" w:lineRule="auto"/>
              <w:jc w:val="left"/>
            </w:pPr>
            <w:r>
              <w:rPr>
                <w:rFonts w:ascii="Calibri" w:hAnsi="Calibri" w:eastAsia="Microsoft YaHei" w:cs="Calibri"/>
                <w:sz w:val="18"/>
              </w:rPr>
              <w:t>C&amp;I / auto loans</w:t>
            </w:r>
          </w:p>
        </w:tc>
        <w:tc>
          <w:tcPr>
            <w:tcW w:type="dxa" w:w="3096"/>
            <w:shd w:val="clear" w:color="auto" w:fill="F2F5F9"/>
          </w:tcPr>
          <w:p>
            <w:pPr>
              <w:spacing w:after="20" w:before="20" w:line="252" w:lineRule="auto"/>
              <w:jc w:val="center"/>
            </w:pPr>
            <w:r>
              <w:rPr>
                <w:rFonts w:ascii="Calibri" w:hAnsi="Calibri" w:eastAsia="Microsoft YaHei" w:cs="Calibri"/>
                <w:sz w:val="18"/>
              </w:rPr>
              <w:t>5Y</w:t>
            </w:r>
          </w:p>
        </w:tc>
        <w:tc>
          <w:tcPr>
            <w:tcW w:type="dxa" w:w="2157"/>
            <w:shd w:val="clear" w:color="auto" w:fill="F2F5F9"/>
          </w:tcPr>
          <w:p>
            <w:pPr>
              <w:spacing w:after="20" w:before="20" w:line="252" w:lineRule="auto"/>
              <w:jc w:val="center"/>
            </w:pPr>
            <w:r>
              <w:rPr>
                <w:rFonts w:ascii="Calibri" w:hAnsi="Calibri" w:eastAsia="Microsoft YaHei" w:cs="Calibri"/>
                <w:sz w:val="18"/>
              </w:rPr>
              <w:t>+90</w:t>
            </w:r>
          </w:p>
        </w:tc>
        <w:tc>
          <w:tcPr>
            <w:tcW w:type="dxa" w:w="1515"/>
            <w:shd w:val="clear" w:color="auto" w:fill="F2F5F9"/>
          </w:tcPr>
          <w:p>
            <w:pPr>
              <w:spacing w:after="20" w:before="20" w:line="252" w:lineRule="auto"/>
              <w:jc w:val="center"/>
            </w:pPr>
            <w:r>
              <w:rPr>
                <w:rFonts w:ascii="Calibri" w:hAnsi="Calibri" w:eastAsia="Microsoft YaHei" w:cs="Calibri"/>
                <w:sz w:val="18"/>
              </w:rPr>
              <w:t>Asset</w:t>
            </w:r>
          </w:p>
        </w:tc>
      </w:tr>
      <w:tr>
        <w:trPr>
          <w:cantSplit/>
        </w:trPr>
        <w:tc>
          <w:tcPr>
            <w:tcW w:type="dxa" w:w="2983"/>
          </w:tcPr>
          <w:p>
            <w:pPr>
              <w:spacing w:after="20" w:before="20" w:line="252" w:lineRule="auto"/>
              <w:jc w:val="left"/>
            </w:pPr>
            <w:r>
              <w:rPr>
                <w:rFonts w:ascii="Calibri" w:hAnsi="Calibri" w:eastAsia="Microsoft YaHei" w:cs="Calibri"/>
                <w:sz w:val="18"/>
              </w:rPr>
              <w:t>MBS / CRE</w:t>
            </w:r>
          </w:p>
        </w:tc>
        <w:tc>
          <w:tcPr>
            <w:tcW w:type="dxa" w:w="3096"/>
          </w:tcPr>
          <w:p>
            <w:pPr>
              <w:spacing w:after="20" w:before="20" w:line="252" w:lineRule="auto"/>
              <w:jc w:val="center"/>
            </w:pPr>
            <w:r>
              <w:rPr>
                <w:rFonts w:ascii="Calibri" w:hAnsi="Calibri" w:eastAsia="Microsoft YaHei" w:cs="Calibri"/>
                <w:sz w:val="18"/>
              </w:rPr>
              <w:t>10Y</w:t>
            </w:r>
          </w:p>
        </w:tc>
        <w:tc>
          <w:tcPr>
            <w:tcW w:type="dxa" w:w="2157"/>
          </w:tcPr>
          <w:p>
            <w:pPr>
              <w:spacing w:after="20" w:before="20" w:line="252" w:lineRule="auto"/>
              <w:jc w:val="center"/>
            </w:pPr>
            <w:r>
              <w:rPr>
                <w:rFonts w:ascii="Calibri" w:hAnsi="Calibri" w:eastAsia="Microsoft YaHei" w:cs="Calibri"/>
                <w:sz w:val="18"/>
              </w:rPr>
              <w:t>+85</w:t>
            </w:r>
          </w:p>
        </w:tc>
        <w:tc>
          <w:tcPr>
            <w:tcW w:type="dxa" w:w="1515"/>
          </w:tcPr>
          <w:p>
            <w:pPr>
              <w:spacing w:after="20" w:before="20" w:line="252" w:lineRule="auto"/>
              <w:jc w:val="center"/>
            </w:pPr>
            <w:r>
              <w:rPr>
                <w:rFonts w:ascii="Calibri" w:hAnsi="Calibri" w:eastAsia="Microsoft YaHei" w:cs="Calibri"/>
                <w:sz w:val="18"/>
              </w:rPr>
              <w:t>Asset</w:t>
            </w:r>
          </w:p>
        </w:tc>
      </w:tr>
      <w:tr>
        <w:trPr>
          <w:cantSplit/>
        </w:trPr>
        <w:tc>
          <w:tcPr>
            <w:tcW w:type="dxa" w:w="2983"/>
            <w:shd w:val="clear" w:color="auto" w:fill="F2F5F9"/>
          </w:tcPr>
          <w:p>
            <w:pPr>
              <w:spacing w:after="20" w:before="20" w:line="252" w:lineRule="auto"/>
              <w:jc w:val="left"/>
            </w:pPr>
            <w:r>
              <w:rPr>
                <w:rFonts w:ascii="Calibri" w:hAnsi="Calibri" w:eastAsia="Microsoft YaHei" w:cs="Calibri"/>
                <w:sz w:val="18"/>
              </w:rPr>
              <w:t>Residential mortgages</w:t>
            </w:r>
          </w:p>
        </w:tc>
        <w:tc>
          <w:tcPr>
            <w:tcW w:type="dxa" w:w="3096"/>
            <w:shd w:val="clear" w:color="auto" w:fill="F2F5F9"/>
          </w:tcPr>
          <w:p>
            <w:pPr>
              <w:spacing w:after="20" w:before="20" w:line="252" w:lineRule="auto"/>
              <w:jc w:val="left"/>
            </w:pPr>
            <w:r>
              <w:rPr>
                <w:rFonts w:ascii="Calibri" w:hAnsi="Calibri" w:eastAsia="Microsoft YaHei" w:cs="Calibri"/>
                <w:sz w:val="18"/>
              </w:rPr>
              <w:t>30Y mortgage rate</w:t>
            </w:r>
          </w:p>
        </w:tc>
        <w:tc>
          <w:tcPr>
            <w:tcW w:type="dxa" w:w="2157"/>
            <w:shd w:val="clear" w:color="auto" w:fill="F2F5F9"/>
          </w:tcPr>
          <w:p>
            <w:pPr>
              <w:spacing w:after="20" w:before="20" w:line="252" w:lineRule="auto"/>
              <w:jc w:val="center"/>
            </w:pPr>
            <w:r>
              <w:rPr>
                <w:rFonts w:ascii="Calibri" w:hAnsi="Calibri" w:eastAsia="Microsoft YaHei" w:cs="Calibri"/>
                <w:sz w:val="18"/>
              </w:rPr>
              <w:t>+54</w:t>
            </w:r>
          </w:p>
        </w:tc>
        <w:tc>
          <w:tcPr>
            <w:tcW w:type="dxa" w:w="1515"/>
            <w:shd w:val="clear" w:color="auto" w:fill="F2F5F9"/>
          </w:tcPr>
          <w:p>
            <w:pPr>
              <w:spacing w:after="20" w:before="20" w:line="252" w:lineRule="auto"/>
              <w:jc w:val="center"/>
            </w:pPr>
            <w:r>
              <w:rPr>
                <w:rFonts w:ascii="Calibri" w:hAnsi="Calibri" w:eastAsia="Microsoft YaHei" w:cs="Calibri"/>
                <w:sz w:val="18"/>
              </w:rPr>
              <w:t>Asset</w:t>
            </w:r>
          </w:p>
        </w:tc>
      </w:tr>
    </w:tbl>
    <w:p>
      <w:pPr>
        <w:spacing w:after="40"/>
      </w:pPr>
    </w:p>
    <w:p>
      <w:pPr>
        <w:pStyle w:val="Heading3"/>
      </w:pPr>
      <w:r>
        <w:rPr>
          <w:rFonts w:ascii="Calibri" w:hAnsi="Calibri" w:eastAsia="Microsoft YaHei" w:cs="Calibri"/>
          <w:b/>
          <w:color w:val="1F4E79"/>
          <w:sz w:val="24"/>
        </w:rPr>
        <w:t>Illustrative calculation (per $100bn that reprices)</w:t>
      </w:r>
    </w:p>
    <w:tbl>
      <w:tblPr>
        <w:tblStyle w:val="TableGrid"/>
        <w:tblW w:type="auto" w:w="0"/>
        <w:jc w:val="center"/>
        <w:tblLayout w:type="fixed"/>
        <w:tblLook w:firstColumn="1" w:firstRow="1" w:lastColumn="0" w:lastRow="0" w:noHBand="0" w:noVBand="1" w:val="04A0"/>
      </w:tblPr>
      <w:tblGrid>
        <w:gridCol w:w="6965"/>
        <w:gridCol w:w="2786"/>
      </w:tblGrid>
      <w:tr>
        <w:trPr>
          <w:tblHeader w:val="true"/>
          <w:cantSplit/>
        </w:trPr>
        <w:tc>
          <w:tcPr>
            <w:tcW w:type="dxa" w:w="6965"/>
            <w:shd w:val="clear" w:color="auto" w:fill="1F4E79"/>
          </w:tcPr>
          <w:p>
            <w:pPr>
              <w:spacing w:after="20" w:before="20" w:line="252" w:lineRule="auto"/>
              <w:jc w:val="center"/>
            </w:pPr>
            <w:r>
              <w:rPr>
                <w:rFonts w:ascii="Calibri" w:hAnsi="Calibri" w:eastAsia="Microsoft YaHei" w:cs="Calibri"/>
                <w:b/>
                <w:color w:val="FFFFFF"/>
                <w:sz w:val="18"/>
              </w:rPr>
              <w:t>Item</w:t>
            </w:r>
          </w:p>
        </w:tc>
        <w:tc>
          <w:tcPr>
            <w:tcW w:type="dxa" w:w="2786"/>
            <w:shd w:val="clear" w:color="auto" w:fill="1F4E79"/>
          </w:tcPr>
          <w:p>
            <w:pPr>
              <w:spacing w:after="20" w:before="20" w:line="252" w:lineRule="auto"/>
              <w:jc w:val="center"/>
            </w:pPr>
            <w:r>
              <w:rPr>
                <w:rFonts w:ascii="Calibri" w:hAnsi="Calibri" w:eastAsia="Microsoft YaHei" w:cs="Calibri"/>
                <w:b/>
                <w:color w:val="FFFFFF"/>
                <w:sz w:val="18"/>
              </w:rPr>
              <w:t>Annualised ($M)</w:t>
            </w:r>
          </w:p>
        </w:tc>
      </w:tr>
      <w:tr>
        <w:trPr>
          <w:cantSplit/>
        </w:trPr>
        <w:tc>
          <w:tcPr>
            <w:tcW w:type="dxa" w:w="6965"/>
          </w:tcPr>
          <w:p>
            <w:pPr>
              <w:spacing w:after="20" w:before="20" w:line="252" w:lineRule="auto"/>
              <w:jc w:val="left"/>
            </w:pPr>
            <w:r>
              <w:rPr>
                <w:rFonts w:ascii="Calibri" w:hAnsi="Calibri" w:eastAsia="Microsoft YaHei" w:cs="Calibri"/>
                <w:sz w:val="18"/>
              </w:rPr>
              <w:t>Income gain on new / reinvested 5Y assets</w:t>
            </w:r>
          </w:p>
        </w:tc>
        <w:tc>
          <w:tcPr>
            <w:tcW w:type="dxa" w:w="2786"/>
          </w:tcPr>
          <w:p>
            <w:pPr>
              <w:spacing w:after="20" w:before="20" w:line="252" w:lineRule="auto"/>
              <w:jc w:val="center"/>
            </w:pPr>
            <w:r>
              <w:rPr>
                <w:rFonts w:ascii="Calibri" w:hAnsi="Calibri" w:eastAsia="Microsoft YaHei" w:cs="Calibri"/>
                <w:sz w:val="18"/>
              </w:rPr>
              <w:t>+900</w:t>
            </w:r>
          </w:p>
        </w:tc>
      </w:tr>
      <w:tr>
        <w:trPr>
          <w:cantSplit/>
        </w:trPr>
        <w:tc>
          <w:tcPr>
            <w:tcW w:type="dxa" w:w="6965"/>
            <w:shd w:val="clear" w:color="auto" w:fill="F2F5F9"/>
          </w:tcPr>
          <w:p>
            <w:pPr>
              <w:spacing w:after="20" w:before="20" w:line="252" w:lineRule="auto"/>
              <w:jc w:val="left"/>
            </w:pPr>
            <w:r>
              <w:rPr>
                <w:rFonts w:ascii="Calibri" w:hAnsi="Calibri" w:eastAsia="Microsoft YaHei" w:cs="Calibri"/>
                <w:sz w:val="18"/>
              </w:rPr>
              <w:t>Income gain on new / reinvested 10Y assets</w:t>
            </w:r>
          </w:p>
        </w:tc>
        <w:tc>
          <w:tcPr>
            <w:tcW w:type="dxa" w:w="2786"/>
            <w:shd w:val="clear" w:color="auto" w:fill="F2F5F9"/>
          </w:tcPr>
          <w:p>
            <w:pPr>
              <w:spacing w:after="20" w:before="20" w:line="252" w:lineRule="auto"/>
              <w:jc w:val="center"/>
            </w:pPr>
            <w:r>
              <w:rPr>
                <w:rFonts w:ascii="Calibri" w:hAnsi="Calibri" w:eastAsia="Microsoft YaHei" w:cs="Calibri"/>
                <w:sz w:val="18"/>
              </w:rPr>
              <w:t>+850</w:t>
            </w:r>
          </w:p>
        </w:tc>
      </w:tr>
      <w:tr>
        <w:trPr>
          <w:cantSplit/>
        </w:trPr>
        <w:tc>
          <w:tcPr>
            <w:tcW w:type="dxa" w:w="6965"/>
          </w:tcPr>
          <w:p>
            <w:pPr>
              <w:spacing w:after="20" w:before="20" w:line="252" w:lineRule="auto"/>
              <w:jc w:val="left"/>
            </w:pPr>
            <w:r>
              <w:rPr>
                <w:rFonts w:ascii="Calibri" w:hAnsi="Calibri" w:eastAsia="Microsoft YaHei" w:cs="Calibri"/>
                <w:sz w:val="18"/>
              </w:rPr>
              <w:t>Deposit cost increase (Q3 average, beta 40%)</w:t>
            </w:r>
          </w:p>
        </w:tc>
        <w:tc>
          <w:tcPr>
            <w:tcW w:type="dxa" w:w="2786"/>
          </w:tcPr>
          <w:p>
            <w:pPr>
              <w:spacing w:after="20" w:before="20" w:line="252" w:lineRule="auto"/>
              <w:jc w:val="center"/>
            </w:pPr>
            <w:r>
              <w:rPr>
                <w:rFonts w:ascii="Calibri" w:hAnsi="Calibri" w:eastAsia="Microsoft YaHei" w:cs="Calibri"/>
                <w:sz w:val="18"/>
              </w:rPr>
              <w:t>-15</w:t>
            </w:r>
          </w:p>
        </w:tc>
      </w:tr>
      <w:tr>
        <w:trPr>
          <w:cantSplit/>
        </w:trPr>
        <w:tc>
          <w:tcPr>
            <w:tcW w:type="dxa" w:w="6965"/>
            <w:shd w:val="clear" w:color="auto" w:fill="F2F5F9"/>
          </w:tcPr>
          <w:p>
            <w:pPr>
              <w:spacing w:after="20" w:before="20" w:line="252" w:lineRule="auto"/>
              <w:jc w:val="left"/>
            </w:pPr>
            <w:r>
              <w:rPr>
                <w:rFonts w:ascii="Calibri" w:hAnsi="Calibri" w:eastAsia="Microsoft YaHei" w:cs="Calibri"/>
                <w:sz w:val="18"/>
              </w:rPr>
              <w:t>Deposit cost increase (exit rate, beta 40%)</w:t>
            </w:r>
          </w:p>
        </w:tc>
        <w:tc>
          <w:tcPr>
            <w:tcW w:type="dxa" w:w="2786"/>
            <w:shd w:val="clear" w:color="auto" w:fill="F2F5F9"/>
          </w:tcPr>
          <w:p>
            <w:pPr>
              <w:spacing w:after="20" w:before="20" w:line="252" w:lineRule="auto"/>
              <w:jc w:val="center"/>
            </w:pPr>
            <w:r>
              <w:rPr>
                <w:rFonts w:ascii="Calibri" w:hAnsi="Calibri" w:eastAsia="Microsoft YaHei" w:cs="Calibri"/>
                <w:sz w:val="18"/>
              </w:rPr>
              <w:t>-100</w:t>
            </w:r>
          </w:p>
        </w:tc>
      </w:tr>
      <w:tr>
        <w:trPr>
          <w:cantSplit/>
        </w:trPr>
        <w:tc>
          <w:tcPr>
            <w:tcW w:type="dxa" w:w="6965"/>
          </w:tcPr>
          <w:p>
            <w:pPr>
              <w:spacing w:after="20" w:before="20" w:line="252" w:lineRule="auto"/>
              <w:jc w:val="left"/>
            </w:pPr>
            <w:r>
              <w:rPr>
                <w:rFonts w:ascii="Calibri" w:hAnsi="Calibri" w:eastAsia="Microsoft YaHei" w:cs="Calibri"/>
                <w:sz w:val="18"/>
              </w:rPr>
              <w:t>Deposit cost increase (exit rate, beta 60%)</w:t>
            </w:r>
          </w:p>
        </w:tc>
        <w:tc>
          <w:tcPr>
            <w:tcW w:type="dxa" w:w="2786"/>
          </w:tcPr>
          <w:p>
            <w:pPr>
              <w:spacing w:after="20" w:before="20" w:line="252" w:lineRule="auto"/>
              <w:jc w:val="center"/>
            </w:pPr>
            <w:r>
              <w:rPr>
                <w:rFonts w:ascii="Calibri" w:hAnsi="Calibri" w:eastAsia="Microsoft YaHei" w:cs="Calibri"/>
                <w:sz w:val="18"/>
              </w:rPr>
              <w:t>-150</w:t>
            </w:r>
          </w:p>
        </w:tc>
      </w:tr>
    </w:tbl>
    <w:p>
      <w:pPr>
        <w:spacing w:after="40"/>
      </w:pP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Meaning</w:t>
      </w:r>
      <w:r>
        <w:rPr>
          <w:rFonts w:ascii="Calibri" w:hAnsi="Calibri" w:eastAsia="Microsoft YaHei" w:cs="Calibri"/>
          <w:sz w:val="21"/>
        </w:rPr>
        <w:t>: for every $100bn of assets repricing at the new rates, annual income rises about $900M (5Y basis), while the Q3-average deposit cost rises only about $15M. This is the 'assets reprice before liabilities' NII tailwind described in Section 0.</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The tailwind narrows</w:t>
      </w:r>
      <w:r>
        <w:rPr>
          <w:rFonts w:ascii="Calibri" w:hAnsi="Calibri" w:eastAsia="Microsoft YaHei" w:cs="Calibri"/>
          <w:sz w:val="21"/>
        </w:rPr>
        <w:t>: at the exit rate and beta 40%, deposit cost rises $100M; at beta 60% it is $150M. Deposit costs reflect the 9/16 hike fully only from Q4, so the tailwind fades quarter by quarter.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Only part of the book reprices</w:t>
      </w:r>
      <w:r>
        <w:rPr>
          <w:rFonts w:ascii="Calibri" w:hAnsi="Calibri" w:eastAsia="Microsoft YaHei" w:cs="Calibri"/>
          <w:sz w:val="21"/>
        </w:rPr>
        <w:t>: actual NII is affected only by assets that mature or are newly originated in the period. The chart is an upper-bound illustration, not an NII forecast. For NII forecasts see Sections 3.1 and 4.</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Assumptions</w:t>
      </w:r>
      <w:r>
        <w:rPr>
          <w:rFonts w:ascii="Calibri" w:hAnsi="Calibri" w:eastAsia="Microsoft YaHei" w:cs="Calibri"/>
          <w:sz w:val="21"/>
        </w:rPr>
        <w:t>: 100% of the $100bn reprices at the Q3-end minus Q2-end rate difference; deposit beta of 40% is an assumption, not a disclosure.</w:t>
      </w:r>
    </w:p>
    <w:p>
      <w:pPr>
        <w:pStyle w:val="Heading2"/>
      </w:pPr>
      <w:r>
        <w:rPr>
          <w:rFonts w:ascii="Calibri" w:hAnsi="Calibri" w:eastAsia="Microsoft YaHei" w:cs="Calibri"/>
          <w:b/>
          <w:color w:val="1F4E79"/>
          <w:sz w:val="28"/>
        </w:rPr>
        <w:t>13. Segment revenue of the six large banks: two-year trend and Q3 forecast</w:t>
      </w:r>
    </w:p>
    <w:p>
      <w:pPr>
        <w:keepNext/>
        <w:spacing w:before="120"/>
        <w:jc w:val="center"/>
      </w:pPr>
      <w:r>
        <w:drawing>
          <wp:inline xmlns:a="http://schemas.openxmlformats.org/drawingml/2006/main" xmlns:pic="http://schemas.openxmlformats.org/drawingml/2006/picture">
            <wp:extent cx="6048000" cy="3806164"/>
            <wp:docPr id="5" name="Picture 5"/>
            <wp:cNvGraphicFramePr>
              <a:graphicFrameLocks noChangeAspect="1"/>
            </wp:cNvGraphicFramePr>
            <a:graphic>
              <a:graphicData uri="http://schemas.openxmlformats.org/drawingml/2006/picture">
                <pic:pic>
                  <pic:nvPicPr>
                    <pic:cNvPr id="0" name="f05_segments.png"/>
                    <pic:cNvPicPr/>
                  </pic:nvPicPr>
                  <pic:blipFill>
                    <a:blip r:embed="rId15"/>
                    <a:stretch>
                      <a:fillRect/>
                    </a:stretch>
                  </pic:blipFill>
                  <pic:spPr>
                    <a:xfrm>
                      <a:off x="0" y="0"/>
                      <a:ext cx="6048000" cy="3806164"/>
                    </a:xfrm>
                    <a:prstGeom prst="rect"/>
                  </pic:spPr>
                </pic:pic>
              </a:graphicData>
            </a:graphic>
          </wp:inline>
        </w:drawing>
      </w:r>
    </w:p>
    <w:p>
      <w:pPr>
        <w:spacing w:after="200"/>
        <w:jc w:val="center"/>
      </w:pPr>
      <w:r>
        <w:rPr>
          <w:rFonts w:ascii="Calibri" w:hAnsi="Calibri" w:eastAsia="Microsoft YaHei" w:cs="Calibri"/>
          <w:i/>
          <w:color w:val="555555"/>
          <w:sz w:val="18"/>
        </w:rPr>
        <w:t>Figure 5. Revenue by segment (stacked, $bn): 24Q3-26Q2 actual and 26Q3E</w:t>
      </w:r>
    </w:p>
    <w:tbl>
      <w:tblPr>
        <w:tblStyle w:val="TableGrid"/>
        <w:tblW w:type="auto" w:w="0"/>
        <w:jc w:val="center"/>
        <w:tblLayout w:type="fixed"/>
        <w:tblLook w:firstColumn="1" w:firstRow="1" w:lastColumn="0" w:lastRow="0" w:noHBand="0" w:noVBand="1" w:val="04A0"/>
      </w:tblPr>
      <w:tblGrid>
        <w:gridCol w:w="993"/>
        <w:gridCol w:w="1187"/>
        <w:gridCol w:w="3453"/>
        <w:gridCol w:w="1373"/>
        <w:gridCol w:w="1373"/>
        <w:gridCol w:w="1373"/>
      </w:tblGrid>
      <w:tr>
        <w:trPr>
          <w:tblHeader w:val="true"/>
          <w:cantSplit/>
        </w:trPr>
        <w:tc>
          <w:tcPr>
            <w:tcW w:type="dxa" w:w="993"/>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1187"/>
            <w:shd w:val="clear" w:color="auto" w:fill="1F4E79"/>
          </w:tcPr>
          <w:p>
            <w:pPr>
              <w:spacing w:after="20" w:before="20" w:line="252" w:lineRule="auto"/>
              <w:jc w:val="center"/>
            </w:pPr>
            <w:r>
              <w:rPr>
                <w:rFonts w:ascii="Calibri" w:hAnsi="Calibri" w:eastAsia="Microsoft YaHei" w:cs="Calibri"/>
                <w:b/>
                <w:color w:val="FFFFFF"/>
                <w:sz w:val="17"/>
              </w:rPr>
              <w:t>Q3'25</w:t>
            </w:r>
          </w:p>
        </w:tc>
        <w:tc>
          <w:tcPr>
            <w:tcW w:type="dxa" w:w="3453"/>
            <w:shd w:val="clear" w:color="auto" w:fill="1F4E79"/>
          </w:tcPr>
          <w:p>
            <w:pPr>
              <w:spacing w:after="20" w:before="20" w:line="252" w:lineRule="auto"/>
              <w:jc w:val="center"/>
            </w:pPr>
            <w:r>
              <w:rPr>
                <w:rFonts w:ascii="Calibri" w:hAnsi="Calibri" w:eastAsia="Microsoft YaHei" w:cs="Calibri"/>
                <w:b/>
                <w:color w:val="FFFFFF"/>
                <w:sz w:val="17"/>
              </w:rPr>
              <w:t>Q2'26 (JPM ex-Visa)</w:t>
            </w:r>
          </w:p>
        </w:tc>
        <w:tc>
          <w:tcPr>
            <w:tcW w:type="dxa" w:w="1373"/>
            <w:shd w:val="clear" w:color="auto" w:fill="1F4E79"/>
          </w:tcPr>
          <w:p>
            <w:pPr>
              <w:spacing w:after="20" w:before="20" w:line="252" w:lineRule="auto"/>
              <w:jc w:val="center"/>
            </w:pPr>
            <w:r>
              <w:rPr>
                <w:rFonts w:ascii="Calibri" w:hAnsi="Calibri" w:eastAsia="Microsoft YaHei" w:cs="Calibri"/>
                <w:b/>
                <w:color w:val="FFFFFF"/>
                <w:sz w:val="17"/>
              </w:rPr>
              <w:t>Q3'26E</w:t>
            </w:r>
          </w:p>
        </w:tc>
        <w:tc>
          <w:tcPr>
            <w:tcW w:type="dxa" w:w="1373"/>
            <w:shd w:val="clear" w:color="auto" w:fill="1F4E79"/>
          </w:tcPr>
          <w:p>
            <w:pPr>
              <w:spacing w:after="20" w:before="20" w:line="252" w:lineRule="auto"/>
              <w:jc w:val="center"/>
            </w:pPr>
            <w:r>
              <w:rPr>
                <w:rFonts w:ascii="Calibri" w:hAnsi="Calibri" w:eastAsia="Microsoft YaHei" w:cs="Calibri"/>
                <w:b/>
                <w:color w:val="FFFFFF"/>
                <w:sz w:val="17"/>
              </w:rPr>
              <w:t>QoQ</w:t>
            </w:r>
          </w:p>
        </w:tc>
        <w:tc>
          <w:tcPr>
            <w:tcW w:type="dxa" w:w="1373"/>
            <w:shd w:val="clear" w:color="auto" w:fill="1F4E79"/>
          </w:tcPr>
          <w:p>
            <w:pPr>
              <w:spacing w:after="20" w:before="20" w:line="252" w:lineRule="auto"/>
              <w:jc w:val="center"/>
            </w:pPr>
            <w:r>
              <w:rPr>
                <w:rFonts w:ascii="Calibri" w:hAnsi="Calibri" w:eastAsia="Microsoft YaHei" w:cs="Calibri"/>
                <w:b/>
                <w:color w:val="FFFFFF"/>
                <w:sz w:val="17"/>
              </w:rPr>
              <w:t>YoY</w:t>
            </w:r>
          </w:p>
        </w:tc>
      </w:tr>
      <w:tr>
        <w:trPr>
          <w:cantSplit/>
        </w:trPr>
        <w:tc>
          <w:tcPr>
            <w:tcW w:type="dxa" w:w="993"/>
          </w:tcPr>
          <w:p>
            <w:pPr>
              <w:spacing w:after="20" w:before="20" w:line="252" w:lineRule="auto"/>
              <w:jc w:val="left"/>
            </w:pPr>
            <w:r>
              <w:rPr>
                <w:rFonts w:ascii="Calibri" w:hAnsi="Calibri" w:eastAsia="Microsoft YaHei" w:cs="Calibri"/>
                <w:sz w:val="17"/>
              </w:rPr>
              <w:t>JPM</w:t>
            </w:r>
          </w:p>
        </w:tc>
        <w:tc>
          <w:tcPr>
            <w:tcW w:type="dxa" w:w="1187"/>
          </w:tcPr>
          <w:p>
            <w:pPr>
              <w:spacing w:after="20" w:before="20" w:line="252" w:lineRule="auto"/>
              <w:jc w:val="center"/>
            </w:pPr>
            <w:r>
              <w:rPr>
                <w:rFonts w:ascii="Calibri" w:hAnsi="Calibri" w:eastAsia="Microsoft YaHei" w:cs="Calibri"/>
                <w:sz w:val="17"/>
              </w:rPr>
              <w:t>46.4</w:t>
            </w:r>
          </w:p>
        </w:tc>
        <w:tc>
          <w:tcPr>
            <w:tcW w:type="dxa" w:w="3453"/>
          </w:tcPr>
          <w:p>
            <w:pPr>
              <w:spacing w:after="20" w:before="20" w:line="252" w:lineRule="auto"/>
              <w:jc w:val="center"/>
            </w:pPr>
            <w:r>
              <w:rPr>
                <w:rFonts w:ascii="Calibri" w:hAnsi="Calibri" w:eastAsia="Microsoft YaHei" w:cs="Calibri"/>
                <w:sz w:val="17"/>
              </w:rPr>
              <w:t>52.0</w:t>
            </w:r>
          </w:p>
        </w:tc>
        <w:tc>
          <w:tcPr>
            <w:tcW w:type="dxa" w:w="1373"/>
          </w:tcPr>
          <w:p>
            <w:pPr>
              <w:spacing w:after="20" w:before="20" w:line="252" w:lineRule="auto"/>
              <w:jc w:val="center"/>
            </w:pPr>
            <w:r>
              <w:rPr>
                <w:rFonts w:ascii="Calibri" w:hAnsi="Calibri" w:eastAsia="Microsoft YaHei" w:cs="Calibri"/>
                <w:sz w:val="17"/>
              </w:rPr>
              <w:t>51.4</w:t>
            </w:r>
          </w:p>
        </w:tc>
        <w:tc>
          <w:tcPr>
            <w:tcW w:type="dxa" w:w="1373"/>
          </w:tcPr>
          <w:p>
            <w:pPr>
              <w:spacing w:after="20" w:before="20" w:line="252" w:lineRule="auto"/>
              <w:jc w:val="center"/>
            </w:pPr>
            <w:r>
              <w:rPr>
                <w:rFonts w:ascii="Calibri" w:hAnsi="Calibri" w:eastAsia="Microsoft YaHei" w:cs="Calibri"/>
                <w:sz w:val="17"/>
              </w:rPr>
              <w:t>-1.1%</w:t>
            </w:r>
          </w:p>
        </w:tc>
        <w:tc>
          <w:tcPr>
            <w:tcW w:type="dxa" w:w="1373"/>
          </w:tcPr>
          <w:p>
            <w:pPr>
              <w:spacing w:after="20" w:before="20" w:line="252" w:lineRule="auto"/>
              <w:jc w:val="center"/>
            </w:pPr>
            <w:r>
              <w:rPr>
                <w:rFonts w:ascii="Calibri" w:hAnsi="Calibri" w:eastAsia="Microsoft YaHei" w:cs="Calibri"/>
                <w:sz w:val="17"/>
              </w:rPr>
              <w:t>+10.8%</w:t>
            </w:r>
          </w:p>
        </w:tc>
      </w:tr>
      <w:tr>
        <w:trPr>
          <w:cantSplit/>
        </w:trPr>
        <w:tc>
          <w:tcPr>
            <w:tcW w:type="dxa" w:w="993"/>
            <w:shd w:val="clear" w:color="auto" w:fill="F2F5F9"/>
          </w:tcPr>
          <w:p>
            <w:pPr>
              <w:spacing w:after="20" w:before="20" w:line="252" w:lineRule="auto"/>
              <w:jc w:val="left"/>
            </w:pPr>
            <w:r>
              <w:rPr>
                <w:rFonts w:ascii="Calibri" w:hAnsi="Calibri" w:eastAsia="Microsoft YaHei" w:cs="Calibri"/>
                <w:sz w:val="17"/>
              </w:rPr>
              <w:t>BAC</w:t>
            </w:r>
          </w:p>
        </w:tc>
        <w:tc>
          <w:tcPr>
            <w:tcW w:type="dxa" w:w="1187"/>
            <w:shd w:val="clear" w:color="auto" w:fill="F2F5F9"/>
          </w:tcPr>
          <w:p>
            <w:pPr>
              <w:spacing w:after="20" w:before="20" w:line="252" w:lineRule="auto"/>
              <w:jc w:val="center"/>
            </w:pPr>
            <w:r>
              <w:rPr>
                <w:rFonts w:ascii="Calibri" w:hAnsi="Calibri" w:eastAsia="Microsoft YaHei" w:cs="Calibri"/>
                <w:sz w:val="17"/>
              </w:rPr>
              <w:t>28.1</w:t>
            </w:r>
          </w:p>
        </w:tc>
        <w:tc>
          <w:tcPr>
            <w:tcW w:type="dxa" w:w="3453"/>
            <w:shd w:val="clear" w:color="auto" w:fill="F2F5F9"/>
          </w:tcPr>
          <w:p>
            <w:pPr>
              <w:spacing w:after="20" w:before="20" w:line="252" w:lineRule="auto"/>
              <w:jc w:val="center"/>
            </w:pPr>
            <w:r>
              <w:rPr>
                <w:rFonts w:ascii="Calibri" w:hAnsi="Calibri" w:eastAsia="Microsoft YaHei" w:cs="Calibri"/>
                <w:sz w:val="17"/>
              </w:rPr>
              <w:t>31.6</w:t>
            </w:r>
          </w:p>
        </w:tc>
        <w:tc>
          <w:tcPr>
            <w:tcW w:type="dxa" w:w="1373"/>
            <w:shd w:val="clear" w:color="auto" w:fill="F2F5F9"/>
          </w:tcPr>
          <w:p>
            <w:pPr>
              <w:spacing w:after="20" w:before="20" w:line="252" w:lineRule="auto"/>
              <w:jc w:val="center"/>
            </w:pPr>
            <w:r>
              <w:rPr>
                <w:rFonts w:ascii="Calibri" w:hAnsi="Calibri" w:eastAsia="Microsoft YaHei" w:cs="Calibri"/>
                <w:sz w:val="17"/>
              </w:rPr>
              <w:t>30.1</w:t>
            </w:r>
          </w:p>
        </w:tc>
        <w:tc>
          <w:tcPr>
            <w:tcW w:type="dxa" w:w="1373"/>
            <w:shd w:val="clear" w:color="auto" w:fill="F2F5F9"/>
          </w:tcPr>
          <w:p>
            <w:pPr>
              <w:spacing w:after="20" w:before="20" w:line="252" w:lineRule="auto"/>
              <w:jc w:val="center"/>
            </w:pPr>
            <w:r>
              <w:rPr>
                <w:rFonts w:ascii="Calibri" w:hAnsi="Calibri" w:eastAsia="Microsoft YaHei" w:cs="Calibri"/>
                <w:sz w:val="17"/>
              </w:rPr>
              <w:t>-4.8%</w:t>
            </w:r>
          </w:p>
        </w:tc>
        <w:tc>
          <w:tcPr>
            <w:tcW w:type="dxa" w:w="1373"/>
            <w:shd w:val="clear" w:color="auto" w:fill="F2F5F9"/>
          </w:tcPr>
          <w:p>
            <w:pPr>
              <w:spacing w:after="20" w:before="20" w:line="252" w:lineRule="auto"/>
              <w:jc w:val="center"/>
            </w:pPr>
            <w:r>
              <w:rPr>
                <w:rFonts w:ascii="Calibri" w:hAnsi="Calibri" w:eastAsia="Microsoft YaHei" w:cs="Calibri"/>
                <w:sz w:val="17"/>
              </w:rPr>
              <w:t>+7.0%</w:t>
            </w:r>
          </w:p>
        </w:tc>
      </w:tr>
      <w:tr>
        <w:trPr>
          <w:cantSplit/>
        </w:trPr>
        <w:tc>
          <w:tcPr>
            <w:tcW w:type="dxa" w:w="993"/>
          </w:tcPr>
          <w:p>
            <w:pPr>
              <w:spacing w:after="20" w:before="20" w:line="252" w:lineRule="auto"/>
              <w:jc w:val="left"/>
            </w:pPr>
            <w:r>
              <w:rPr>
                <w:rFonts w:ascii="Calibri" w:hAnsi="Calibri" w:eastAsia="Microsoft YaHei" w:cs="Calibri"/>
                <w:sz w:val="17"/>
              </w:rPr>
              <w:t>C</w:t>
            </w:r>
          </w:p>
        </w:tc>
        <w:tc>
          <w:tcPr>
            <w:tcW w:type="dxa" w:w="1187"/>
          </w:tcPr>
          <w:p>
            <w:pPr>
              <w:spacing w:after="20" w:before="20" w:line="252" w:lineRule="auto"/>
              <w:jc w:val="center"/>
            </w:pPr>
            <w:r>
              <w:rPr>
                <w:rFonts w:ascii="Calibri" w:hAnsi="Calibri" w:eastAsia="Microsoft YaHei" w:cs="Calibri"/>
                <w:sz w:val="17"/>
              </w:rPr>
              <w:t>22.1</w:t>
            </w:r>
          </w:p>
        </w:tc>
        <w:tc>
          <w:tcPr>
            <w:tcW w:type="dxa" w:w="3453"/>
          </w:tcPr>
          <w:p>
            <w:pPr>
              <w:spacing w:after="20" w:before="20" w:line="252" w:lineRule="auto"/>
              <w:jc w:val="center"/>
            </w:pPr>
            <w:r>
              <w:rPr>
                <w:rFonts w:ascii="Calibri" w:hAnsi="Calibri" w:eastAsia="Microsoft YaHei" w:cs="Calibri"/>
                <w:sz w:val="17"/>
              </w:rPr>
              <w:t>24.8</w:t>
            </w:r>
          </w:p>
        </w:tc>
        <w:tc>
          <w:tcPr>
            <w:tcW w:type="dxa" w:w="1373"/>
          </w:tcPr>
          <w:p>
            <w:pPr>
              <w:spacing w:after="20" w:before="20" w:line="252" w:lineRule="auto"/>
              <w:jc w:val="center"/>
            </w:pPr>
            <w:r>
              <w:rPr>
                <w:rFonts w:ascii="Calibri" w:hAnsi="Calibri" w:eastAsia="Microsoft YaHei" w:cs="Calibri"/>
                <w:sz w:val="17"/>
              </w:rPr>
              <w:t>24.2</w:t>
            </w:r>
          </w:p>
        </w:tc>
        <w:tc>
          <w:tcPr>
            <w:tcW w:type="dxa" w:w="1373"/>
          </w:tcPr>
          <w:p>
            <w:pPr>
              <w:spacing w:after="20" w:before="20" w:line="252" w:lineRule="auto"/>
              <w:jc w:val="center"/>
            </w:pPr>
            <w:r>
              <w:rPr>
                <w:rFonts w:ascii="Calibri" w:hAnsi="Calibri" w:eastAsia="Microsoft YaHei" w:cs="Calibri"/>
                <w:sz w:val="17"/>
              </w:rPr>
              <w:t>-2.4%</w:t>
            </w:r>
          </w:p>
        </w:tc>
        <w:tc>
          <w:tcPr>
            <w:tcW w:type="dxa" w:w="1373"/>
          </w:tcPr>
          <w:p>
            <w:pPr>
              <w:spacing w:after="20" w:before="20" w:line="252" w:lineRule="auto"/>
              <w:jc w:val="center"/>
            </w:pPr>
            <w:r>
              <w:rPr>
                <w:rFonts w:ascii="Calibri" w:hAnsi="Calibri" w:eastAsia="Microsoft YaHei" w:cs="Calibri"/>
                <w:sz w:val="17"/>
              </w:rPr>
              <w:t>+9.4%</w:t>
            </w:r>
          </w:p>
        </w:tc>
      </w:tr>
      <w:tr>
        <w:trPr>
          <w:cantSplit/>
        </w:trPr>
        <w:tc>
          <w:tcPr>
            <w:tcW w:type="dxa" w:w="993"/>
            <w:shd w:val="clear" w:color="auto" w:fill="F2F5F9"/>
          </w:tcPr>
          <w:p>
            <w:pPr>
              <w:spacing w:after="20" w:before="20" w:line="252" w:lineRule="auto"/>
              <w:jc w:val="left"/>
            </w:pPr>
            <w:r>
              <w:rPr>
                <w:rFonts w:ascii="Calibri" w:hAnsi="Calibri" w:eastAsia="Microsoft YaHei" w:cs="Calibri"/>
                <w:sz w:val="17"/>
              </w:rPr>
              <w:t>WFC</w:t>
            </w:r>
          </w:p>
        </w:tc>
        <w:tc>
          <w:tcPr>
            <w:tcW w:type="dxa" w:w="1187"/>
            <w:shd w:val="clear" w:color="auto" w:fill="F2F5F9"/>
          </w:tcPr>
          <w:p>
            <w:pPr>
              <w:spacing w:after="20" w:before="20" w:line="252" w:lineRule="auto"/>
              <w:jc w:val="center"/>
            </w:pPr>
            <w:r>
              <w:rPr>
                <w:rFonts w:ascii="Calibri" w:hAnsi="Calibri" w:eastAsia="Microsoft YaHei" w:cs="Calibri"/>
                <w:sz w:val="17"/>
              </w:rPr>
              <w:t>21.4</w:t>
            </w:r>
          </w:p>
        </w:tc>
        <w:tc>
          <w:tcPr>
            <w:tcW w:type="dxa" w:w="3453"/>
            <w:shd w:val="clear" w:color="auto" w:fill="F2F5F9"/>
          </w:tcPr>
          <w:p>
            <w:pPr>
              <w:spacing w:after="20" w:before="20" w:line="252" w:lineRule="auto"/>
              <w:jc w:val="center"/>
            </w:pPr>
            <w:r>
              <w:rPr>
                <w:rFonts w:ascii="Calibri" w:hAnsi="Calibri" w:eastAsia="Microsoft YaHei" w:cs="Calibri"/>
                <w:sz w:val="17"/>
              </w:rPr>
              <w:t>22.6</w:t>
            </w:r>
          </w:p>
        </w:tc>
        <w:tc>
          <w:tcPr>
            <w:tcW w:type="dxa" w:w="1373"/>
            <w:shd w:val="clear" w:color="auto" w:fill="F2F5F9"/>
          </w:tcPr>
          <w:p>
            <w:pPr>
              <w:spacing w:after="20" w:before="20" w:line="252" w:lineRule="auto"/>
              <w:jc w:val="center"/>
            </w:pPr>
            <w:r>
              <w:rPr>
                <w:rFonts w:ascii="Calibri" w:hAnsi="Calibri" w:eastAsia="Microsoft YaHei" w:cs="Calibri"/>
                <w:sz w:val="17"/>
              </w:rPr>
              <w:t>22.4</w:t>
            </w:r>
          </w:p>
        </w:tc>
        <w:tc>
          <w:tcPr>
            <w:tcW w:type="dxa" w:w="1373"/>
            <w:shd w:val="clear" w:color="auto" w:fill="F2F5F9"/>
          </w:tcPr>
          <w:p>
            <w:pPr>
              <w:spacing w:after="20" w:before="20" w:line="252" w:lineRule="auto"/>
              <w:jc w:val="center"/>
            </w:pPr>
            <w:r>
              <w:rPr>
                <w:rFonts w:ascii="Calibri" w:hAnsi="Calibri" w:eastAsia="Microsoft YaHei" w:cs="Calibri"/>
                <w:sz w:val="17"/>
              </w:rPr>
              <w:t>-1.1%</w:t>
            </w:r>
          </w:p>
        </w:tc>
        <w:tc>
          <w:tcPr>
            <w:tcW w:type="dxa" w:w="1373"/>
            <w:shd w:val="clear" w:color="auto" w:fill="F2F5F9"/>
          </w:tcPr>
          <w:p>
            <w:pPr>
              <w:spacing w:after="20" w:before="20" w:line="252" w:lineRule="auto"/>
              <w:jc w:val="center"/>
            </w:pPr>
            <w:r>
              <w:rPr>
                <w:rFonts w:ascii="Calibri" w:hAnsi="Calibri" w:eastAsia="Microsoft YaHei" w:cs="Calibri"/>
                <w:sz w:val="17"/>
              </w:rPr>
              <w:t>+4.4%</w:t>
            </w:r>
          </w:p>
        </w:tc>
      </w:tr>
      <w:tr>
        <w:trPr>
          <w:cantSplit/>
        </w:trPr>
        <w:tc>
          <w:tcPr>
            <w:tcW w:type="dxa" w:w="993"/>
          </w:tcPr>
          <w:p>
            <w:pPr>
              <w:spacing w:after="20" w:before="20" w:line="252" w:lineRule="auto"/>
              <w:jc w:val="left"/>
            </w:pPr>
            <w:r>
              <w:rPr>
                <w:rFonts w:ascii="Calibri" w:hAnsi="Calibri" w:eastAsia="Microsoft YaHei" w:cs="Calibri"/>
                <w:sz w:val="17"/>
              </w:rPr>
              <w:t>GS</w:t>
            </w:r>
          </w:p>
        </w:tc>
        <w:tc>
          <w:tcPr>
            <w:tcW w:type="dxa" w:w="1187"/>
          </w:tcPr>
          <w:p>
            <w:pPr>
              <w:spacing w:after="20" w:before="20" w:line="252" w:lineRule="auto"/>
              <w:jc w:val="center"/>
            </w:pPr>
            <w:r>
              <w:rPr>
                <w:rFonts w:ascii="Calibri" w:hAnsi="Calibri" w:eastAsia="Microsoft YaHei" w:cs="Calibri"/>
                <w:sz w:val="17"/>
              </w:rPr>
              <w:t>15.2</w:t>
            </w:r>
          </w:p>
        </w:tc>
        <w:tc>
          <w:tcPr>
            <w:tcW w:type="dxa" w:w="3453"/>
          </w:tcPr>
          <w:p>
            <w:pPr>
              <w:spacing w:after="20" w:before="20" w:line="252" w:lineRule="auto"/>
              <w:jc w:val="center"/>
            </w:pPr>
            <w:r>
              <w:rPr>
                <w:rFonts w:ascii="Calibri" w:hAnsi="Calibri" w:eastAsia="Microsoft YaHei" w:cs="Calibri"/>
                <w:sz w:val="17"/>
              </w:rPr>
              <w:t>20.3</w:t>
            </w:r>
          </w:p>
        </w:tc>
        <w:tc>
          <w:tcPr>
            <w:tcW w:type="dxa" w:w="1373"/>
          </w:tcPr>
          <w:p>
            <w:pPr>
              <w:spacing w:after="20" w:before="20" w:line="252" w:lineRule="auto"/>
              <w:jc w:val="center"/>
            </w:pPr>
            <w:r>
              <w:rPr>
                <w:rFonts w:ascii="Calibri" w:hAnsi="Calibri" w:eastAsia="Microsoft YaHei" w:cs="Calibri"/>
                <w:sz w:val="17"/>
              </w:rPr>
              <w:t>17.5</w:t>
            </w:r>
          </w:p>
        </w:tc>
        <w:tc>
          <w:tcPr>
            <w:tcW w:type="dxa" w:w="1373"/>
          </w:tcPr>
          <w:p>
            <w:pPr>
              <w:spacing w:after="20" w:before="20" w:line="252" w:lineRule="auto"/>
              <w:jc w:val="center"/>
            </w:pPr>
            <w:r>
              <w:rPr>
                <w:rFonts w:ascii="Calibri" w:hAnsi="Calibri" w:eastAsia="Microsoft YaHei" w:cs="Calibri"/>
                <w:sz w:val="17"/>
              </w:rPr>
              <w:t>-13.8%</w:t>
            </w:r>
          </w:p>
        </w:tc>
        <w:tc>
          <w:tcPr>
            <w:tcW w:type="dxa" w:w="1373"/>
          </w:tcPr>
          <w:p>
            <w:pPr>
              <w:spacing w:after="20" w:before="20" w:line="252" w:lineRule="auto"/>
              <w:jc w:val="center"/>
            </w:pPr>
            <w:r>
              <w:rPr>
                <w:rFonts w:ascii="Calibri" w:hAnsi="Calibri" w:eastAsia="Microsoft YaHei" w:cs="Calibri"/>
                <w:sz w:val="17"/>
              </w:rPr>
              <w:t>+15.5%</w:t>
            </w:r>
          </w:p>
        </w:tc>
      </w:tr>
      <w:tr>
        <w:trPr>
          <w:cantSplit/>
        </w:trPr>
        <w:tc>
          <w:tcPr>
            <w:tcW w:type="dxa" w:w="993"/>
            <w:shd w:val="clear" w:color="auto" w:fill="F2F5F9"/>
          </w:tcPr>
          <w:p>
            <w:pPr>
              <w:spacing w:after="20" w:before="20" w:line="252" w:lineRule="auto"/>
              <w:jc w:val="left"/>
            </w:pPr>
            <w:r>
              <w:rPr>
                <w:rFonts w:ascii="Calibri" w:hAnsi="Calibri" w:eastAsia="Microsoft YaHei" w:cs="Calibri"/>
                <w:sz w:val="17"/>
              </w:rPr>
              <w:t>MS</w:t>
            </w:r>
          </w:p>
        </w:tc>
        <w:tc>
          <w:tcPr>
            <w:tcW w:type="dxa" w:w="1187"/>
            <w:shd w:val="clear" w:color="auto" w:fill="F2F5F9"/>
          </w:tcPr>
          <w:p>
            <w:pPr>
              <w:spacing w:after="20" w:before="20" w:line="252" w:lineRule="auto"/>
              <w:jc w:val="center"/>
            </w:pPr>
            <w:r>
              <w:rPr>
                <w:rFonts w:ascii="Calibri" w:hAnsi="Calibri" w:eastAsia="Microsoft YaHei" w:cs="Calibri"/>
                <w:sz w:val="17"/>
              </w:rPr>
              <w:t>18.2</w:t>
            </w:r>
          </w:p>
        </w:tc>
        <w:tc>
          <w:tcPr>
            <w:tcW w:type="dxa" w:w="3453"/>
            <w:shd w:val="clear" w:color="auto" w:fill="F2F5F9"/>
          </w:tcPr>
          <w:p>
            <w:pPr>
              <w:spacing w:after="20" w:before="20" w:line="252" w:lineRule="auto"/>
              <w:jc w:val="center"/>
            </w:pPr>
            <w:r>
              <w:rPr>
                <w:rFonts w:ascii="Calibri" w:hAnsi="Calibri" w:eastAsia="Microsoft YaHei" w:cs="Calibri"/>
                <w:sz w:val="17"/>
              </w:rPr>
              <w:t>21.3</w:t>
            </w:r>
          </w:p>
        </w:tc>
        <w:tc>
          <w:tcPr>
            <w:tcW w:type="dxa" w:w="1373"/>
            <w:shd w:val="clear" w:color="auto" w:fill="F2F5F9"/>
          </w:tcPr>
          <w:p>
            <w:pPr>
              <w:spacing w:after="20" w:before="20" w:line="252" w:lineRule="auto"/>
              <w:jc w:val="center"/>
            </w:pPr>
            <w:r>
              <w:rPr>
                <w:rFonts w:ascii="Calibri" w:hAnsi="Calibri" w:eastAsia="Microsoft YaHei" w:cs="Calibri"/>
                <w:sz w:val="17"/>
              </w:rPr>
              <w:t>20.7</w:t>
            </w:r>
          </w:p>
        </w:tc>
        <w:tc>
          <w:tcPr>
            <w:tcW w:type="dxa" w:w="1373"/>
            <w:shd w:val="clear" w:color="auto" w:fill="F2F5F9"/>
          </w:tcPr>
          <w:p>
            <w:pPr>
              <w:spacing w:after="20" w:before="20" w:line="252" w:lineRule="auto"/>
              <w:jc w:val="center"/>
            </w:pPr>
            <w:r>
              <w:rPr>
                <w:rFonts w:ascii="Calibri" w:hAnsi="Calibri" w:eastAsia="Microsoft YaHei" w:cs="Calibri"/>
                <w:sz w:val="17"/>
              </w:rPr>
              <w:t>-3.0%</w:t>
            </w:r>
          </w:p>
        </w:tc>
        <w:tc>
          <w:tcPr>
            <w:tcW w:type="dxa" w:w="1373"/>
            <w:shd w:val="clear" w:color="auto" w:fill="F2F5F9"/>
          </w:tcPr>
          <w:p>
            <w:pPr>
              <w:spacing w:after="20" w:before="20" w:line="252" w:lineRule="auto"/>
              <w:jc w:val="center"/>
            </w:pPr>
            <w:r>
              <w:rPr>
                <w:rFonts w:ascii="Calibri" w:hAnsi="Calibri" w:eastAsia="Microsoft YaHei" w:cs="Calibri"/>
                <w:sz w:val="17"/>
              </w:rPr>
              <w:t>+13.6%</w:t>
            </w:r>
          </w:p>
        </w:tc>
      </w:tr>
    </w:tbl>
    <w:p>
      <w:pPr>
        <w:spacing w:after="40"/>
      </w:pPr>
    </w:p>
    <w:p>
      <w:r>
        <w:rPr>
          <w:rFonts w:ascii="Calibri" w:hAnsi="Calibri" w:eastAsia="Microsoft YaHei" w:cs="Calibri"/>
          <w:i/>
          <w:sz w:val="21"/>
        </w:rPr>
        <w:t>Total revenue, $bn, GAAP basis (NII + non-interest income).</w:t>
      </w:r>
    </w:p>
    <w:p>
      <w:pPr>
        <w:pStyle w:val="Heading3"/>
      </w:pPr>
      <w:r>
        <w:rPr>
          <w:rFonts w:ascii="Calibri" w:hAnsi="Calibri" w:eastAsia="Microsoft YaHei" w:cs="Calibri"/>
          <w:b/>
          <w:color w:val="1F4E79"/>
          <w:sz w:val="24"/>
        </w:rPr>
        <w:t>Q3'26E revenue by segment ($bn)</w:t>
      </w:r>
    </w:p>
    <w:tbl>
      <w:tblPr>
        <w:tblStyle w:val="TableGrid"/>
        <w:tblW w:type="auto" w:w="0"/>
        <w:jc w:val="center"/>
        <w:tblLayout w:type="fixed"/>
        <w:tblLook w:firstColumn="1" w:firstRow="1" w:lastColumn="0" w:lastRow="0" w:noHBand="0" w:noVBand="1" w:val="04A0"/>
      </w:tblPr>
      <w:tblGrid>
        <w:gridCol w:w="1264"/>
        <w:gridCol w:w="1511"/>
        <w:gridCol w:w="1977"/>
        <w:gridCol w:w="1977"/>
        <w:gridCol w:w="1511"/>
        <w:gridCol w:w="1511"/>
      </w:tblGrid>
      <w:tr>
        <w:trPr>
          <w:tblHeader w:val="true"/>
          <w:cantSplit/>
        </w:trPr>
        <w:tc>
          <w:tcPr>
            <w:tcW w:type="dxa" w:w="1264"/>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NII</w:t>
            </w:r>
          </w:p>
        </w:tc>
        <w:tc>
          <w:tcPr>
            <w:tcW w:type="dxa" w:w="1977"/>
            <w:shd w:val="clear" w:color="auto" w:fill="1F4E79"/>
          </w:tcPr>
          <w:p>
            <w:pPr>
              <w:spacing w:after="20" w:before="20" w:line="252" w:lineRule="auto"/>
              <w:jc w:val="center"/>
            </w:pPr>
            <w:r>
              <w:rPr>
                <w:rFonts w:ascii="Calibri" w:hAnsi="Calibri" w:eastAsia="Microsoft YaHei" w:cs="Calibri"/>
                <w:b/>
                <w:color w:val="FFFFFF"/>
                <w:sz w:val="17"/>
              </w:rPr>
              <w:t>IB fees</w:t>
            </w:r>
          </w:p>
        </w:tc>
        <w:tc>
          <w:tcPr>
            <w:tcW w:type="dxa" w:w="1977"/>
            <w:shd w:val="clear" w:color="auto" w:fill="1F4E79"/>
          </w:tcPr>
          <w:p>
            <w:pPr>
              <w:spacing w:after="20" w:before="20" w:line="252" w:lineRule="auto"/>
              <w:jc w:val="center"/>
            </w:pPr>
            <w:r>
              <w:rPr>
                <w:rFonts w:ascii="Calibri" w:hAnsi="Calibri" w:eastAsia="Microsoft YaHei" w:cs="Calibri"/>
                <w:b/>
                <w:color w:val="FFFFFF"/>
                <w:sz w:val="17"/>
              </w:rPr>
              <w:t>Trading</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Other</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Total</w:t>
            </w:r>
          </w:p>
        </w:tc>
      </w:tr>
      <w:tr>
        <w:trPr>
          <w:cantSplit/>
        </w:trPr>
        <w:tc>
          <w:tcPr>
            <w:tcW w:type="dxa" w:w="1264"/>
          </w:tcPr>
          <w:p>
            <w:pPr>
              <w:spacing w:after="20" w:before="20" w:line="252" w:lineRule="auto"/>
              <w:jc w:val="left"/>
            </w:pPr>
            <w:r>
              <w:rPr>
                <w:rFonts w:ascii="Calibri" w:hAnsi="Calibri" w:eastAsia="Microsoft YaHei" w:cs="Calibri"/>
                <w:sz w:val="17"/>
              </w:rPr>
              <w:t>JPM</w:t>
            </w:r>
          </w:p>
        </w:tc>
        <w:tc>
          <w:tcPr>
            <w:tcW w:type="dxa" w:w="1511"/>
          </w:tcPr>
          <w:p>
            <w:pPr>
              <w:spacing w:after="20" w:before="20" w:line="252" w:lineRule="auto"/>
              <w:jc w:val="center"/>
            </w:pPr>
            <w:r>
              <w:rPr>
                <w:rFonts w:ascii="Calibri" w:hAnsi="Calibri" w:eastAsia="Microsoft YaHei" w:cs="Calibri"/>
                <w:sz w:val="17"/>
              </w:rPr>
              <w:t>26.51</w:t>
            </w:r>
          </w:p>
        </w:tc>
        <w:tc>
          <w:tcPr>
            <w:tcW w:type="dxa" w:w="1977"/>
          </w:tcPr>
          <w:p>
            <w:pPr>
              <w:spacing w:after="20" w:before="20" w:line="252" w:lineRule="auto"/>
              <w:jc w:val="center"/>
            </w:pPr>
            <w:r>
              <w:rPr>
                <w:rFonts w:ascii="Calibri" w:hAnsi="Calibri" w:eastAsia="Microsoft YaHei" w:cs="Calibri"/>
                <w:sz w:val="17"/>
              </w:rPr>
              <w:t>3.05</w:t>
            </w:r>
          </w:p>
        </w:tc>
        <w:tc>
          <w:tcPr>
            <w:tcW w:type="dxa" w:w="1977"/>
          </w:tcPr>
          <w:p>
            <w:pPr>
              <w:spacing w:after="20" w:before="20" w:line="252" w:lineRule="auto"/>
              <w:jc w:val="center"/>
            </w:pPr>
            <w:r>
              <w:rPr>
                <w:rFonts w:ascii="Calibri" w:hAnsi="Calibri" w:eastAsia="Microsoft YaHei" w:cs="Calibri"/>
                <w:sz w:val="17"/>
              </w:rPr>
              <w:t>7.31</w:t>
            </w:r>
          </w:p>
        </w:tc>
        <w:tc>
          <w:tcPr>
            <w:tcW w:type="dxa" w:w="1511"/>
          </w:tcPr>
          <w:p>
            <w:pPr>
              <w:spacing w:after="20" w:before="20" w:line="252" w:lineRule="auto"/>
              <w:jc w:val="center"/>
            </w:pPr>
            <w:r>
              <w:rPr>
                <w:rFonts w:ascii="Calibri" w:hAnsi="Calibri" w:eastAsia="Microsoft YaHei" w:cs="Calibri"/>
                <w:sz w:val="17"/>
              </w:rPr>
              <w:t>14.56</w:t>
            </w:r>
          </w:p>
        </w:tc>
        <w:tc>
          <w:tcPr>
            <w:tcW w:type="dxa" w:w="1511"/>
          </w:tcPr>
          <w:p>
            <w:pPr>
              <w:spacing w:after="20" w:before="20" w:line="252" w:lineRule="auto"/>
              <w:jc w:val="center"/>
            </w:pPr>
            <w:r>
              <w:rPr>
                <w:rFonts w:ascii="Calibri" w:hAnsi="Calibri" w:eastAsia="Microsoft YaHei" w:cs="Calibri"/>
                <w:sz w:val="17"/>
              </w:rPr>
              <w:t>51.43</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BAC</w:t>
            </w:r>
          </w:p>
        </w:tc>
        <w:tc>
          <w:tcPr>
            <w:tcW w:type="dxa" w:w="1511"/>
            <w:shd w:val="clear" w:color="auto" w:fill="F2F5F9"/>
          </w:tcPr>
          <w:p>
            <w:pPr>
              <w:spacing w:after="20" w:before="20" w:line="252" w:lineRule="auto"/>
              <w:jc w:val="center"/>
            </w:pPr>
            <w:r>
              <w:rPr>
                <w:rFonts w:ascii="Calibri" w:hAnsi="Calibri" w:eastAsia="Microsoft YaHei" w:cs="Calibri"/>
                <w:sz w:val="17"/>
              </w:rPr>
              <w:t>16.30</w:t>
            </w:r>
          </w:p>
        </w:tc>
        <w:tc>
          <w:tcPr>
            <w:tcW w:type="dxa" w:w="1977"/>
            <w:shd w:val="clear" w:color="auto" w:fill="F2F5F9"/>
          </w:tcPr>
          <w:p>
            <w:pPr>
              <w:spacing w:after="20" w:before="20" w:line="252" w:lineRule="auto"/>
              <w:jc w:val="center"/>
            </w:pPr>
            <w:r>
              <w:rPr>
                <w:rFonts w:ascii="Calibri" w:hAnsi="Calibri" w:eastAsia="Microsoft YaHei" w:cs="Calibri"/>
                <w:sz w:val="17"/>
              </w:rPr>
              <w:t>1.74</w:t>
            </w:r>
          </w:p>
        </w:tc>
        <w:tc>
          <w:tcPr>
            <w:tcW w:type="dxa" w:w="1977"/>
            <w:shd w:val="clear" w:color="auto" w:fill="F2F5F9"/>
          </w:tcPr>
          <w:p>
            <w:pPr>
              <w:spacing w:after="20" w:before="20" w:line="252" w:lineRule="auto"/>
              <w:jc w:val="center"/>
            </w:pPr>
            <w:r>
              <w:rPr>
                <w:rFonts w:ascii="Calibri" w:hAnsi="Calibri" w:eastAsia="Microsoft YaHei" w:cs="Calibri"/>
                <w:sz w:val="17"/>
              </w:rPr>
              <w:t>2.63</w:t>
            </w:r>
          </w:p>
        </w:tc>
        <w:tc>
          <w:tcPr>
            <w:tcW w:type="dxa" w:w="1511"/>
            <w:shd w:val="clear" w:color="auto" w:fill="F2F5F9"/>
          </w:tcPr>
          <w:p>
            <w:pPr>
              <w:spacing w:after="20" w:before="20" w:line="252" w:lineRule="auto"/>
              <w:jc w:val="center"/>
            </w:pPr>
            <w:r>
              <w:rPr>
                <w:rFonts w:ascii="Calibri" w:hAnsi="Calibri" w:eastAsia="Microsoft YaHei" w:cs="Calibri"/>
                <w:sz w:val="17"/>
              </w:rPr>
              <w:t>9.40</w:t>
            </w:r>
          </w:p>
        </w:tc>
        <w:tc>
          <w:tcPr>
            <w:tcW w:type="dxa" w:w="1511"/>
            <w:shd w:val="clear" w:color="auto" w:fill="F2F5F9"/>
          </w:tcPr>
          <w:p>
            <w:pPr>
              <w:spacing w:after="20" w:before="20" w:line="252" w:lineRule="auto"/>
              <w:jc w:val="center"/>
            </w:pPr>
            <w:r>
              <w:rPr>
                <w:rFonts w:ascii="Calibri" w:hAnsi="Calibri" w:eastAsia="Microsoft YaHei" w:cs="Calibri"/>
                <w:sz w:val="17"/>
              </w:rPr>
              <w:t>30.06</w:t>
            </w:r>
          </w:p>
        </w:tc>
      </w:tr>
      <w:tr>
        <w:trPr>
          <w:cantSplit/>
        </w:trPr>
        <w:tc>
          <w:tcPr>
            <w:tcW w:type="dxa" w:w="1264"/>
          </w:tcPr>
          <w:p>
            <w:pPr>
              <w:spacing w:after="20" w:before="20" w:line="252" w:lineRule="auto"/>
              <w:jc w:val="left"/>
            </w:pPr>
            <w:r>
              <w:rPr>
                <w:rFonts w:ascii="Calibri" w:hAnsi="Calibri" w:eastAsia="Microsoft YaHei" w:cs="Calibri"/>
                <w:sz w:val="17"/>
              </w:rPr>
              <w:t>C</w:t>
            </w:r>
          </w:p>
        </w:tc>
        <w:tc>
          <w:tcPr>
            <w:tcW w:type="dxa" w:w="1511"/>
          </w:tcPr>
          <w:p>
            <w:pPr>
              <w:spacing w:after="20" w:before="20" w:line="252" w:lineRule="auto"/>
              <w:jc w:val="center"/>
            </w:pPr>
            <w:r>
              <w:rPr>
                <w:rFonts w:ascii="Calibri" w:hAnsi="Calibri" w:eastAsia="Microsoft YaHei" w:cs="Calibri"/>
                <w:sz w:val="17"/>
              </w:rPr>
              <w:t>17.13</w:t>
            </w:r>
          </w:p>
        </w:tc>
        <w:tc>
          <w:tcPr>
            <w:tcW w:type="dxa" w:w="1977"/>
          </w:tcPr>
          <w:p>
            <w:pPr>
              <w:spacing w:after="20" w:before="20" w:line="252" w:lineRule="auto"/>
              <w:jc w:val="center"/>
            </w:pPr>
            <w:r>
              <w:rPr>
                <w:rFonts w:ascii="Calibri" w:hAnsi="Calibri" w:eastAsia="Microsoft YaHei" w:cs="Calibri"/>
                <w:sz w:val="17"/>
              </w:rPr>
              <w:t>1.21</w:t>
            </w:r>
          </w:p>
        </w:tc>
        <w:tc>
          <w:tcPr>
            <w:tcW w:type="dxa" w:w="1977"/>
          </w:tcPr>
          <w:p>
            <w:pPr>
              <w:spacing w:after="20" w:before="20" w:line="252" w:lineRule="auto"/>
              <w:jc w:val="center"/>
            </w:pPr>
            <w:r>
              <w:rPr>
                <w:rFonts w:ascii="Calibri" w:hAnsi="Calibri" w:eastAsia="Microsoft YaHei" w:cs="Calibri"/>
                <w:sz w:val="17"/>
              </w:rPr>
              <w:t>1.78</w:t>
            </w:r>
          </w:p>
        </w:tc>
        <w:tc>
          <w:tcPr>
            <w:tcW w:type="dxa" w:w="1511"/>
          </w:tcPr>
          <w:p>
            <w:pPr>
              <w:spacing w:after="20" w:before="20" w:line="252" w:lineRule="auto"/>
              <w:jc w:val="center"/>
            </w:pPr>
            <w:r>
              <w:rPr>
                <w:rFonts w:ascii="Calibri" w:hAnsi="Calibri" w:eastAsia="Microsoft YaHei" w:cs="Calibri"/>
                <w:sz w:val="17"/>
              </w:rPr>
              <w:t>4.05</w:t>
            </w:r>
          </w:p>
        </w:tc>
        <w:tc>
          <w:tcPr>
            <w:tcW w:type="dxa" w:w="1511"/>
          </w:tcPr>
          <w:p>
            <w:pPr>
              <w:spacing w:after="20" w:before="20" w:line="252" w:lineRule="auto"/>
              <w:jc w:val="center"/>
            </w:pPr>
            <w:r>
              <w:rPr>
                <w:rFonts w:ascii="Calibri" w:hAnsi="Calibri" w:eastAsia="Microsoft YaHei" w:cs="Calibri"/>
                <w:sz w:val="17"/>
              </w:rPr>
              <w:t>24.17</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WFC</w:t>
            </w:r>
          </w:p>
        </w:tc>
        <w:tc>
          <w:tcPr>
            <w:tcW w:type="dxa" w:w="1511"/>
            <w:shd w:val="clear" w:color="auto" w:fill="F2F5F9"/>
          </w:tcPr>
          <w:p>
            <w:pPr>
              <w:spacing w:after="20" w:before="20" w:line="252" w:lineRule="auto"/>
              <w:jc w:val="center"/>
            </w:pPr>
            <w:r>
              <w:rPr>
                <w:rFonts w:ascii="Calibri" w:hAnsi="Calibri" w:eastAsia="Microsoft YaHei" w:cs="Calibri"/>
                <w:sz w:val="17"/>
              </w:rPr>
              <w:t>12.52</w:t>
            </w:r>
          </w:p>
        </w:tc>
        <w:tc>
          <w:tcPr>
            <w:tcW w:type="dxa" w:w="1977"/>
            <w:shd w:val="clear" w:color="auto" w:fill="F2F5F9"/>
          </w:tcPr>
          <w:p>
            <w:pPr>
              <w:spacing w:after="20" w:before="20" w:line="252" w:lineRule="auto"/>
              <w:jc w:val="center"/>
            </w:pPr>
            <w:r>
              <w:rPr>
                <w:rFonts w:ascii="Calibri" w:hAnsi="Calibri" w:eastAsia="Microsoft YaHei" w:cs="Calibri"/>
                <w:sz w:val="17"/>
              </w:rPr>
              <w:t>0.94</w:t>
            </w:r>
          </w:p>
        </w:tc>
        <w:tc>
          <w:tcPr>
            <w:tcW w:type="dxa" w:w="1977"/>
            <w:shd w:val="clear" w:color="auto" w:fill="F2F5F9"/>
          </w:tcPr>
          <w:p>
            <w:pPr>
              <w:spacing w:after="20" w:before="20" w:line="252" w:lineRule="auto"/>
              <w:jc w:val="center"/>
            </w:pPr>
            <w:r>
              <w:rPr>
                <w:rFonts w:ascii="Calibri" w:hAnsi="Calibri" w:eastAsia="Microsoft YaHei" w:cs="Calibri"/>
                <w:sz w:val="17"/>
              </w:rPr>
              <w:t>1.39</w:t>
            </w:r>
          </w:p>
        </w:tc>
        <w:tc>
          <w:tcPr>
            <w:tcW w:type="dxa" w:w="1511"/>
            <w:shd w:val="clear" w:color="auto" w:fill="F2F5F9"/>
          </w:tcPr>
          <w:p>
            <w:pPr>
              <w:spacing w:after="20" w:before="20" w:line="252" w:lineRule="auto"/>
              <w:jc w:val="center"/>
            </w:pPr>
            <w:r>
              <w:rPr>
                <w:rFonts w:ascii="Calibri" w:hAnsi="Calibri" w:eastAsia="Microsoft YaHei" w:cs="Calibri"/>
                <w:sz w:val="17"/>
              </w:rPr>
              <w:t>7.52</w:t>
            </w:r>
          </w:p>
        </w:tc>
        <w:tc>
          <w:tcPr>
            <w:tcW w:type="dxa" w:w="1511"/>
            <w:shd w:val="clear" w:color="auto" w:fill="F2F5F9"/>
          </w:tcPr>
          <w:p>
            <w:pPr>
              <w:spacing w:after="20" w:before="20" w:line="252" w:lineRule="auto"/>
              <w:jc w:val="center"/>
            </w:pPr>
            <w:r>
              <w:rPr>
                <w:rFonts w:ascii="Calibri" w:hAnsi="Calibri" w:eastAsia="Microsoft YaHei" w:cs="Calibri"/>
                <w:sz w:val="17"/>
              </w:rPr>
              <w:t>22.37</w:t>
            </w:r>
          </w:p>
        </w:tc>
      </w:tr>
      <w:tr>
        <w:trPr>
          <w:cantSplit/>
        </w:trPr>
        <w:tc>
          <w:tcPr>
            <w:tcW w:type="dxa" w:w="1264"/>
          </w:tcPr>
          <w:p>
            <w:pPr>
              <w:spacing w:after="20" w:before="20" w:line="252" w:lineRule="auto"/>
              <w:jc w:val="left"/>
            </w:pPr>
            <w:r>
              <w:rPr>
                <w:rFonts w:ascii="Calibri" w:hAnsi="Calibri" w:eastAsia="Microsoft YaHei" w:cs="Calibri"/>
                <w:sz w:val="17"/>
              </w:rPr>
              <w:t>GS</w:t>
            </w:r>
          </w:p>
        </w:tc>
        <w:tc>
          <w:tcPr>
            <w:tcW w:type="dxa" w:w="1511"/>
          </w:tcPr>
          <w:p>
            <w:pPr>
              <w:spacing w:after="20" w:before="20" w:line="252" w:lineRule="auto"/>
              <w:jc w:val="center"/>
            </w:pPr>
            <w:r>
              <w:rPr>
                <w:rFonts w:ascii="Calibri" w:hAnsi="Calibri" w:eastAsia="Microsoft YaHei" w:cs="Calibri"/>
                <w:sz w:val="17"/>
              </w:rPr>
              <w:t>3.95</w:t>
            </w:r>
          </w:p>
        </w:tc>
        <w:tc>
          <w:tcPr>
            <w:tcW w:type="dxa" w:w="1977"/>
          </w:tcPr>
          <w:p>
            <w:pPr>
              <w:spacing w:after="20" w:before="20" w:line="252" w:lineRule="auto"/>
              <w:jc w:val="center"/>
            </w:pPr>
            <w:r>
              <w:rPr>
                <w:rFonts w:ascii="Calibri" w:hAnsi="Calibri" w:eastAsia="Microsoft YaHei" w:cs="Calibri"/>
                <w:sz w:val="17"/>
              </w:rPr>
              <w:t>3.10</w:t>
            </w:r>
          </w:p>
        </w:tc>
        <w:tc>
          <w:tcPr>
            <w:tcW w:type="dxa" w:w="1977"/>
          </w:tcPr>
          <w:p>
            <w:pPr>
              <w:spacing w:after="20" w:before="20" w:line="252" w:lineRule="auto"/>
              <w:jc w:val="center"/>
            </w:pPr>
            <w:r>
              <w:rPr>
                <w:rFonts w:ascii="Calibri" w:hAnsi="Calibri" w:eastAsia="Microsoft YaHei" w:cs="Calibri"/>
                <w:sz w:val="17"/>
              </w:rPr>
              <w:t>6.74</w:t>
            </w:r>
          </w:p>
        </w:tc>
        <w:tc>
          <w:tcPr>
            <w:tcW w:type="dxa" w:w="1511"/>
          </w:tcPr>
          <w:p>
            <w:pPr>
              <w:spacing w:after="20" w:before="20" w:line="252" w:lineRule="auto"/>
              <w:jc w:val="center"/>
            </w:pPr>
            <w:r>
              <w:rPr>
                <w:rFonts w:ascii="Calibri" w:hAnsi="Calibri" w:eastAsia="Microsoft YaHei" w:cs="Calibri"/>
                <w:sz w:val="17"/>
              </w:rPr>
              <w:t>3.75</w:t>
            </w:r>
          </w:p>
        </w:tc>
        <w:tc>
          <w:tcPr>
            <w:tcW w:type="dxa" w:w="1511"/>
          </w:tcPr>
          <w:p>
            <w:pPr>
              <w:spacing w:after="20" w:before="20" w:line="252" w:lineRule="auto"/>
              <w:jc w:val="center"/>
            </w:pPr>
            <w:r>
              <w:rPr>
                <w:rFonts w:ascii="Calibri" w:hAnsi="Calibri" w:eastAsia="Microsoft YaHei" w:cs="Calibri"/>
                <w:sz w:val="17"/>
              </w:rPr>
              <w:t>17.54</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MS</w:t>
            </w:r>
          </w:p>
        </w:tc>
        <w:tc>
          <w:tcPr>
            <w:tcW w:type="dxa" w:w="1511"/>
            <w:shd w:val="clear" w:color="auto" w:fill="F2F5F9"/>
          </w:tcPr>
          <w:p>
            <w:pPr>
              <w:spacing w:after="20" w:before="20" w:line="252" w:lineRule="auto"/>
              <w:jc w:val="center"/>
            </w:pPr>
            <w:r>
              <w:rPr>
                <w:rFonts w:ascii="Calibri" w:hAnsi="Calibri" w:eastAsia="Microsoft YaHei" w:cs="Calibri"/>
                <w:sz w:val="17"/>
              </w:rPr>
              <w:t>2.78</w:t>
            </w:r>
          </w:p>
        </w:tc>
        <w:tc>
          <w:tcPr>
            <w:tcW w:type="dxa" w:w="1977"/>
            <w:shd w:val="clear" w:color="auto" w:fill="F2F5F9"/>
          </w:tcPr>
          <w:p>
            <w:pPr>
              <w:spacing w:after="20" w:before="20" w:line="252" w:lineRule="auto"/>
              <w:jc w:val="center"/>
            </w:pPr>
            <w:r>
              <w:rPr>
                <w:rFonts w:ascii="Calibri" w:hAnsi="Calibri" w:eastAsia="Microsoft YaHei" w:cs="Calibri"/>
                <w:sz w:val="17"/>
              </w:rPr>
              <w:t>2.75</w:t>
            </w:r>
          </w:p>
        </w:tc>
        <w:tc>
          <w:tcPr>
            <w:tcW w:type="dxa" w:w="1977"/>
            <w:shd w:val="clear" w:color="auto" w:fill="F2F5F9"/>
          </w:tcPr>
          <w:p>
            <w:pPr>
              <w:spacing w:after="20" w:before="20" w:line="252" w:lineRule="auto"/>
              <w:jc w:val="center"/>
            </w:pPr>
            <w:r>
              <w:rPr>
                <w:rFonts w:ascii="Calibri" w:hAnsi="Calibri" w:eastAsia="Microsoft YaHei" w:cs="Calibri"/>
                <w:sz w:val="17"/>
              </w:rPr>
              <w:t>6.02</w:t>
            </w:r>
          </w:p>
        </w:tc>
        <w:tc>
          <w:tcPr>
            <w:tcW w:type="dxa" w:w="1511"/>
            <w:shd w:val="clear" w:color="auto" w:fill="F2F5F9"/>
          </w:tcPr>
          <w:p>
            <w:pPr>
              <w:spacing w:after="20" w:before="20" w:line="252" w:lineRule="auto"/>
              <w:jc w:val="center"/>
            </w:pPr>
            <w:r>
              <w:rPr>
                <w:rFonts w:ascii="Calibri" w:hAnsi="Calibri" w:eastAsia="Microsoft YaHei" w:cs="Calibri"/>
                <w:sz w:val="17"/>
              </w:rPr>
              <w:t>9.14</w:t>
            </w:r>
          </w:p>
        </w:tc>
        <w:tc>
          <w:tcPr>
            <w:tcW w:type="dxa" w:w="1511"/>
            <w:shd w:val="clear" w:color="auto" w:fill="F2F5F9"/>
          </w:tcPr>
          <w:p>
            <w:pPr>
              <w:spacing w:after="20" w:before="20" w:line="252" w:lineRule="auto"/>
              <w:jc w:val="center"/>
            </w:pPr>
            <w:r>
              <w:rPr>
                <w:rFonts w:ascii="Calibri" w:hAnsi="Calibri" w:eastAsia="Microsoft YaHei" w:cs="Calibri"/>
                <w:sz w:val="17"/>
              </w:rPr>
              <w:t>20.70</w:t>
            </w:r>
          </w:p>
        </w:tc>
      </w:tr>
    </w:tbl>
    <w:p>
      <w:pPr>
        <w:spacing w:after="40"/>
      </w:pPr>
    </w:p>
    <w:p>
      <w:pPr>
        <w:keepNext/>
        <w:spacing w:before="120"/>
        <w:jc w:val="center"/>
      </w:pPr>
      <w:r>
        <w:drawing>
          <wp:inline xmlns:a="http://schemas.openxmlformats.org/drawingml/2006/main" xmlns:pic="http://schemas.openxmlformats.org/drawingml/2006/picture">
            <wp:extent cx="6048000" cy="4507207"/>
            <wp:docPr id="6" name="Picture 6"/>
            <wp:cNvGraphicFramePr>
              <a:graphicFrameLocks noChangeAspect="1"/>
            </wp:cNvGraphicFramePr>
            <a:graphic>
              <a:graphicData uri="http://schemas.openxmlformats.org/drawingml/2006/picture">
                <pic:pic>
                  <pic:nvPicPr>
                    <pic:cNvPr id="0" name="f06_segment_changes.png"/>
                    <pic:cNvPicPr/>
                  </pic:nvPicPr>
                  <pic:blipFill>
                    <a:blip r:embed="rId16"/>
                    <a:stretch>
                      <a:fillRect/>
                    </a:stretch>
                  </pic:blipFill>
                  <pic:spPr>
                    <a:xfrm>
                      <a:off x="0" y="0"/>
                      <a:ext cx="6048000" cy="4507207"/>
                    </a:xfrm>
                    <a:prstGeom prst="rect"/>
                  </pic:spPr>
                </pic:pic>
              </a:graphicData>
            </a:graphic>
          </wp:inline>
        </w:drawing>
      </w:r>
    </w:p>
    <w:p>
      <w:pPr>
        <w:spacing w:after="200"/>
        <w:jc w:val="center"/>
      </w:pPr>
      <w:r>
        <w:rPr>
          <w:rFonts w:ascii="Calibri" w:hAnsi="Calibri" w:eastAsia="Microsoft YaHei" w:cs="Calibri"/>
          <w:i/>
          <w:color w:val="555555"/>
          <w:sz w:val="18"/>
        </w:rPr>
        <w:t>Figure 6. Q3E change vs. Q2'26 (top) and vs. Q3'25 (bottom) by segment ($bn)</w:t>
      </w:r>
    </w:p>
    <w:p>
      <w:pPr>
        <w:pStyle w:val="Heading3"/>
      </w:pPr>
      <w:r>
        <w:rPr>
          <w:rFonts w:ascii="Calibri" w:hAnsi="Calibri" w:eastAsia="Microsoft YaHei" w:cs="Calibri"/>
          <w:b/>
          <w:color w:val="1F4E79"/>
          <w:sz w:val="24"/>
        </w:rPr>
        <w:t>Q3'26E change vs. Q2'26 ($bn)</w:t>
      </w:r>
    </w:p>
    <w:tbl>
      <w:tblPr>
        <w:tblStyle w:val="TableGrid"/>
        <w:tblW w:type="auto" w:w="0"/>
        <w:jc w:val="center"/>
        <w:tblLayout w:type="fixed"/>
        <w:tblLook w:firstColumn="1" w:firstRow="1" w:lastColumn="0" w:lastRow="0" w:noHBand="0" w:noVBand="1" w:val="04A0"/>
      </w:tblPr>
      <w:tblGrid>
        <w:gridCol w:w="1264"/>
        <w:gridCol w:w="1511"/>
        <w:gridCol w:w="1977"/>
        <w:gridCol w:w="1977"/>
        <w:gridCol w:w="1511"/>
        <w:gridCol w:w="1511"/>
      </w:tblGrid>
      <w:tr>
        <w:trPr>
          <w:tblHeader w:val="true"/>
          <w:cantSplit/>
        </w:trPr>
        <w:tc>
          <w:tcPr>
            <w:tcW w:type="dxa" w:w="1264"/>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NII</w:t>
            </w:r>
          </w:p>
        </w:tc>
        <w:tc>
          <w:tcPr>
            <w:tcW w:type="dxa" w:w="1977"/>
            <w:shd w:val="clear" w:color="auto" w:fill="1F4E79"/>
          </w:tcPr>
          <w:p>
            <w:pPr>
              <w:spacing w:after="20" w:before="20" w:line="252" w:lineRule="auto"/>
              <w:jc w:val="center"/>
            </w:pPr>
            <w:r>
              <w:rPr>
                <w:rFonts w:ascii="Calibri" w:hAnsi="Calibri" w:eastAsia="Microsoft YaHei" w:cs="Calibri"/>
                <w:b/>
                <w:color w:val="FFFFFF"/>
                <w:sz w:val="17"/>
              </w:rPr>
              <w:t>IB fees</w:t>
            </w:r>
          </w:p>
        </w:tc>
        <w:tc>
          <w:tcPr>
            <w:tcW w:type="dxa" w:w="1977"/>
            <w:shd w:val="clear" w:color="auto" w:fill="1F4E79"/>
          </w:tcPr>
          <w:p>
            <w:pPr>
              <w:spacing w:after="20" w:before="20" w:line="252" w:lineRule="auto"/>
              <w:jc w:val="center"/>
            </w:pPr>
            <w:r>
              <w:rPr>
                <w:rFonts w:ascii="Calibri" w:hAnsi="Calibri" w:eastAsia="Microsoft YaHei" w:cs="Calibri"/>
                <w:b/>
                <w:color w:val="FFFFFF"/>
                <w:sz w:val="17"/>
              </w:rPr>
              <w:t>Trading</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Other</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Total</w:t>
            </w:r>
          </w:p>
        </w:tc>
      </w:tr>
      <w:tr>
        <w:trPr>
          <w:cantSplit/>
        </w:trPr>
        <w:tc>
          <w:tcPr>
            <w:tcW w:type="dxa" w:w="1264"/>
          </w:tcPr>
          <w:p>
            <w:pPr>
              <w:spacing w:after="20" w:before="20" w:line="252" w:lineRule="auto"/>
              <w:jc w:val="left"/>
            </w:pPr>
            <w:r>
              <w:rPr>
                <w:rFonts w:ascii="Calibri" w:hAnsi="Calibri" w:eastAsia="Microsoft YaHei" w:cs="Calibri"/>
                <w:sz w:val="17"/>
              </w:rPr>
              <w:t>JPM</w:t>
            </w:r>
          </w:p>
        </w:tc>
        <w:tc>
          <w:tcPr>
            <w:tcW w:type="dxa" w:w="1511"/>
          </w:tcPr>
          <w:p>
            <w:pPr>
              <w:spacing w:after="20" w:before="20" w:line="252" w:lineRule="auto"/>
              <w:jc w:val="center"/>
            </w:pPr>
            <w:r>
              <w:rPr>
                <w:rFonts w:ascii="Calibri" w:hAnsi="Calibri" w:eastAsia="Microsoft YaHei" w:cs="Calibri"/>
                <w:sz w:val="17"/>
              </w:rPr>
              <w:t>+1.00</w:t>
            </w:r>
          </w:p>
        </w:tc>
        <w:tc>
          <w:tcPr>
            <w:tcW w:type="dxa" w:w="1977"/>
          </w:tcPr>
          <w:p>
            <w:pPr>
              <w:spacing w:after="20" w:before="20" w:line="252" w:lineRule="auto"/>
              <w:jc w:val="center"/>
            </w:pPr>
            <w:r>
              <w:rPr>
                <w:rFonts w:ascii="Calibri" w:hAnsi="Calibri" w:eastAsia="Microsoft YaHei" w:cs="Calibri"/>
                <w:sz w:val="17"/>
              </w:rPr>
              <w:t>-0.16</w:t>
            </w:r>
          </w:p>
        </w:tc>
        <w:tc>
          <w:tcPr>
            <w:tcW w:type="dxa" w:w="1977"/>
          </w:tcPr>
          <w:p>
            <w:pPr>
              <w:spacing w:after="20" w:before="20" w:line="252" w:lineRule="auto"/>
              <w:jc w:val="center"/>
            </w:pPr>
            <w:r>
              <w:rPr>
                <w:rFonts w:ascii="Calibri" w:hAnsi="Calibri" w:eastAsia="Microsoft YaHei" w:cs="Calibri"/>
                <w:sz w:val="17"/>
              </w:rPr>
              <w:t>-1.70</w:t>
            </w:r>
          </w:p>
        </w:tc>
        <w:tc>
          <w:tcPr>
            <w:tcW w:type="dxa" w:w="1511"/>
          </w:tcPr>
          <w:p>
            <w:pPr>
              <w:spacing w:after="20" w:before="20" w:line="252" w:lineRule="auto"/>
              <w:jc w:val="center"/>
            </w:pPr>
            <w:r>
              <w:rPr>
                <w:rFonts w:ascii="Calibri" w:hAnsi="Calibri" w:eastAsia="Microsoft YaHei" w:cs="Calibri"/>
                <w:sz w:val="17"/>
              </w:rPr>
              <w:t>+0.30</w:t>
            </w:r>
          </w:p>
        </w:tc>
        <w:tc>
          <w:tcPr>
            <w:tcW w:type="dxa" w:w="1511"/>
          </w:tcPr>
          <w:p>
            <w:pPr>
              <w:spacing w:after="20" w:before="20" w:line="252" w:lineRule="auto"/>
              <w:jc w:val="center"/>
            </w:pPr>
            <w:r>
              <w:rPr>
                <w:rFonts w:ascii="Calibri" w:hAnsi="Calibri" w:eastAsia="Microsoft YaHei" w:cs="Calibri"/>
                <w:sz w:val="17"/>
              </w:rPr>
              <w:t>-0.56</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BAC</w:t>
            </w:r>
          </w:p>
        </w:tc>
        <w:tc>
          <w:tcPr>
            <w:tcW w:type="dxa" w:w="1511"/>
            <w:shd w:val="clear" w:color="auto" w:fill="F2F5F9"/>
          </w:tcPr>
          <w:p>
            <w:pPr>
              <w:spacing w:after="20" w:before="20" w:line="252" w:lineRule="auto"/>
              <w:jc w:val="center"/>
            </w:pPr>
            <w:r>
              <w:rPr>
                <w:rFonts w:ascii="Calibri" w:hAnsi="Calibri" w:eastAsia="Microsoft YaHei" w:cs="Calibri"/>
                <w:sz w:val="17"/>
              </w:rPr>
              <w:t>+0.30</w:t>
            </w:r>
          </w:p>
        </w:tc>
        <w:tc>
          <w:tcPr>
            <w:tcW w:type="dxa" w:w="1977"/>
            <w:shd w:val="clear" w:color="auto" w:fill="F2F5F9"/>
          </w:tcPr>
          <w:p>
            <w:pPr>
              <w:spacing w:after="20" w:before="20" w:line="252" w:lineRule="auto"/>
              <w:jc w:val="center"/>
            </w:pPr>
            <w:r>
              <w:rPr>
                <w:rFonts w:ascii="Calibri" w:hAnsi="Calibri" w:eastAsia="Microsoft YaHei" w:cs="Calibri"/>
                <w:sz w:val="17"/>
              </w:rPr>
              <w:t>-0.40</w:t>
            </w:r>
          </w:p>
        </w:tc>
        <w:tc>
          <w:tcPr>
            <w:tcW w:type="dxa" w:w="1977"/>
            <w:shd w:val="clear" w:color="auto" w:fill="F2F5F9"/>
          </w:tcPr>
          <w:p>
            <w:pPr>
              <w:spacing w:after="20" w:before="20" w:line="252" w:lineRule="auto"/>
              <w:jc w:val="center"/>
            </w:pPr>
            <w:r>
              <w:rPr>
                <w:rFonts w:ascii="Calibri" w:hAnsi="Calibri" w:eastAsia="Microsoft YaHei" w:cs="Calibri"/>
                <w:sz w:val="17"/>
              </w:rPr>
              <w:t>-1.55</w:t>
            </w:r>
          </w:p>
        </w:tc>
        <w:tc>
          <w:tcPr>
            <w:tcW w:type="dxa" w:w="1511"/>
            <w:shd w:val="clear" w:color="auto" w:fill="F2F5F9"/>
          </w:tcPr>
          <w:p>
            <w:pPr>
              <w:spacing w:after="20" w:before="20" w:line="252" w:lineRule="auto"/>
              <w:jc w:val="center"/>
            </w:pPr>
            <w:r>
              <w:rPr>
                <w:rFonts w:ascii="Calibri" w:hAnsi="Calibri" w:eastAsia="Microsoft YaHei" w:cs="Calibri"/>
                <w:sz w:val="17"/>
              </w:rPr>
              <w:t>+0.15</w:t>
            </w:r>
          </w:p>
        </w:tc>
        <w:tc>
          <w:tcPr>
            <w:tcW w:type="dxa" w:w="1511"/>
            <w:shd w:val="clear" w:color="auto" w:fill="F2F5F9"/>
          </w:tcPr>
          <w:p>
            <w:pPr>
              <w:spacing w:after="20" w:before="20" w:line="252" w:lineRule="auto"/>
              <w:jc w:val="center"/>
            </w:pPr>
            <w:r>
              <w:rPr>
                <w:rFonts w:ascii="Calibri" w:hAnsi="Calibri" w:eastAsia="Microsoft YaHei" w:cs="Calibri"/>
                <w:sz w:val="17"/>
              </w:rPr>
              <w:t>-1.50</w:t>
            </w:r>
          </w:p>
        </w:tc>
      </w:tr>
      <w:tr>
        <w:trPr>
          <w:cantSplit/>
        </w:trPr>
        <w:tc>
          <w:tcPr>
            <w:tcW w:type="dxa" w:w="1264"/>
          </w:tcPr>
          <w:p>
            <w:pPr>
              <w:spacing w:after="20" w:before="20" w:line="252" w:lineRule="auto"/>
              <w:jc w:val="left"/>
            </w:pPr>
            <w:r>
              <w:rPr>
                <w:rFonts w:ascii="Calibri" w:hAnsi="Calibri" w:eastAsia="Microsoft YaHei" w:cs="Calibri"/>
                <w:sz w:val="17"/>
              </w:rPr>
              <w:t>C</w:t>
            </w:r>
          </w:p>
        </w:tc>
        <w:tc>
          <w:tcPr>
            <w:tcW w:type="dxa" w:w="1511"/>
          </w:tcPr>
          <w:p>
            <w:pPr>
              <w:spacing w:after="20" w:before="20" w:line="252" w:lineRule="auto"/>
              <w:jc w:val="center"/>
            </w:pPr>
            <w:r>
              <w:rPr>
                <w:rFonts w:ascii="Calibri" w:hAnsi="Calibri" w:eastAsia="Microsoft YaHei" w:cs="Calibri"/>
                <w:sz w:val="17"/>
              </w:rPr>
              <w:t>0.00</w:t>
            </w:r>
          </w:p>
        </w:tc>
        <w:tc>
          <w:tcPr>
            <w:tcW w:type="dxa" w:w="1977"/>
          </w:tcPr>
          <w:p>
            <w:pPr>
              <w:spacing w:after="20" w:before="20" w:line="252" w:lineRule="auto"/>
              <w:jc w:val="center"/>
            </w:pPr>
            <w:r>
              <w:rPr>
                <w:rFonts w:ascii="Calibri" w:hAnsi="Calibri" w:eastAsia="Microsoft YaHei" w:cs="Calibri"/>
                <w:sz w:val="17"/>
              </w:rPr>
              <w:t>-0.15</w:t>
            </w:r>
          </w:p>
        </w:tc>
        <w:tc>
          <w:tcPr>
            <w:tcW w:type="dxa" w:w="1977"/>
          </w:tcPr>
          <w:p>
            <w:pPr>
              <w:spacing w:after="20" w:before="20" w:line="252" w:lineRule="auto"/>
              <w:jc w:val="center"/>
            </w:pPr>
            <w:r>
              <w:rPr>
                <w:rFonts w:ascii="Calibri" w:hAnsi="Calibri" w:eastAsia="Microsoft YaHei" w:cs="Calibri"/>
                <w:sz w:val="17"/>
              </w:rPr>
              <w:t>-0.70</w:t>
            </w:r>
          </w:p>
        </w:tc>
        <w:tc>
          <w:tcPr>
            <w:tcW w:type="dxa" w:w="1511"/>
          </w:tcPr>
          <w:p>
            <w:pPr>
              <w:spacing w:after="20" w:before="20" w:line="252" w:lineRule="auto"/>
              <w:jc w:val="center"/>
            </w:pPr>
            <w:r>
              <w:rPr>
                <w:rFonts w:ascii="Calibri" w:hAnsi="Calibri" w:eastAsia="Microsoft YaHei" w:cs="Calibri"/>
                <w:sz w:val="17"/>
              </w:rPr>
              <w:t>+0.25</w:t>
            </w:r>
          </w:p>
        </w:tc>
        <w:tc>
          <w:tcPr>
            <w:tcW w:type="dxa" w:w="1511"/>
          </w:tcPr>
          <w:p>
            <w:pPr>
              <w:spacing w:after="20" w:before="20" w:line="252" w:lineRule="auto"/>
              <w:jc w:val="center"/>
            </w:pPr>
            <w:r>
              <w:rPr>
                <w:rFonts w:ascii="Calibri" w:hAnsi="Calibri" w:eastAsia="Microsoft YaHei" w:cs="Calibri"/>
                <w:sz w:val="17"/>
              </w:rPr>
              <w:t>-0.60</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WFC</w:t>
            </w:r>
          </w:p>
        </w:tc>
        <w:tc>
          <w:tcPr>
            <w:tcW w:type="dxa" w:w="1511"/>
            <w:shd w:val="clear" w:color="auto" w:fill="F2F5F9"/>
          </w:tcPr>
          <w:p>
            <w:pPr>
              <w:spacing w:after="20" w:before="20" w:line="252" w:lineRule="auto"/>
              <w:jc w:val="center"/>
            </w:pPr>
            <w:r>
              <w:rPr>
                <w:rFonts w:ascii="Calibri" w:hAnsi="Calibri" w:eastAsia="Microsoft YaHei" w:cs="Calibri"/>
                <w:sz w:val="17"/>
              </w:rPr>
              <w:t>+0.20</w:t>
            </w:r>
          </w:p>
        </w:tc>
        <w:tc>
          <w:tcPr>
            <w:tcW w:type="dxa" w:w="1977"/>
            <w:shd w:val="clear" w:color="auto" w:fill="F2F5F9"/>
          </w:tcPr>
          <w:p>
            <w:pPr>
              <w:spacing w:after="20" w:before="20" w:line="252" w:lineRule="auto"/>
              <w:jc w:val="center"/>
            </w:pPr>
            <w:r>
              <w:rPr>
                <w:rFonts w:ascii="Calibri" w:hAnsi="Calibri" w:eastAsia="Microsoft YaHei" w:cs="Calibri"/>
                <w:sz w:val="17"/>
              </w:rPr>
              <w:t>0.00</w:t>
            </w:r>
          </w:p>
        </w:tc>
        <w:tc>
          <w:tcPr>
            <w:tcW w:type="dxa" w:w="1977"/>
            <w:shd w:val="clear" w:color="auto" w:fill="F2F5F9"/>
          </w:tcPr>
          <w:p>
            <w:pPr>
              <w:spacing w:after="20" w:before="20" w:line="252" w:lineRule="auto"/>
              <w:jc w:val="center"/>
            </w:pPr>
            <w:r>
              <w:rPr>
                <w:rFonts w:ascii="Calibri" w:hAnsi="Calibri" w:eastAsia="Microsoft YaHei" w:cs="Calibri"/>
                <w:sz w:val="17"/>
              </w:rPr>
              <w:t>0.00</w:t>
            </w:r>
          </w:p>
        </w:tc>
        <w:tc>
          <w:tcPr>
            <w:tcW w:type="dxa" w:w="1511"/>
            <w:shd w:val="clear" w:color="auto" w:fill="F2F5F9"/>
          </w:tcPr>
          <w:p>
            <w:pPr>
              <w:spacing w:after="20" w:before="20" w:line="252" w:lineRule="auto"/>
              <w:jc w:val="center"/>
            </w:pPr>
            <w:r>
              <w:rPr>
                <w:rFonts w:ascii="Calibri" w:hAnsi="Calibri" w:eastAsia="Microsoft YaHei" w:cs="Calibri"/>
                <w:sz w:val="17"/>
              </w:rPr>
              <w:t>-0.45</w:t>
            </w:r>
          </w:p>
        </w:tc>
        <w:tc>
          <w:tcPr>
            <w:tcW w:type="dxa" w:w="1511"/>
            <w:shd w:val="clear" w:color="auto" w:fill="F2F5F9"/>
          </w:tcPr>
          <w:p>
            <w:pPr>
              <w:spacing w:after="20" w:before="20" w:line="252" w:lineRule="auto"/>
              <w:jc w:val="center"/>
            </w:pPr>
            <w:r>
              <w:rPr>
                <w:rFonts w:ascii="Calibri" w:hAnsi="Calibri" w:eastAsia="Microsoft YaHei" w:cs="Calibri"/>
                <w:sz w:val="17"/>
              </w:rPr>
              <w:t>-0.25</w:t>
            </w:r>
          </w:p>
        </w:tc>
      </w:tr>
      <w:tr>
        <w:trPr>
          <w:cantSplit/>
        </w:trPr>
        <w:tc>
          <w:tcPr>
            <w:tcW w:type="dxa" w:w="1264"/>
          </w:tcPr>
          <w:p>
            <w:pPr>
              <w:spacing w:after="20" w:before="20" w:line="252" w:lineRule="auto"/>
              <w:jc w:val="left"/>
            </w:pPr>
            <w:r>
              <w:rPr>
                <w:rFonts w:ascii="Calibri" w:hAnsi="Calibri" w:eastAsia="Microsoft YaHei" w:cs="Calibri"/>
                <w:sz w:val="17"/>
              </w:rPr>
              <w:t>GS</w:t>
            </w:r>
          </w:p>
        </w:tc>
        <w:tc>
          <w:tcPr>
            <w:tcW w:type="dxa" w:w="1511"/>
          </w:tcPr>
          <w:p>
            <w:pPr>
              <w:spacing w:after="20" w:before="20" w:line="252" w:lineRule="auto"/>
              <w:jc w:val="center"/>
            </w:pPr>
            <w:r>
              <w:rPr>
                <w:rFonts w:ascii="Calibri" w:hAnsi="Calibri" w:eastAsia="Microsoft YaHei" w:cs="Calibri"/>
                <w:sz w:val="17"/>
              </w:rPr>
              <w:t>0.00</w:t>
            </w:r>
          </w:p>
        </w:tc>
        <w:tc>
          <w:tcPr>
            <w:tcW w:type="dxa" w:w="1977"/>
          </w:tcPr>
          <w:p>
            <w:pPr>
              <w:spacing w:after="20" w:before="20" w:line="252" w:lineRule="auto"/>
              <w:jc w:val="center"/>
            </w:pPr>
            <w:r>
              <w:rPr>
                <w:rFonts w:ascii="Calibri" w:hAnsi="Calibri" w:eastAsia="Microsoft YaHei" w:cs="Calibri"/>
                <w:sz w:val="17"/>
              </w:rPr>
              <w:t>-0.30</w:t>
            </w:r>
          </w:p>
        </w:tc>
        <w:tc>
          <w:tcPr>
            <w:tcW w:type="dxa" w:w="1977"/>
          </w:tcPr>
          <w:p>
            <w:pPr>
              <w:spacing w:after="20" w:before="20" w:line="252" w:lineRule="auto"/>
              <w:jc w:val="center"/>
            </w:pPr>
            <w:r>
              <w:rPr>
                <w:rFonts w:ascii="Calibri" w:hAnsi="Calibri" w:eastAsia="Microsoft YaHei" w:cs="Calibri"/>
                <w:sz w:val="17"/>
              </w:rPr>
              <w:t>-0.90</w:t>
            </w:r>
          </w:p>
        </w:tc>
        <w:tc>
          <w:tcPr>
            <w:tcW w:type="dxa" w:w="1511"/>
          </w:tcPr>
          <w:p>
            <w:pPr>
              <w:spacing w:after="20" w:before="20" w:line="252" w:lineRule="auto"/>
              <w:jc w:val="center"/>
            </w:pPr>
            <w:r>
              <w:rPr>
                <w:rFonts w:ascii="Calibri" w:hAnsi="Calibri" w:eastAsia="Microsoft YaHei" w:cs="Calibri"/>
                <w:sz w:val="17"/>
              </w:rPr>
              <w:t>-1.60</w:t>
            </w:r>
          </w:p>
        </w:tc>
        <w:tc>
          <w:tcPr>
            <w:tcW w:type="dxa" w:w="1511"/>
          </w:tcPr>
          <w:p>
            <w:pPr>
              <w:spacing w:after="20" w:before="20" w:line="252" w:lineRule="auto"/>
              <w:jc w:val="center"/>
            </w:pPr>
            <w:r>
              <w:rPr>
                <w:rFonts w:ascii="Calibri" w:hAnsi="Calibri" w:eastAsia="Microsoft YaHei" w:cs="Calibri"/>
                <w:sz w:val="17"/>
              </w:rPr>
              <w:t>-2.80</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MS</w:t>
            </w:r>
          </w:p>
        </w:tc>
        <w:tc>
          <w:tcPr>
            <w:tcW w:type="dxa" w:w="1511"/>
            <w:shd w:val="clear" w:color="auto" w:fill="F2F5F9"/>
          </w:tcPr>
          <w:p>
            <w:pPr>
              <w:spacing w:after="20" w:before="20" w:line="252" w:lineRule="auto"/>
              <w:jc w:val="center"/>
            </w:pPr>
            <w:r>
              <w:rPr>
                <w:rFonts w:ascii="Calibri" w:hAnsi="Calibri" w:eastAsia="Microsoft YaHei" w:cs="Calibri"/>
                <w:sz w:val="17"/>
              </w:rPr>
              <w:t>0.00</w:t>
            </w:r>
          </w:p>
        </w:tc>
        <w:tc>
          <w:tcPr>
            <w:tcW w:type="dxa" w:w="1977"/>
            <w:shd w:val="clear" w:color="auto" w:fill="F2F5F9"/>
          </w:tcPr>
          <w:p>
            <w:pPr>
              <w:spacing w:after="20" w:before="20" w:line="252" w:lineRule="auto"/>
              <w:jc w:val="center"/>
            </w:pPr>
            <w:r>
              <w:rPr>
                <w:rFonts w:ascii="Calibri" w:hAnsi="Calibri" w:eastAsia="Microsoft YaHei" w:cs="Calibri"/>
                <w:sz w:val="17"/>
              </w:rPr>
              <w:t>+0.10</w:t>
            </w:r>
          </w:p>
        </w:tc>
        <w:tc>
          <w:tcPr>
            <w:tcW w:type="dxa" w:w="1977"/>
            <w:shd w:val="clear" w:color="auto" w:fill="F2F5F9"/>
          </w:tcPr>
          <w:p>
            <w:pPr>
              <w:spacing w:after="20" w:before="20" w:line="252" w:lineRule="auto"/>
              <w:jc w:val="center"/>
            </w:pPr>
            <w:r>
              <w:rPr>
                <w:rFonts w:ascii="Calibri" w:hAnsi="Calibri" w:eastAsia="Microsoft YaHei" w:cs="Calibri"/>
                <w:sz w:val="17"/>
              </w:rPr>
              <w:t>-0.70</w:t>
            </w:r>
          </w:p>
        </w:tc>
        <w:tc>
          <w:tcPr>
            <w:tcW w:type="dxa" w:w="1511"/>
            <w:shd w:val="clear" w:color="auto" w:fill="F2F5F9"/>
          </w:tcPr>
          <w:p>
            <w:pPr>
              <w:spacing w:after="20" w:before="20" w:line="252" w:lineRule="auto"/>
              <w:jc w:val="center"/>
            </w:pPr>
            <w:r>
              <w:rPr>
                <w:rFonts w:ascii="Calibri" w:hAnsi="Calibri" w:eastAsia="Microsoft YaHei" w:cs="Calibri"/>
                <w:sz w:val="17"/>
              </w:rPr>
              <w:t>-0.05</w:t>
            </w:r>
          </w:p>
        </w:tc>
        <w:tc>
          <w:tcPr>
            <w:tcW w:type="dxa" w:w="1511"/>
            <w:shd w:val="clear" w:color="auto" w:fill="F2F5F9"/>
          </w:tcPr>
          <w:p>
            <w:pPr>
              <w:spacing w:after="20" w:before="20" w:line="252" w:lineRule="auto"/>
              <w:jc w:val="center"/>
            </w:pPr>
            <w:r>
              <w:rPr>
                <w:rFonts w:ascii="Calibri" w:hAnsi="Calibri" w:eastAsia="Microsoft YaHei" w:cs="Calibri"/>
                <w:sz w:val="17"/>
              </w:rPr>
              <w:t>-0.65</w:t>
            </w:r>
          </w:p>
        </w:tc>
      </w:tr>
    </w:tbl>
    <w:p>
      <w:pPr>
        <w:spacing w:after="40"/>
      </w:pPr>
    </w:p>
    <w:p>
      <w:pPr>
        <w:pStyle w:val="Heading3"/>
      </w:pPr>
      <w:r>
        <w:rPr>
          <w:rFonts w:ascii="Calibri" w:hAnsi="Calibri" w:eastAsia="Microsoft YaHei" w:cs="Calibri"/>
          <w:b/>
          <w:color w:val="1F4E79"/>
          <w:sz w:val="24"/>
        </w:rPr>
        <w:t>Q3'26E change vs. Q3'25 ($bn)</w:t>
      </w:r>
    </w:p>
    <w:tbl>
      <w:tblPr>
        <w:tblStyle w:val="TableGrid"/>
        <w:tblW w:type="auto" w:w="0"/>
        <w:jc w:val="center"/>
        <w:tblLayout w:type="fixed"/>
        <w:tblLook w:firstColumn="1" w:firstRow="1" w:lastColumn="0" w:lastRow="0" w:noHBand="0" w:noVBand="1" w:val="04A0"/>
      </w:tblPr>
      <w:tblGrid>
        <w:gridCol w:w="1264"/>
        <w:gridCol w:w="1511"/>
        <w:gridCol w:w="1977"/>
        <w:gridCol w:w="1977"/>
        <w:gridCol w:w="1511"/>
        <w:gridCol w:w="1511"/>
      </w:tblGrid>
      <w:tr>
        <w:trPr>
          <w:tblHeader w:val="true"/>
          <w:cantSplit/>
        </w:trPr>
        <w:tc>
          <w:tcPr>
            <w:tcW w:type="dxa" w:w="1264"/>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NII</w:t>
            </w:r>
          </w:p>
        </w:tc>
        <w:tc>
          <w:tcPr>
            <w:tcW w:type="dxa" w:w="1977"/>
            <w:shd w:val="clear" w:color="auto" w:fill="1F4E79"/>
          </w:tcPr>
          <w:p>
            <w:pPr>
              <w:spacing w:after="20" w:before="20" w:line="252" w:lineRule="auto"/>
              <w:jc w:val="center"/>
            </w:pPr>
            <w:r>
              <w:rPr>
                <w:rFonts w:ascii="Calibri" w:hAnsi="Calibri" w:eastAsia="Microsoft YaHei" w:cs="Calibri"/>
                <w:b/>
                <w:color w:val="FFFFFF"/>
                <w:sz w:val="17"/>
              </w:rPr>
              <w:t>IB fees</w:t>
            </w:r>
          </w:p>
        </w:tc>
        <w:tc>
          <w:tcPr>
            <w:tcW w:type="dxa" w:w="1977"/>
            <w:shd w:val="clear" w:color="auto" w:fill="1F4E79"/>
          </w:tcPr>
          <w:p>
            <w:pPr>
              <w:spacing w:after="20" w:before="20" w:line="252" w:lineRule="auto"/>
              <w:jc w:val="center"/>
            </w:pPr>
            <w:r>
              <w:rPr>
                <w:rFonts w:ascii="Calibri" w:hAnsi="Calibri" w:eastAsia="Microsoft YaHei" w:cs="Calibri"/>
                <w:b/>
                <w:color w:val="FFFFFF"/>
                <w:sz w:val="17"/>
              </w:rPr>
              <w:t>Trading</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Other</w:t>
            </w:r>
          </w:p>
        </w:tc>
        <w:tc>
          <w:tcPr>
            <w:tcW w:type="dxa" w:w="1511"/>
            <w:shd w:val="clear" w:color="auto" w:fill="1F4E79"/>
          </w:tcPr>
          <w:p>
            <w:pPr>
              <w:spacing w:after="20" w:before="20" w:line="252" w:lineRule="auto"/>
              <w:jc w:val="center"/>
            </w:pPr>
            <w:r>
              <w:rPr>
                <w:rFonts w:ascii="Calibri" w:hAnsi="Calibri" w:eastAsia="Microsoft YaHei" w:cs="Calibri"/>
                <w:b/>
                <w:color w:val="FFFFFF"/>
                <w:sz w:val="17"/>
              </w:rPr>
              <w:t>Total</w:t>
            </w:r>
          </w:p>
        </w:tc>
      </w:tr>
      <w:tr>
        <w:trPr>
          <w:cantSplit/>
        </w:trPr>
        <w:tc>
          <w:tcPr>
            <w:tcW w:type="dxa" w:w="1264"/>
          </w:tcPr>
          <w:p>
            <w:pPr>
              <w:spacing w:after="20" w:before="20" w:line="252" w:lineRule="auto"/>
              <w:jc w:val="left"/>
            </w:pPr>
            <w:r>
              <w:rPr>
                <w:rFonts w:ascii="Calibri" w:hAnsi="Calibri" w:eastAsia="Microsoft YaHei" w:cs="Calibri"/>
                <w:sz w:val="17"/>
              </w:rPr>
              <w:t>JPM</w:t>
            </w:r>
          </w:p>
        </w:tc>
        <w:tc>
          <w:tcPr>
            <w:tcW w:type="dxa" w:w="1511"/>
          </w:tcPr>
          <w:p>
            <w:pPr>
              <w:spacing w:after="20" w:before="20" w:line="252" w:lineRule="auto"/>
              <w:jc w:val="center"/>
            </w:pPr>
            <w:r>
              <w:rPr>
                <w:rFonts w:ascii="Calibri" w:hAnsi="Calibri" w:eastAsia="Microsoft YaHei" w:cs="Calibri"/>
                <w:sz w:val="17"/>
              </w:rPr>
              <w:t>+2.55</w:t>
            </w:r>
          </w:p>
        </w:tc>
        <w:tc>
          <w:tcPr>
            <w:tcW w:type="dxa" w:w="1977"/>
          </w:tcPr>
          <w:p>
            <w:pPr>
              <w:spacing w:after="20" w:before="20" w:line="252" w:lineRule="auto"/>
              <w:jc w:val="center"/>
            </w:pPr>
            <w:r>
              <w:rPr>
                <w:rFonts w:ascii="Calibri" w:hAnsi="Calibri" w:eastAsia="Microsoft YaHei" w:cs="Calibri"/>
                <w:sz w:val="17"/>
              </w:rPr>
              <w:t>+0.44</w:t>
            </w:r>
          </w:p>
        </w:tc>
        <w:tc>
          <w:tcPr>
            <w:tcW w:type="dxa" w:w="1977"/>
          </w:tcPr>
          <w:p>
            <w:pPr>
              <w:spacing w:after="20" w:before="20" w:line="252" w:lineRule="auto"/>
              <w:jc w:val="center"/>
            </w:pPr>
            <w:r>
              <w:rPr>
                <w:rFonts w:ascii="Calibri" w:hAnsi="Calibri" w:eastAsia="Microsoft YaHei" w:cs="Calibri"/>
                <w:sz w:val="17"/>
              </w:rPr>
              <w:t>+0.20</w:t>
            </w:r>
          </w:p>
        </w:tc>
        <w:tc>
          <w:tcPr>
            <w:tcW w:type="dxa" w:w="1511"/>
          </w:tcPr>
          <w:p>
            <w:pPr>
              <w:spacing w:after="20" w:before="20" w:line="252" w:lineRule="auto"/>
              <w:jc w:val="center"/>
            </w:pPr>
            <w:r>
              <w:rPr>
                <w:rFonts w:ascii="Calibri" w:hAnsi="Calibri" w:eastAsia="Microsoft YaHei" w:cs="Calibri"/>
                <w:sz w:val="17"/>
              </w:rPr>
              <w:t>+1.82</w:t>
            </w:r>
          </w:p>
        </w:tc>
        <w:tc>
          <w:tcPr>
            <w:tcW w:type="dxa" w:w="1511"/>
          </w:tcPr>
          <w:p>
            <w:pPr>
              <w:spacing w:after="20" w:before="20" w:line="252" w:lineRule="auto"/>
              <w:jc w:val="center"/>
            </w:pPr>
            <w:r>
              <w:rPr>
                <w:rFonts w:ascii="Calibri" w:hAnsi="Calibri" w:eastAsia="Microsoft YaHei" w:cs="Calibri"/>
                <w:sz w:val="17"/>
              </w:rPr>
              <w:t>+5.00</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BAC</w:t>
            </w:r>
          </w:p>
        </w:tc>
        <w:tc>
          <w:tcPr>
            <w:tcW w:type="dxa" w:w="1511"/>
            <w:shd w:val="clear" w:color="auto" w:fill="F2F5F9"/>
          </w:tcPr>
          <w:p>
            <w:pPr>
              <w:spacing w:after="20" w:before="20" w:line="252" w:lineRule="auto"/>
              <w:jc w:val="center"/>
            </w:pPr>
            <w:r>
              <w:rPr>
                <w:rFonts w:ascii="Calibri" w:hAnsi="Calibri" w:eastAsia="Microsoft YaHei" w:cs="Calibri"/>
                <w:sz w:val="17"/>
              </w:rPr>
              <w:t>+1.06</w:t>
            </w:r>
          </w:p>
        </w:tc>
        <w:tc>
          <w:tcPr>
            <w:tcW w:type="dxa" w:w="1977"/>
            <w:shd w:val="clear" w:color="auto" w:fill="F2F5F9"/>
          </w:tcPr>
          <w:p>
            <w:pPr>
              <w:spacing w:after="20" w:before="20" w:line="252" w:lineRule="auto"/>
              <w:jc w:val="center"/>
            </w:pPr>
            <w:r>
              <w:rPr>
                <w:rFonts w:ascii="Calibri" w:hAnsi="Calibri" w:eastAsia="Microsoft YaHei" w:cs="Calibri"/>
                <w:sz w:val="17"/>
              </w:rPr>
              <w:t>-0.28</w:t>
            </w:r>
          </w:p>
        </w:tc>
        <w:tc>
          <w:tcPr>
            <w:tcW w:type="dxa" w:w="1977"/>
            <w:shd w:val="clear" w:color="auto" w:fill="F2F5F9"/>
          </w:tcPr>
          <w:p>
            <w:pPr>
              <w:spacing w:after="20" w:before="20" w:line="252" w:lineRule="auto"/>
              <w:jc w:val="center"/>
            </w:pPr>
            <w:r>
              <w:rPr>
                <w:rFonts w:ascii="Calibri" w:hAnsi="Calibri" w:eastAsia="Microsoft YaHei" w:cs="Calibri"/>
                <w:sz w:val="17"/>
              </w:rPr>
              <w:t>-0.58</w:t>
            </w:r>
          </w:p>
        </w:tc>
        <w:tc>
          <w:tcPr>
            <w:tcW w:type="dxa" w:w="1511"/>
            <w:shd w:val="clear" w:color="auto" w:fill="F2F5F9"/>
          </w:tcPr>
          <w:p>
            <w:pPr>
              <w:spacing w:after="20" w:before="20" w:line="252" w:lineRule="auto"/>
              <w:jc w:val="center"/>
            </w:pPr>
            <w:r>
              <w:rPr>
                <w:rFonts w:ascii="Calibri" w:hAnsi="Calibri" w:eastAsia="Microsoft YaHei" w:cs="Calibri"/>
                <w:sz w:val="17"/>
              </w:rPr>
              <w:t>+1.76</w:t>
            </w:r>
          </w:p>
        </w:tc>
        <w:tc>
          <w:tcPr>
            <w:tcW w:type="dxa" w:w="1511"/>
            <w:shd w:val="clear" w:color="auto" w:fill="F2F5F9"/>
          </w:tcPr>
          <w:p>
            <w:pPr>
              <w:spacing w:after="20" w:before="20" w:line="252" w:lineRule="auto"/>
              <w:jc w:val="center"/>
            </w:pPr>
            <w:r>
              <w:rPr>
                <w:rFonts w:ascii="Calibri" w:hAnsi="Calibri" w:eastAsia="Microsoft YaHei" w:cs="Calibri"/>
                <w:sz w:val="17"/>
              </w:rPr>
              <w:t>+1.97</w:t>
            </w:r>
          </w:p>
        </w:tc>
      </w:tr>
      <w:tr>
        <w:trPr>
          <w:cantSplit/>
        </w:trPr>
        <w:tc>
          <w:tcPr>
            <w:tcW w:type="dxa" w:w="1264"/>
          </w:tcPr>
          <w:p>
            <w:pPr>
              <w:spacing w:after="20" w:before="20" w:line="252" w:lineRule="auto"/>
              <w:jc w:val="left"/>
            </w:pPr>
            <w:r>
              <w:rPr>
                <w:rFonts w:ascii="Calibri" w:hAnsi="Calibri" w:eastAsia="Microsoft YaHei" w:cs="Calibri"/>
                <w:sz w:val="17"/>
              </w:rPr>
              <w:t>C</w:t>
            </w:r>
          </w:p>
        </w:tc>
        <w:tc>
          <w:tcPr>
            <w:tcW w:type="dxa" w:w="1511"/>
          </w:tcPr>
          <w:p>
            <w:pPr>
              <w:spacing w:after="20" w:before="20" w:line="252" w:lineRule="auto"/>
              <w:jc w:val="center"/>
            </w:pPr>
            <w:r>
              <w:rPr>
                <w:rFonts w:ascii="Calibri" w:hAnsi="Calibri" w:eastAsia="Microsoft YaHei" w:cs="Calibri"/>
                <w:sz w:val="17"/>
              </w:rPr>
              <w:t>+2.19</w:t>
            </w:r>
          </w:p>
        </w:tc>
        <w:tc>
          <w:tcPr>
            <w:tcW w:type="dxa" w:w="1977"/>
          </w:tcPr>
          <w:p>
            <w:pPr>
              <w:spacing w:after="20" w:before="20" w:line="252" w:lineRule="auto"/>
              <w:jc w:val="center"/>
            </w:pPr>
            <w:r>
              <w:rPr>
                <w:rFonts w:ascii="Calibri" w:hAnsi="Calibri" w:eastAsia="Microsoft YaHei" w:cs="Calibri"/>
                <w:sz w:val="17"/>
              </w:rPr>
              <w:t>+0.08</w:t>
            </w:r>
          </w:p>
        </w:tc>
        <w:tc>
          <w:tcPr>
            <w:tcW w:type="dxa" w:w="1977"/>
          </w:tcPr>
          <w:p>
            <w:pPr>
              <w:spacing w:after="20" w:before="20" w:line="252" w:lineRule="auto"/>
              <w:jc w:val="center"/>
            </w:pPr>
            <w:r>
              <w:rPr>
                <w:rFonts w:ascii="Calibri" w:hAnsi="Calibri" w:eastAsia="Microsoft YaHei" w:cs="Calibri"/>
                <w:sz w:val="17"/>
              </w:rPr>
              <w:t>-0.99</w:t>
            </w:r>
          </w:p>
        </w:tc>
        <w:tc>
          <w:tcPr>
            <w:tcW w:type="dxa" w:w="1511"/>
          </w:tcPr>
          <w:p>
            <w:pPr>
              <w:spacing w:after="20" w:before="20" w:line="252" w:lineRule="auto"/>
              <w:jc w:val="center"/>
            </w:pPr>
            <w:r>
              <w:rPr>
                <w:rFonts w:ascii="Calibri" w:hAnsi="Calibri" w:eastAsia="Microsoft YaHei" w:cs="Calibri"/>
                <w:sz w:val="17"/>
              </w:rPr>
              <w:t>+0.80</w:t>
            </w:r>
          </w:p>
        </w:tc>
        <w:tc>
          <w:tcPr>
            <w:tcW w:type="dxa" w:w="1511"/>
          </w:tcPr>
          <w:p>
            <w:pPr>
              <w:spacing w:after="20" w:before="20" w:line="252" w:lineRule="auto"/>
              <w:jc w:val="center"/>
            </w:pPr>
            <w:r>
              <w:rPr>
                <w:rFonts w:ascii="Calibri" w:hAnsi="Calibri" w:eastAsia="Microsoft YaHei" w:cs="Calibri"/>
                <w:sz w:val="17"/>
              </w:rPr>
              <w:t>+2.08</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WFC</w:t>
            </w:r>
          </w:p>
        </w:tc>
        <w:tc>
          <w:tcPr>
            <w:tcW w:type="dxa" w:w="1511"/>
            <w:shd w:val="clear" w:color="auto" w:fill="F2F5F9"/>
          </w:tcPr>
          <w:p>
            <w:pPr>
              <w:spacing w:after="20" w:before="20" w:line="252" w:lineRule="auto"/>
              <w:jc w:val="center"/>
            </w:pPr>
            <w:r>
              <w:rPr>
                <w:rFonts w:ascii="Calibri" w:hAnsi="Calibri" w:eastAsia="Microsoft YaHei" w:cs="Calibri"/>
                <w:sz w:val="17"/>
              </w:rPr>
              <w:t>+0.57</w:t>
            </w:r>
          </w:p>
        </w:tc>
        <w:tc>
          <w:tcPr>
            <w:tcW w:type="dxa" w:w="1977"/>
            <w:shd w:val="clear" w:color="auto" w:fill="F2F5F9"/>
          </w:tcPr>
          <w:p>
            <w:pPr>
              <w:spacing w:after="20" w:before="20" w:line="252" w:lineRule="auto"/>
              <w:jc w:val="center"/>
            </w:pPr>
            <w:r>
              <w:rPr>
                <w:rFonts w:ascii="Calibri" w:hAnsi="Calibri" w:eastAsia="Microsoft YaHei" w:cs="Calibri"/>
                <w:sz w:val="17"/>
              </w:rPr>
              <w:t>+0.10</w:t>
            </w:r>
          </w:p>
        </w:tc>
        <w:tc>
          <w:tcPr>
            <w:tcW w:type="dxa" w:w="1977"/>
            <w:shd w:val="clear" w:color="auto" w:fill="F2F5F9"/>
          </w:tcPr>
          <w:p>
            <w:pPr>
              <w:spacing w:after="20" w:before="20" w:line="252" w:lineRule="auto"/>
              <w:jc w:val="center"/>
            </w:pPr>
            <w:r>
              <w:rPr>
                <w:rFonts w:ascii="Calibri" w:hAnsi="Calibri" w:eastAsia="Microsoft YaHei" w:cs="Calibri"/>
                <w:sz w:val="17"/>
              </w:rPr>
              <w:t>-0.07</w:t>
            </w:r>
          </w:p>
        </w:tc>
        <w:tc>
          <w:tcPr>
            <w:tcW w:type="dxa" w:w="1511"/>
            <w:shd w:val="clear" w:color="auto" w:fill="F2F5F9"/>
          </w:tcPr>
          <w:p>
            <w:pPr>
              <w:spacing w:after="20" w:before="20" w:line="252" w:lineRule="auto"/>
              <w:jc w:val="center"/>
            </w:pPr>
            <w:r>
              <w:rPr>
                <w:rFonts w:ascii="Calibri" w:hAnsi="Calibri" w:eastAsia="Microsoft YaHei" w:cs="Calibri"/>
                <w:sz w:val="17"/>
              </w:rPr>
              <w:t>+0.34</w:t>
            </w:r>
          </w:p>
        </w:tc>
        <w:tc>
          <w:tcPr>
            <w:tcW w:type="dxa" w:w="1511"/>
            <w:shd w:val="clear" w:color="auto" w:fill="F2F5F9"/>
          </w:tcPr>
          <w:p>
            <w:pPr>
              <w:spacing w:after="20" w:before="20" w:line="252" w:lineRule="auto"/>
              <w:jc w:val="center"/>
            </w:pPr>
            <w:r>
              <w:rPr>
                <w:rFonts w:ascii="Calibri" w:hAnsi="Calibri" w:eastAsia="Microsoft YaHei" w:cs="Calibri"/>
                <w:sz w:val="17"/>
              </w:rPr>
              <w:t>+0.94</w:t>
            </w:r>
          </w:p>
        </w:tc>
      </w:tr>
      <w:tr>
        <w:trPr>
          <w:cantSplit/>
        </w:trPr>
        <w:tc>
          <w:tcPr>
            <w:tcW w:type="dxa" w:w="1264"/>
          </w:tcPr>
          <w:p>
            <w:pPr>
              <w:spacing w:after="20" w:before="20" w:line="252" w:lineRule="auto"/>
              <w:jc w:val="left"/>
            </w:pPr>
            <w:r>
              <w:rPr>
                <w:rFonts w:ascii="Calibri" w:hAnsi="Calibri" w:eastAsia="Microsoft YaHei" w:cs="Calibri"/>
                <w:sz w:val="17"/>
              </w:rPr>
              <w:t>GS</w:t>
            </w:r>
          </w:p>
        </w:tc>
        <w:tc>
          <w:tcPr>
            <w:tcW w:type="dxa" w:w="1511"/>
          </w:tcPr>
          <w:p>
            <w:pPr>
              <w:spacing w:after="20" w:before="20" w:line="252" w:lineRule="auto"/>
              <w:jc w:val="center"/>
            </w:pPr>
            <w:r>
              <w:rPr>
                <w:rFonts w:ascii="Calibri" w:hAnsi="Calibri" w:eastAsia="Microsoft YaHei" w:cs="Calibri"/>
                <w:sz w:val="17"/>
              </w:rPr>
              <w:t>+0.10</w:t>
            </w:r>
          </w:p>
        </w:tc>
        <w:tc>
          <w:tcPr>
            <w:tcW w:type="dxa" w:w="1977"/>
          </w:tcPr>
          <w:p>
            <w:pPr>
              <w:spacing w:after="20" w:before="20" w:line="252" w:lineRule="auto"/>
              <w:jc w:val="center"/>
            </w:pPr>
            <w:r>
              <w:rPr>
                <w:rFonts w:ascii="Calibri" w:hAnsi="Calibri" w:eastAsia="Microsoft YaHei" w:cs="Calibri"/>
                <w:sz w:val="17"/>
              </w:rPr>
              <w:t>+0.44</w:t>
            </w:r>
          </w:p>
        </w:tc>
        <w:tc>
          <w:tcPr>
            <w:tcW w:type="dxa" w:w="1977"/>
          </w:tcPr>
          <w:p>
            <w:pPr>
              <w:spacing w:after="20" w:before="20" w:line="252" w:lineRule="auto"/>
              <w:jc w:val="center"/>
            </w:pPr>
            <w:r>
              <w:rPr>
                <w:rFonts w:ascii="Calibri" w:hAnsi="Calibri" w:eastAsia="Microsoft YaHei" w:cs="Calibri"/>
                <w:sz w:val="17"/>
              </w:rPr>
              <w:t>+2.87</w:t>
            </w:r>
          </w:p>
        </w:tc>
        <w:tc>
          <w:tcPr>
            <w:tcW w:type="dxa" w:w="1511"/>
          </w:tcPr>
          <w:p>
            <w:pPr>
              <w:spacing w:after="20" w:before="20" w:line="252" w:lineRule="auto"/>
              <w:jc w:val="center"/>
            </w:pPr>
            <w:r>
              <w:rPr>
                <w:rFonts w:ascii="Calibri" w:hAnsi="Calibri" w:eastAsia="Microsoft YaHei" w:cs="Calibri"/>
                <w:sz w:val="17"/>
              </w:rPr>
              <w:t>-1.06</w:t>
            </w:r>
          </w:p>
        </w:tc>
        <w:tc>
          <w:tcPr>
            <w:tcW w:type="dxa" w:w="1511"/>
          </w:tcPr>
          <w:p>
            <w:pPr>
              <w:spacing w:after="20" w:before="20" w:line="252" w:lineRule="auto"/>
              <w:jc w:val="center"/>
            </w:pPr>
            <w:r>
              <w:rPr>
                <w:rFonts w:ascii="Calibri" w:hAnsi="Calibri" w:eastAsia="Microsoft YaHei" w:cs="Calibri"/>
                <w:sz w:val="17"/>
              </w:rPr>
              <w:t>+2.35</w:t>
            </w:r>
          </w:p>
        </w:tc>
      </w:tr>
      <w:tr>
        <w:trPr>
          <w:cantSplit/>
        </w:trPr>
        <w:tc>
          <w:tcPr>
            <w:tcW w:type="dxa" w:w="1264"/>
            <w:shd w:val="clear" w:color="auto" w:fill="F2F5F9"/>
          </w:tcPr>
          <w:p>
            <w:pPr>
              <w:spacing w:after="20" w:before="20" w:line="252" w:lineRule="auto"/>
              <w:jc w:val="left"/>
            </w:pPr>
            <w:r>
              <w:rPr>
                <w:rFonts w:ascii="Calibri" w:hAnsi="Calibri" w:eastAsia="Microsoft YaHei" w:cs="Calibri"/>
                <w:sz w:val="17"/>
              </w:rPr>
              <w:t>MS</w:t>
            </w:r>
          </w:p>
        </w:tc>
        <w:tc>
          <w:tcPr>
            <w:tcW w:type="dxa" w:w="1511"/>
            <w:shd w:val="clear" w:color="auto" w:fill="F2F5F9"/>
          </w:tcPr>
          <w:p>
            <w:pPr>
              <w:spacing w:after="20" w:before="20" w:line="252" w:lineRule="auto"/>
              <w:jc w:val="center"/>
            </w:pPr>
            <w:r>
              <w:rPr>
                <w:rFonts w:ascii="Calibri" w:hAnsi="Calibri" w:eastAsia="Microsoft YaHei" w:cs="Calibri"/>
                <w:sz w:val="17"/>
              </w:rPr>
              <w:t>+0.29</w:t>
            </w:r>
          </w:p>
        </w:tc>
        <w:tc>
          <w:tcPr>
            <w:tcW w:type="dxa" w:w="1977"/>
            <w:shd w:val="clear" w:color="auto" w:fill="F2F5F9"/>
          </w:tcPr>
          <w:p>
            <w:pPr>
              <w:spacing w:after="20" w:before="20" w:line="252" w:lineRule="auto"/>
              <w:jc w:val="center"/>
            </w:pPr>
            <w:r>
              <w:rPr>
                <w:rFonts w:ascii="Calibri" w:hAnsi="Calibri" w:eastAsia="Microsoft YaHei" w:cs="Calibri"/>
                <w:sz w:val="17"/>
              </w:rPr>
              <w:t>+0.49</w:t>
            </w:r>
          </w:p>
        </w:tc>
        <w:tc>
          <w:tcPr>
            <w:tcW w:type="dxa" w:w="1977"/>
            <w:shd w:val="clear" w:color="auto" w:fill="F2F5F9"/>
          </w:tcPr>
          <w:p>
            <w:pPr>
              <w:spacing w:after="20" w:before="20" w:line="252" w:lineRule="auto"/>
              <w:jc w:val="center"/>
            </w:pPr>
            <w:r>
              <w:rPr>
                <w:rFonts w:ascii="Calibri" w:hAnsi="Calibri" w:eastAsia="Microsoft YaHei" w:cs="Calibri"/>
                <w:sz w:val="17"/>
              </w:rPr>
              <w:t>+1.00</w:t>
            </w:r>
          </w:p>
        </w:tc>
        <w:tc>
          <w:tcPr>
            <w:tcW w:type="dxa" w:w="1511"/>
            <w:shd w:val="clear" w:color="auto" w:fill="F2F5F9"/>
          </w:tcPr>
          <w:p>
            <w:pPr>
              <w:spacing w:after="20" w:before="20" w:line="252" w:lineRule="auto"/>
              <w:jc w:val="center"/>
            </w:pPr>
            <w:r>
              <w:rPr>
                <w:rFonts w:ascii="Calibri" w:hAnsi="Calibri" w:eastAsia="Microsoft YaHei" w:cs="Calibri"/>
                <w:sz w:val="17"/>
              </w:rPr>
              <w:t>+0.70</w:t>
            </w:r>
          </w:p>
        </w:tc>
        <w:tc>
          <w:tcPr>
            <w:tcW w:type="dxa" w:w="1511"/>
            <w:shd w:val="clear" w:color="auto" w:fill="F2F5F9"/>
          </w:tcPr>
          <w:p>
            <w:pPr>
              <w:spacing w:after="20" w:before="20" w:line="252" w:lineRule="auto"/>
              <w:jc w:val="center"/>
            </w:pPr>
            <w:r>
              <w:rPr>
                <w:rFonts w:ascii="Calibri" w:hAnsi="Calibri" w:eastAsia="Microsoft YaHei" w:cs="Calibri"/>
                <w:sz w:val="17"/>
              </w:rPr>
              <w:t>+2.47</w:t>
            </w:r>
          </w:p>
        </w:tc>
      </w:tr>
    </w:tbl>
    <w:p>
      <w:pPr>
        <w:spacing w:after="40"/>
      </w:pPr>
    </w:p>
    <w:p>
      <w:pPr>
        <w:pStyle w:val="Heading3"/>
      </w:pPr>
      <w:r>
        <w:rPr>
          <w:rFonts w:ascii="Calibri" w:hAnsi="Calibri" w:eastAsia="Microsoft YaHei" w:cs="Calibri"/>
          <w:b/>
          <w:color w:val="1F4E79"/>
          <w:sz w:val="24"/>
        </w:rPr>
        <w:t>How to read it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QoQ: capital markets fall, NII still rises.</w:t>
      </w:r>
      <w:r>
        <w:rPr>
          <w:rFonts w:ascii="Calibri" w:hAnsi="Calibri" w:eastAsia="Microsoft YaHei" w:cs="Calibri"/>
          <w:sz w:val="21"/>
        </w:rPr>
        <w:t xml:space="preserve"> The trading line falls or is flat at all six, and the IB line falls at most of them; NII rises at JPM, BAC and WFC, while for C, GS and MS our bridge has no NII item so NII is held flat.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BAC's trading line</w:t>
      </w:r>
      <w:r>
        <w:rPr>
          <w:rFonts w:ascii="Calibri" w:hAnsi="Calibri" w:eastAsia="Microsoft YaHei" w:cs="Calibri"/>
          <w:sz w:val="21"/>
        </w:rPr>
        <w:t xml:space="preserve"> falls -1.55B QoQ (Q2 4.18B to Q3E 2.63B), among the largest single contractions of the six, and the core reason BAC's EPS falls short of consensus in Section 4.1.</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GS has the largest decline</w:t>
      </w:r>
      <w:r>
        <w:rPr>
          <w:rFonts w:ascii="Calibri" w:hAnsi="Calibri" w:eastAsia="Microsoft YaHei" w:cs="Calibri"/>
          <w:sz w:val="21"/>
        </w:rPr>
        <w:t xml:space="preserve"> (total revenue -13.8% QoQ), mainly from 'other non-interest' (the investing lines, -1.60B) and trading (-0.90B). It is still +15.5% YoY because the Q3'25 base was low.</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Comparability</w:t>
      </w:r>
      <w:r>
        <w:rPr>
          <w:rFonts w:ascii="Calibri" w:hAnsi="Calibri" w:eastAsia="Microsoft YaHei" w:cs="Calibri"/>
          <w:sz w:val="21"/>
        </w:rPr>
        <w:t>: JPM's roughly $5.4B Visa one-off in Q2'26 is hatched in Figure 5 and removed in the QoQ tables and Figure 6; otherwise JPM's QoQ would be overstated at about -10%.</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Limits</w:t>
      </w:r>
      <w:r>
        <w:rPr>
          <w:rFonts w:ascii="Calibri" w:hAnsi="Calibri" w:eastAsia="Microsoft YaHei" w:cs="Calibri"/>
          <w:sz w:val="21"/>
        </w:rPr>
        <w:t>: for C the Q4 NII, IB and trading lines come from XBRL fill-ins rather than the 10-K table; Q3E comes from our bridge (Section 4), and for WFC the IB and trading lines have no guidance and are held flat.</w:t>
      </w:r>
    </w:p>
    <w:p>
      <w:pPr>
        <w:pStyle w:val="Heading2"/>
      </w:pPr>
      <w:r>
        <w:rPr>
          <w:rFonts w:ascii="Calibri" w:hAnsi="Calibri" w:eastAsia="Microsoft YaHei" w:cs="Calibri"/>
          <w:b/>
          <w:color w:val="1F4E79"/>
          <w:sz w:val="28"/>
        </w:rPr>
        <w:t>14. EPS, P/E and market indicators</w:t>
      </w:r>
    </w:p>
    <w:p>
      <w:pPr>
        <w:keepNext/>
        <w:spacing w:before="120"/>
        <w:jc w:val="center"/>
      </w:pPr>
      <w:r>
        <w:drawing>
          <wp:inline xmlns:a="http://schemas.openxmlformats.org/drawingml/2006/main" xmlns:pic="http://schemas.openxmlformats.org/drawingml/2006/picture">
            <wp:extent cx="6048000" cy="3555541"/>
            <wp:docPr id="7" name="Picture 7"/>
            <wp:cNvGraphicFramePr>
              <a:graphicFrameLocks noChangeAspect="1"/>
            </wp:cNvGraphicFramePr>
            <a:graphic>
              <a:graphicData uri="http://schemas.openxmlformats.org/drawingml/2006/picture">
                <pic:pic>
                  <pic:nvPicPr>
                    <pic:cNvPr id="0" name="f07_eps.png"/>
                    <pic:cNvPicPr/>
                  </pic:nvPicPr>
                  <pic:blipFill>
                    <a:blip r:embed="rId17"/>
                    <a:stretch>
                      <a:fillRect/>
                    </a:stretch>
                  </pic:blipFill>
                  <pic:spPr>
                    <a:xfrm>
                      <a:off x="0" y="0"/>
                      <a:ext cx="6048000" cy="3555541"/>
                    </a:xfrm>
                    <a:prstGeom prst="rect"/>
                  </pic:spPr>
                </pic:pic>
              </a:graphicData>
            </a:graphic>
          </wp:inline>
        </w:drawing>
      </w:r>
    </w:p>
    <w:p>
      <w:pPr>
        <w:spacing w:after="200"/>
        <w:jc w:val="center"/>
      </w:pPr>
      <w:r>
        <w:rPr>
          <w:rFonts w:ascii="Calibri" w:hAnsi="Calibri" w:eastAsia="Microsoft YaHei" w:cs="Calibri"/>
          <w:i/>
          <w:color w:val="555555"/>
          <w:sz w:val="18"/>
        </w:rPr>
        <w:t>Figure 7. EPS of the six large banks: history, Q3E (purple diamond = model mean, bars = P10-P90) and consensus</w:t>
      </w:r>
    </w:p>
    <w:tbl>
      <w:tblPr>
        <w:tblStyle w:val="TableGrid"/>
        <w:tblW w:type="auto" w:w="0"/>
        <w:jc w:val="center"/>
        <w:tblLayout w:type="fixed"/>
        <w:tblLook w:firstColumn="1" w:firstRow="1" w:lastColumn="0" w:lastRow="0" w:noHBand="0" w:noVBand="1" w:val="04A0"/>
      </w:tblPr>
      <w:tblGrid>
        <w:gridCol w:w="580"/>
        <w:gridCol w:w="1109"/>
        <w:gridCol w:w="2349"/>
        <w:gridCol w:w="1488"/>
        <w:gridCol w:w="1109"/>
        <w:gridCol w:w="1206"/>
        <w:gridCol w:w="1109"/>
        <w:gridCol w:w="802"/>
      </w:tblGrid>
      <w:tr>
        <w:trPr>
          <w:tblHeader w:val="true"/>
          <w:cantSplit/>
        </w:trPr>
        <w:tc>
          <w:tcPr>
            <w:tcW w:type="dxa" w:w="580"/>
            <w:shd w:val="clear" w:color="auto" w:fill="1F4E79"/>
          </w:tcPr>
          <w:p>
            <w:pPr>
              <w:spacing w:after="20" w:before="20" w:line="252" w:lineRule="auto"/>
              <w:jc w:val="center"/>
            </w:pPr>
            <w:r>
              <w:rPr>
                <w:rFonts w:ascii="Calibri" w:hAnsi="Calibri" w:eastAsia="Microsoft YaHei" w:cs="Calibri"/>
                <w:b/>
                <w:color w:val="FFFFFF"/>
                <w:sz w:val="16"/>
              </w:rPr>
              <w:t>Bank</w:t>
            </w:r>
          </w:p>
        </w:tc>
        <w:tc>
          <w:tcPr>
            <w:tcW w:type="dxa" w:w="1109"/>
            <w:shd w:val="clear" w:color="auto" w:fill="1F4E79"/>
          </w:tcPr>
          <w:p>
            <w:pPr>
              <w:spacing w:after="20" w:before="20" w:line="252" w:lineRule="auto"/>
              <w:jc w:val="center"/>
            </w:pPr>
            <w:r>
              <w:rPr>
                <w:rFonts w:ascii="Calibri" w:hAnsi="Calibri" w:eastAsia="Microsoft YaHei" w:cs="Calibri"/>
                <w:b/>
                <w:color w:val="FFFFFF"/>
                <w:sz w:val="16"/>
              </w:rPr>
              <w:t>Q3'25 EPS</w:t>
            </w:r>
          </w:p>
        </w:tc>
        <w:tc>
          <w:tcPr>
            <w:tcW w:type="dxa" w:w="2349"/>
            <w:shd w:val="clear" w:color="auto" w:fill="1F4E79"/>
          </w:tcPr>
          <w:p>
            <w:pPr>
              <w:spacing w:after="20" w:before="20" w:line="252" w:lineRule="auto"/>
              <w:jc w:val="center"/>
            </w:pPr>
            <w:r>
              <w:rPr>
                <w:rFonts w:ascii="Calibri" w:hAnsi="Calibri" w:eastAsia="Microsoft YaHei" w:cs="Calibri"/>
                <w:b/>
                <w:color w:val="FFFFFF"/>
                <w:sz w:val="16"/>
              </w:rPr>
              <w:t>Q2'26 EPS (JPM ex-Visa)</w:t>
            </w:r>
          </w:p>
        </w:tc>
        <w:tc>
          <w:tcPr>
            <w:tcW w:type="dxa" w:w="1488"/>
            <w:shd w:val="clear" w:color="auto" w:fill="1F4E79"/>
          </w:tcPr>
          <w:p>
            <w:pPr>
              <w:spacing w:after="20" w:before="20" w:line="252" w:lineRule="auto"/>
              <w:jc w:val="center"/>
            </w:pPr>
            <w:r>
              <w:rPr>
                <w:rFonts w:ascii="Calibri" w:hAnsi="Calibri" w:eastAsia="Microsoft YaHei" w:cs="Calibri"/>
                <w:b/>
                <w:color w:val="FFFFFF"/>
                <w:sz w:val="16"/>
              </w:rPr>
              <w:t>Q3E consensus</w:t>
            </w:r>
          </w:p>
        </w:tc>
        <w:tc>
          <w:tcPr>
            <w:tcW w:type="dxa" w:w="1109"/>
            <w:shd w:val="clear" w:color="auto" w:fill="1F4E79"/>
          </w:tcPr>
          <w:p>
            <w:pPr>
              <w:spacing w:after="20" w:before="20" w:line="252" w:lineRule="auto"/>
              <w:jc w:val="center"/>
            </w:pPr>
            <w:r>
              <w:rPr>
                <w:rFonts w:ascii="Calibri" w:hAnsi="Calibri" w:eastAsia="Microsoft YaHei" w:cs="Calibri"/>
                <w:b/>
                <w:color w:val="FFFFFF"/>
                <w:sz w:val="16"/>
              </w:rPr>
              <w:t>Q3E model</w:t>
            </w:r>
          </w:p>
        </w:tc>
        <w:tc>
          <w:tcPr>
            <w:tcW w:type="dxa" w:w="1206"/>
            <w:shd w:val="clear" w:color="auto" w:fill="1F4E79"/>
          </w:tcPr>
          <w:p>
            <w:pPr>
              <w:spacing w:after="20" w:before="20" w:line="252" w:lineRule="auto"/>
              <w:jc w:val="center"/>
            </w:pPr>
            <w:r>
              <w:rPr>
                <w:rFonts w:ascii="Calibri" w:hAnsi="Calibri" w:eastAsia="Microsoft YaHei" w:cs="Calibri"/>
                <w:b/>
                <w:color w:val="FFFFFF"/>
                <w:sz w:val="16"/>
              </w:rPr>
              <w:t>P10-P90</w:t>
            </w:r>
          </w:p>
        </w:tc>
        <w:tc>
          <w:tcPr>
            <w:tcW w:type="dxa" w:w="1109"/>
            <w:shd w:val="clear" w:color="auto" w:fill="1F4E79"/>
          </w:tcPr>
          <w:p>
            <w:pPr>
              <w:spacing w:after="20" w:before="20" w:line="252" w:lineRule="auto"/>
              <w:jc w:val="center"/>
            </w:pPr>
            <w:r>
              <w:rPr>
                <w:rFonts w:ascii="Calibri" w:hAnsi="Calibri" w:eastAsia="Microsoft YaHei" w:cs="Calibri"/>
                <w:b/>
                <w:color w:val="FFFFFF"/>
                <w:sz w:val="16"/>
              </w:rPr>
              <w:t>vs. cons.</w:t>
            </w:r>
          </w:p>
        </w:tc>
        <w:tc>
          <w:tcPr>
            <w:tcW w:type="dxa" w:w="802"/>
            <w:shd w:val="clear" w:color="auto" w:fill="1F4E79"/>
          </w:tcPr>
          <w:p>
            <w:pPr>
              <w:spacing w:after="20" w:before="20" w:line="252" w:lineRule="auto"/>
              <w:jc w:val="center"/>
            </w:pPr>
            <w:r>
              <w:rPr>
                <w:rFonts w:ascii="Calibri" w:hAnsi="Calibri" w:eastAsia="Microsoft YaHei" w:cs="Calibri"/>
                <w:b/>
                <w:color w:val="FFFFFF"/>
                <w:sz w:val="16"/>
              </w:rPr>
              <w:t>YoY</w:t>
            </w:r>
          </w:p>
        </w:tc>
      </w:tr>
      <w:tr>
        <w:trPr>
          <w:cantSplit/>
        </w:trPr>
        <w:tc>
          <w:tcPr>
            <w:tcW w:type="dxa" w:w="580"/>
          </w:tcPr>
          <w:p>
            <w:pPr>
              <w:spacing w:after="20" w:before="20" w:line="252" w:lineRule="auto"/>
              <w:jc w:val="left"/>
            </w:pPr>
            <w:r>
              <w:rPr>
                <w:rFonts w:ascii="Calibri" w:hAnsi="Calibri" w:eastAsia="Microsoft YaHei" w:cs="Calibri"/>
                <w:sz w:val="16"/>
              </w:rPr>
              <w:t>JPM</w:t>
            </w:r>
          </w:p>
        </w:tc>
        <w:tc>
          <w:tcPr>
            <w:tcW w:type="dxa" w:w="1109"/>
          </w:tcPr>
          <w:p>
            <w:pPr>
              <w:spacing w:after="20" w:before="20" w:line="252" w:lineRule="auto"/>
              <w:jc w:val="center"/>
            </w:pPr>
            <w:r>
              <w:rPr>
                <w:rFonts w:ascii="Calibri" w:hAnsi="Calibri" w:eastAsia="Microsoft YaHei" w:cs="Calibri"/>
                <w:sz w:val="16"/>
              </w:rPr>
              <w:t>5.07</w:t>
            </w:r>
          </w:p>
        </w:tc>
        <w:tc>
          <w:tcPr>
            <w:tcW w:type="dxa" w:w="2349"/>
          </w:tcPr>
          <w:p>
            <w:pPr>
              <w:spacing w:after="20" w:before="20" w:line="252" w:lineRule="auto"/>
              <w:jc w:val="center"/>
            </w:pPr>
            <w:r>
              <w:rPr>
                <w:rFonts w:ascii="Calibri" w:hAnsi="Calibri" w:eastAsia="Microsoft YaHei" w:cs="Calibri"/>
                <w:sz w:val="16"/>
              </w:rPr>
              <w:t>6.14</w:t>
            </w:r>
          </w:p>
        </w:tc>
        <w:tc>
          <w:tcPr>
            <w:tcW w:type="dxa" w:w="1488"/>
          </w:tcPr>
          <w:p>
            <w:pPr>
              <w:spacing w:after="20" w:before="20" w:line="252" w:lineRule="auto"/>
              <w:jc w:val="center"/>
            </w:pPr>
            <w:r>
              <w:rPr>
                <w:rFonts w:ascii="Calibri" w:hAnsi="Calibri" w:eastAsia="Microsoft YaHei" w:cs="Calibri"/>
                <w:sz w:val="16"/>
              </w:rPr>
              <w:t>5.86</w:t>
            </w:r>
          </w:p>
        </w:tc>
        <w:tc>
          <w:tcPr>
            <w:tcW w:type="dxa" w:w="1109"/>
          </w:tcPr>
          <w:p>
            <w:pPr>
              <w:spacing w:after="20" w:before="20" w:line="252" w:lineRule="auto"/>
              <w:jc w:val="center"/>
            </w:pPr>
            <w:r>
              <w:rPr>
                <w:rFonts w:ascii="Calibri" w:hAnsi="Calibri" w:eastAsia="Microsoft YaHei" w:cs="Calibri"/>
                <w:sz w:val="16"/>
              </w:rPr>
              <w:t>6.10</w:t>
            </w:r>
          </w:p>
        </w:tc>
        <w:tc>
          <w:tcPr>
            <w:tcW w:type="dxa" w:w="1206"/>
          </w:tcPr>
          <w:p>
            <w:pPr>
              <w:spacing w:after="20" w:before="20" w:line="252" w:lineRule="auto"/>
              <w:jc w:val="center"/>
            </w:pPr>
            <w:r>
              <w:rPr>
                <w:rFonts w:ascii="Calibri" w:hAnsi="Calibri" w:eastAsia="Microsoft YaHei" w:cs="Calibri"/>
                <w:sz w:val="16"/>
              </w:rPr>
              <w:t>5.66-6.54</w:t>
            </w:r>
          </w:p>
        </w:tc>
        <w:tc>
          <w:tcPr>
            <w:tcW w:type="dxa" w:w="1109"/>
          </w:tcPr>
          <w:p>
            <w:pPr>
              <w:spacing w:after="20" w:before="20" w:line="252" w:lineRule="auto"/>
              <w:jc w:val="center"/>
            </w:pPr>
            <w:r>
              <w:rPr>
                <w:rFonts w:ascii="Calibri" w:hAnsi="Calibri" w:eastAsia="Microsoft YaHei" w:cs="Calibri"/>
                <w:sz w:val="16"/>
              </w:rPr>
              <w:t>+4.0%</w:t>
            </w:r>
          </w:p>
        </w:tc>
        <w:tc>
          <w:tcPr>
            <w:tcW w:type="dxa" w:w="802"/>
          </w:tcPr>
          <w:p>
            <w:pPr>
              <w:spacing w:after="20" w:before="20" w:line="252" w:lineRule="auto"/>
              <w:jc w:val="center"/>
            </w:pPr>
            <w:r>
              <w:rPr>
                <w:rFonts w:ascii="Calibri" w:hAnsi="Calibri" w:eastAsia="Microsoft YaHei" w:cs="Calibri"/>
                <w:sz w:val="16"/>
              </w:rPr>
              <w:t>+20.2%</w:t>
            </w:r>
          </w:p>
        </w:tc>
      </w:tr>
      <w:tr>
        <w:trPr>
          <w:cantSplit/>
        </w:trPr>
        <w:tc>
          <w:tcPr>
            <w:tcW w:type="dxa" w:w="580"/>
            <w:shd w:val="clear" w:color="auto" w:fill="F2F5F9"/>
          </w:tcPr>
          <w:p>
            <w:pPr>
              <w:spacing w:after="20" w:before="20" w:line="252" w:lineRule="auto"/>
              <w:jc w:val="left"/>
            </w:pPr>
            <w:r>
              <w:rPr>
                <w:rFonts w:ascii="Calibri" w:hAnsi="Calibri" w:eastAsia="Microsoft YaHei" w:cs="Calibri"/>
                <w:sz w:val="16"/>
              </w:rPr>
              <w:t>BAC</w:t>
            </w:r>
          </w:p>
        </w:tc>
        <w:tc>
          <w:tcPr>
            <w:tcW w:type="dxa" w:w="1109"/>
            <w:shd w:val="clear" w:color="auto" w:fill="F2F5F9"/>
          </w:tcPr>
          <w:p>
            <w:pPr>
              <w:spacing w:after="20" w:before="20" w:line="252" w:lineRule="auto"/>
              <w:jc w:val="center"/>
            </w:pPr>
            <w:r>
              <w:rPr>
                <w:rFonts w:ascii="Calibri" w:hAnsi="Calibri" w:eastAsia="Microsoft YaHei" w:cs="Calibri"/>
                <w:sz w:val="16"/>
              </w:rPr>
              <w:t>1.06</w:t>
            </w:r>
          </w:p>
        </w:tc>
        <w:tc>
          <w:tcPr>
            <w:tcW w:type="dxa" w:w="2349"/>
            <w:shd w:val="clear" w:color="auto" w:fill="F2F5F9"/>
          </w:tcPr>
          <w:p>
            <w:pPr>
              <w:spacing w:after="20" w:before="20" w:line="252" w:lineRule="auto"/>
              <w:jc w:val="center"/>
            </w:pPr>
            <w:r>
              <w:rPr>
                <w:rFonts w:ascii="Calibri" w:hAnsi="Calibri" w:eastAsia="Microsoft YaHei" w:cs="Calibri"/>
                <w:sz w:val="16"/>
              </w:rPr>
              <w:t>1.21</w:t>
            </w:r>
          </w:p>
        </w:tc>
        <w:tc>
          <w:tcPr>
            <w:tcW w:type="dxa" w:w="1488"/>
            <w:shd w:val="clear" w:color="auto" w:fill="F2F5F9"/>
          </w:tcPr>
          <w:p>
            <w:pPr>
              <w:spacing w:after="20" w:before="20" w:line="252" w:lineRule="auto"/>
              <w:jc w:val="center"/>
            </w:pPr>
            <w:r>
              <w:rPr>
                <w:rFonts w:ascii="Calibri" w:hAnsi="Calibri" w:eastAsia="Microsoft YaHei" w:cs="Calibri"/>
                <w:sz w:val="16"/>
              </w:rPr>
              <w:t>1.15</w:t>
            </w:r>
          </w:p>
        </w:tc>
        <w:tc>
          <w:tcPr>
            <w:tcW w:type="dxa" w:w="1109"/>
            <w:shd w:val="clear" w:color="auto" w:fill="F2F5F9"/>
          </w:tcPr>
          <w:p>
            <w:pPr>
              <w:spacing w:after="20" w:before="20" w:line="252" w:lineRule="auto"/>
              <w:jc w:val="center"/>
            </w:pPr>
            <w:r>
              <w:rPr>
                <w:rFonts w:ascii="Calibri" w:hAnsi="Calibri" w:eastAsia="Microsoft YaHei" w:cs="Calibri"/>
                <w:sz w:val="16"/>
              </w:rPr>
              <w:t>1.09</w:t>
            </w:r>
          </w:p>
        </w:tc>
        <w:tc>
          <w:tcPr>
            <w:tcW w:type="dxa" w:w="1206"/>
            <w:shd w:val="clear" w:color="auto" w:fill="F2F5F9"/>
          </w:tcPr>
          <w:p>
            <w:pPr>
              <w:spacing w:after="20" w:before="20" w:line="252" w:lineRule="auto"/>
              <w:jc w:val="center"/>
            </w:pPr>
            <w:r>
              <w:rPr>
                <w:rFonts w:ascii="Calibri" w:hAnsi="Calibri" w:eastAsia="Microsoft YaHei" w:cs="Calibri"/>
                <w:sz w:val="16"/>
              </w:rPr>
              <w:t>1.00-1.17</w:t>
            </w:r>
          </w:p>
        </w:tc>
        <w:tc>
          <w:tcPr>
            <w:tcW w:type="dxa" w:w="1109"/>
            <w:shd w:val="clear" w:color="auto" w:fill="F2F5F9"/>
          </w:tcPr>
          <w:p>
            <w:pPr>
              <w:spacing w:after="20" w:before="20" w:line="252" w:lineRule="auto"/>
              <w:jc w:val="center"/>
            </w:pPr>
            <w:r>
              <w:rPr>
                <w:rFonts w:ascii="Calibri" w:hAnsi="Calibri" w:eastAsia="Microsoft YaHei" w:cs="Calibri"/>
                <w:sz w:val="16"/>
              </w:rPr>
              <w:t>-5.5%</w:t>
            </w:r>
          </w:p>
        </w:tc>
        <w:tc>
          <w:tcPr>
            <w:tcW w:type="dxa" w:w="802"/>
            <w:shd w:val="clear" w:color="auto" w:fill="F2F5F9"/>
          </w:tcPr>
          <w:p>
            <w:pPr>
              <w:spacing w:after="20" w:before="20" w:line="252" w:lineRule="auto"/>
              <w:jc w:val="center"/>
            </w:pPr>
            <w:r>
              <w:rPr>
                <w:rFonts w:ascii="Calibri" w:hAnsi="Calibri" w:eastAsia="Microsoft YaHei" w:cs="Calibri"/>
                <w:sz w:val="16"/>
              </w:rPr>
              <w:t>+2.5%</w:t>
            </w:r>
          </w:p>
        </w:tc>
      </w:tr>
      <w:tr>
        <w:trPr>
          <w:cantSplit/>
        </w:trPr>
        <w:tc>
          <w:tcPr>
            <w:tcW w:type="dxa" w:w="580"/>
          </w:tcPr>
          <w:p>
            <w:pPr>
              <w:spacing w:after="20" w:before="20" w:line="252" w:lineRule="auto"/>
              <w:jc w:val="left"/>
            </w:pPr>
            <w:r>
              <w:rPr>
                <w:rFonts w:ascii="Calibri" w:hAnsi="Calibri" w:eastAsia="Microsoft YaHei" w:cs="Calibri"/>
                <w:sz w:val="16"/>
              </w:rPr>
              <w:t>C</w:t>
            </w:r>
          </w:p>
        </w:tc>
        <w:tc>
          <w:tcPr>
            <w:tcW w:type="dxa" w:w="1109"/>
          </w:tcPr>
          <w:p>
            <w:pPr>
              <w:spacing w:after="20" w:before="20" w:line="252" w:lineRule="auto"/>
              <w:jc w:val="center"/>
            </w:pPr>
            <w:r>
              <w:rPr>
                <w:rFonts w:ascii="Calibri" w:hAnsi="Calibri" w:eastAsia="Microsoft YaHei" w:cs="Calibri"/>
                <w:sz w:val="16"/>
              </w:rPr>
              <w:t>1.86</w:t>
            </w:r>
          </w:p>
        </w:tc>
        <w:tc>
          <w:tcPr>
            <w:tcW w:type="dxa" w:w="2349"/>
          </w:tcPr>
          <w:p>
            <w:pPr>
              <w:spacing w:after="20" w:before="20" w:line="252" w:lineRule="auto"/>
              <w:jc w:val="center"/>
            </w:pPr>
            <w:r>
              <w:rPr>
                <w:rFonts w:ascii="Calibri" w:hAnsi="Calibri" w:eastAsia="Microsoft YaHei" w:cs="Calibri"/>
                <w:sz w:val="16"/>
              </w:rPr>
              <w:t>3.15</w:t>
            </w:r>
          </w:p>
        </w:tc>
        <w:tc>
          <w:tcPr>
            <w:tcW w:type="dxa" w:w="1488"/>
          </w:tcPr>
          <w:p>
            <w:pPr>
              <w:spacing w:after="20" w:before="20" w:line="252" w:lineRule="auto"/>
              <w:jc w:val="center"/>
            </w:pPr>
            <w:r>
              <w:rPr>
                <w:rFonts w:ascii="Calibri" w:hAnsi="Calibri" w:eastAsia="Microsoft YaHei" w:cs="Calibri"/>
                <w:sz w:val="16"/>
              </w:rPr>
              <w:t>2.64</w:t>
            </w:r>
          </w:p>
        </w:tc>
        <w:tc>
          <w:tcPr>
            <w:tcW w:type="dxa" w:w="1109"/>
          </w:tcPr>
          <w:p>
            <w:pPr>
              <w:spacing w:after="20" w:before="20" w:line="252" w:lineRule="auto"/>
              <w:jc w:val="center"/>
            </w:pPr>
            <w:r>
              <w:rPr>
                <w:rFonts w:ascii="Calibri" w:hAnsi="Calibri" w:eastAsia="Microsoft YaHei" w:cs="Calibri"/>
                <w:sz w:val="16"/>
              </w:rPr>
              <w:t>2.96</w:t>
            </w:r>
          </w:p>
        </w:tc>
        <w:tc>
          <w:tcPr>
            <w:tcW w:type="dxa" w:w="1206"/>
          </w:tcPr>
          <w:p>
            <w:pPr>
              <w:spacing w:after="20" w:before="20" w:line="252" w:lineRule="auto"/>
              <w:jc w:val="center"/>
            </w:pPr>
            <w:r>
              <w:rPr>
                <w:rFonts w:ascii="Calibri" w:hAnsi="Calibri" w:eastAsia="Microsoft YaHei" w:cs="Calibri"/>
                <w:sz w:val="16"/>
              </w:rPr>
              <w:t>2.58-3.33</w:t>
            </w:r>
          </w:p>
        </w:tc>
        <w:tc>
          <w:tcPr>
            <w:tcW w:type="dxa" w:w="1109"/>
          </w:tcPr>
          <w:p>
            <w:pPr>
              <w:spacing w:after="20" w:before="20" w:line="252" w:lineRule="auto"/>
              <w:jc w:val="center"/>
            </w:pPr>
            <w:r>
              <w:rPr>
                <w:rFonts w:ascii="Calibri" w:hAnsi="Calibri" w:eastAsia="Microsoft YaHei" w:cs="Calibri"/>
                <w:sz w:val="16"/>
              </w:rPr>
              <w:t>+11.9%</w:t>
            </w:r>
          </w:p>
        </w:tc>
        <w:tc>
          <w:tcPr>
            <w:tcW w:type="dxa" w:w="802"/>
          </w:tcPr>
          <w:p>
            <w:pPr>
              <w:spacing w:after="20" w:before="20" w:line="252" w:lineRule="auto"/>
              <w:jc w:val="center"/>
            </w:pPr>
            <w:r>
              <w:rPr>
                <w:rFonts w:ascii="Calibri" w:hAnsi="Calibri" w:eastAsia="Microsoft YaHei" w:cs="Calibri"/>
                <w:sz w:val="16"/>
              </w:rPr>
              <w:t>+58.9%</w:t>
            </w:r>
          </w:p>
        </w:tc>
      </w:tr>
      <w:tr>
        <w:trPr>
          <w:cantSplit/>
        </w:trPr>
        <w:tc>
          <w:tcPr>
            <w:tcW w:type="dxa" w:w="580"/>
            <w:shd w:val="clear" w:color="auto" w:fill="F2F5F9"/>
          </w:tcPr>
          <w:p>
            <w:pPr>
              <w:spacing w:after="20" w:before="20" w:line="252" w:lineRule="auto"/>
              <w:jc w:val="left"/>
            </w:pPr>
            <w:r>
              <w:rPr>
                <w:rFonts w:ascii="Calibri" w:hAnsi="Calibri" w:eastAsia="Microsoft YaHei" w:cs="Calibri"/>
                <w:sz w:val="16"/>
              </w:rPr>
              <w:t>WFC</w:t>
            </w:r>
          </w:p>
        </w:tc>
        <w:tc>
          <w:tcPr>
            <w:tcW w:type="dxa" w:w="1109"/>
            <w:shd w:val="clear" w:color="auto" w:fill="F2F5F9"/>
          </w:tcPr>
          <w:p>
            <w:pPr>
              <w:spacing w:after="20" w:before="20" w:line="252" w:lineRule="auto"/>
              <w:jc w:val="center"/>
            </w:pPr>
            <w:r>
              <w:rPr>
                <w:rFonts w:ascii="Calibri" w:hAnsi="Calibri" w:eastAsia="Microsoft YaHei" w:cs="Calibri"/>
                <w:sz w:val="16"/>
              </w:rPr>
              <w:t>1.66</w:t>
            </w:r>
          </w:p>
        </w:tc>
        <w:tc>
          <w:tcPr>
            <w:tcW w:type="dxa" w:w="2349"/>
            <w:shd w:val="clear" w:color="auto" w:fill="F2F5F9"/>
          </w:tcPr>
          <w:p>
            <w:pPr>
              <w:spacing w:after="20" w:before="20" w:line="252" w:lineRule="auto"/>
              <w:jc w:val="center"/>
            </w:pPr>
            <w:r>
              <w:rPr>
                <w:rFonts w:ascii="Calibri" w:hAnsi="Calibri" w:eastAsia="Microsoft YaHei" w:cs="Calibri"/>
                <w:sz w:val="16"/>
              </w:rPr>
              <w:t>2.00</w:t>
            </w:r>
          </w:p>
        </w:tc>
        <w:tc>
          <w:tcPr>
            <w:tcW w:type="dxa" w:w="1488"/>
            <w:shd w:val="clear" w:color="auto" w:fill="F2F5F9"/>
          </w:tcPr>
          <w:p>
            <w:pPr>
              <w:spacing w:after="20" w:before="20" w:line="252" w:lineRule="auto"/>
              <w:jc w:val="center"/>
            </w:pPr>
            <w:r>
              <w:rPr>
                <w:rFonts w:ascii="Calibri" w:hAnsi="Calibri" w:eastAsia="Microsoft YaHei" w:cs="Calibri"/>
                <w:sz w:val="16"/>
              </w:rPr>
              <w:t>1.85</w:t>
            </w:r>
          </w:p>
        </w:tc>
        <w:tc>
          <w:tcPr>
            <w:tcW w:type="dxa" w:w="1109"/>
            <w:shd w:val="clear" w:color="auto" w:fill="F2F5F9"/>
          </w:tcPr>
          <w:p>
            <w:pPr>
              <w:spacing w:after="20" w:before="20" w:line="252" w:lineRule="auto"/>
              <w:jc w:val="center"/>
            </w:pPr>
            <w:r>
              <w:rPr>
                <w:rFonts w:ascii="Calibri" w:hAnsi="Calibri" w:eastAsia="Microsoft YaHei" w:cs="Calibri"/>
                <w:sz w:val="16"/>
              </w:rPr>
              <w:t>1.84</w:t>
            </w:r>
          </w:p>
        </w:tc>
        <w:tc>
          <w:tcPr>
            <w:tcW w:type="dxa" w:w="1206"/>
            <w:shd w:val="clear" w:color="auto" w:fill="F2F5F9"/>
          </w:tcPr>
          <w:p>
            <w:pPr>
              <w:spacing w:after="20" w:before="20" w:line="252" w:lineRule="auto"/>
              <w:jc w:val="center"/>
            </w:pPr>
            <w:r>
              <w:rPr>
                <w:rFonts w:ascii="Calibri" w:hAnsi="Calibri" w:eastAsia="Microsoft YaHei" w:cs="Calibri"/>
                <w:sz w:val="16"/>
              </w:rPr>
              <w:t>1.64-2.04</w:t>
            </w:r>
          </w:p>
        </w:tc>
        <w:tc>
          <w:tcPr>
            <w:tcW w:type="dxa" w:w="1109"/>
            <w:shd w:val="clear" w:color="auto" w:fill="F2F5F9"/>
          </w:tcPr>
          <w:p>
            <w:pPr>
              <w:spacing w:after="20" w:before="20" w:line="252" w:lineRule="auto"/>
              <w:jc w:val="center"/>
            </w:pPr>
            <w:r>
              <w:rPr>
                <w:rFonts w:ascii="Calibri" w:hAnsi="Calibri" w:eastAsia="Microsoft YaHei" w:cs="Calibri"/>
                <w:sz w:val="16"/>
              </w:rPr>
              <w:t>-0.5%</w:t>
            </w:r>
          </w:p>
        </w:tc>
        <w:tc>
          <w:tcPr>
            <w:tcW w:type="dxa" w:w="802"/>
            <w:shd w:val="clear" w:color="auto" w:fill="F2F5F9"/>
          </w:tcPr>
          <w:p>
            <w:pPr>
              <w:spacing w:after="20" w:before="20" w:line="252" w:lineRule="auto"/>
              <w:jc w:val="center"/>
            </w:pPr>
            <w:r>
              <w:rPr>
                <w:rFonts w:ascii="Calibri" w:hAnsi="Calibri" w:eastAsia="Microsoft YaHei" w:cs="Calibri"/>
                <w:sz w:val="16"/>
              </w:rPr>
              <w:t>+10.8%</w:t>
            </w:r>
          </w:p>
        </w:tc>
      </w:tr>
      <w:tr>
        <w:trPr>
          <w:cantSplit/>
        </w:trPr>
        <w:tc>
          <w:tcPr>
            <w:tcW w:type="dxa" w:w="580"/>
          </w:tcPr>
          <w:p>
            <w:pPr>
              <w:spacing w:after="20" w:before="20" w:line="252" w:lineRule="auto"/>
              <w:jc w:val="left"/>
            </w:pPr>
            <w:r>
              <w:rPr>
                <w:rFonts w:ascii="Calibri" w:hAnsi="Calibri" w:eastAsia="Microsoft YaHei" w:cs="Calibri"/>
                <w:sz w:val="16"/>
              </w:rPr>
              <w:t>GS</w:t>
            </w:r>
          </w:p>
        </w:tc>
        <w:tc>
          <w:tcPr>
            <w:tcW w:type="dxa" w:w="1109"/>
          </w:tcPr>
          <w:p>
            <w:pPr>
              <w:spacing w:after="20" w:before="20" w:line="252" w:lineRule="auto"/>
              <w:jc w:val="center"/>
            </w:pPr>
            <w:r>
              <w:rPr>
                <w:rFonts w:ascii="Calibri" w:hAnsi="Calibri" w:eastAsia="Microsoft YaHei" w:cs="Calibri"/>
                <w:sz w:val="16"/>
              </w:rPr>
              <w:t>12.25</w:t>
            </w:r>
          </w:p>
        </w:tc>
        <w:tc>
          <w:tcPr>
            <w:tcW w:type="dxa" w:w="2349"/>
          </w:tcPr>
          <w:p>
            <w:pPr>
              <w:spacing w:after="20" w:before="20" w:line="252" w:lineRule="auto"/>
              <w:jc w:val="center"/>
            </w:pPr>
            <w:r>
              <w:rPr>
                <w:rFonts w:ascii="Calibri" w:hAnsi="Calibri" w:eastAsia="Microsoft YaHei" w:cs="Calibri"/>
                <w:sz w:val="16"/>
              </w:rPr>
              <w:t>20.98</w:t>
            </w:r>
          </w:p>
        </w:tc>
        <w:tc>
          <w:tcPr>
            <w:tcW w:type="dxa" w:w="1488"/>
          </w:tcPr>
          <w:p>
            <w:pPr>
              <w:spacing w:after="20" w:before="20" w:line="252" w:lineRule="auto"/>
              <w:jc w:val="center"/>
            </w:pPr>
            <w:r>
              <w:rPr>
                <w:rFonts w:ascii="Calibri" w:hAnsi="Calibri" w:eastAsia="Microsoft YaHei" w:cs="Calibri"/>
                <w:sz w:val="16"/>
              </w:rPr>
              <w:t>15.39</w:t>
            </w:r>
          </w:p>
        </w:tc>
        <w:tc>
          <w:tcPr>
            <w:tcW w:type="dxa" w:w="1109"/>
          </w:tcPr>
          <w:p>
            <w:pPr>
              <w:spacing w:after="20" w:before="20" w:line="252" w:lineRule="auto"/>
              <w:jc w:val="center"/>
            </w:pPr>
            <w:r>
              <w:rPr>
                <w:rFonts w:ascii="Calibri" w:hAnsi="Calibri" w:eastAsia="Microsoft YaHei" w:cs="Calibri"/>
                <w:sz w:val="16"/>
              </w:rPr>
              <w:t>14.19</w:t>
            </w:r>
          </w:p>
        </w:tc>
        <w:tc>
          <w:tcPr>
            <w:tcW w:type="dxa" w:w="1206"/>
          </w:tcPr>
          <w:p>
            <w:pPr>
              <w:spacing w:after="20" w:before="20" w:line="252" w:lineRule="auto"/>
              <w:jc w:val="center"/>
            </w:pPr>
            <w:r>
              <w:rPr>
                <w:rFonts w:ascii="Calibri" w:hAnsi="Calibri" w:eastAsia="Microsoft YaHei" w:cs="Calibri"/>
                <w:sz w:val="16"/>
              </w:rPr>
              <w:t>9.57-18.84</w:t>
            </w:r>
          </w:p>
        </w:tc>
        <w:tc>
          <w:tcPr>
            <w:tcW w:type="dxa" w:w="1109"/>
          </w:tcPr>
          <w:p>
            <w:pPr>
              <w:spacing w:after="20" w:before="20" w:line="252" w:lineRule="auto"/>
              <w:jc w:val="center"/>
            </w:pPr>
            <w:r>
              <w:rPr>
                <w:rFonts w:ascii="Calibri" w:hAnsi="Calibri" w:eastAsia="Microsoft YaHei" w:cs="Calibri"/>
                <w:sz w:val="16"/>
              </w:rPr>
              <w:t>-7.8%</w:t>
            </w:r>
          </w:p>
        </w:tc>
        <w:tc>
          <w:tcPr>
            <w:tcW w:type="dxa" w:w="802"/>
          </w:tcPr>
          <w:p>
            <w:pPr>
              <w:spacing w:after="20" w:before="20" w:line="252" w:lineRule="auto"/>
              <w:jc w:val="center"/>
            </w:pPr>
            <w:r>
              <w:rPr>
                <w:rFonts w:ascii="Calibri" w:hAnsi="Calibri" w:eastAsia="Microsoft YaHei" w:cs="Calibri"/>
                <w:sz w:val="16"/>
              </w:rPr>
              <w:t>+15.9%</w:t>
            </w:r>
          </w:p>
        </w:tc>
      </w:tr>
      <w:tr>
        <w:trPr>
          <w:cantSplit/>
        </w:trPr>
        <w:tc>
          <w:tcPr>
            <w:tcW w:type="dxa" w:w="580"/>
            <w:shd w:val="clear" w:color="auto" w:fill="F2F5F9"/>
          </w:tcPr>
          <w:p>
            <w:pPr>
              <w:spacing w:after="20" w:before="20" w:line="252" w:lineRule="auto"/>
              <w:jc w:val="left"/>
            </w:pPr>
            <w:r>
              <w:rPr>
                <w:rFonts w:ascii="Calibri" w:hAnsi="Calibri" w:eastAsia="Microsoft YaHei" w:cs="Calibri"/>
                <w:sz w:val="16"/>
              </w:rPr>
              <w:t>MS</w:t>
            </w:r>
          </w:p>
        </w:tc>
        <w:tc>
          <w:tcPr>
            <w:tcW w:type="dxa" w:w="1109"/>
            <w:shd w:val="clear" w:color="auto" w:fill="F2F5F9"/>
          </w:tcPr>
          <w:p>
            <w:pPr>
              <w:spacing w:after="20" w:before="20" w:line="252" w:lineRule="auto"/>
              <w:jc w:val="center"/>
            </w:pPr>
            <w:r>
              <w:rPr>
                <w:rFonts w:ascii="Calibri" w:hAnsi="Calibri" w:eastAsia="Microsoft YaHei" w:cs="Calibri"/>
                <w:sz w:val="16"/>
              </w:rPr>
              <w:t>2.80</w:t>
            </w:r>
          </w:p>
        </w:tc>
        <w:tc>
          <w:tcPr>
            <w:tcW w:type="dxa" w:w="2349"/>
            <w:shd w:val="clear" w:color="auto" w:fill="F2F5F9"/>
          </w:tcPr>
          <w:p>
            <w:pPr>
              <w:spacing w:after="20" w:before="20" w:line="252" w:lineRule="auto"/>
              <w:jc w:val="center"/>
            </w:pPr>
            <w:r>
              <w:rPr>
                <w:rFonts w:ascii="Calibri" w:hAnsi="Calibri" w:eastAsia="Microsoft YaHei" w:cs="Calibri"/>
                <w:sz w:val="16"/>
              </w:rPr>
              <w:t>3.46</w:t>
            </w:r>
          </w:p>
        </w:tc>
        <w:tc>
          <w:tcPr>
            <w:tcW w:type="dxa" w:w="1488"/>
            <w:shd w:val="clear" w:color="auto" w:fill="F2F5F9"/>
          </w:tcPr>
          <w:p>
            <w:pPr>
              <w:spacing w:after="20" w:before="20" w:line="252" w:lineRule="auto"/>
              <w:jc w:val="center"/>
            </w:pPr>
            <w:r>
              <w:rPr>
                <w:rFonts w:ascii="Calibri" w:hAnsi="Calibri" w:eastAsia="Microsoft YaHei" w:cs="Calibri"/>
                <w:sz w:val="16"/>
              </w:rPr>
              <w:t>3.09</w:t>
            </w:r>
          </w:p>
        </w:tc>
        <w:tc>
          <w:tcPr>
            <w:tcW w:type="dxa" w:w="1109"/>
            <w:shd w:val="clear" w:color="auto" w:fill="F2F5F9"/>
          </w:tcPr>
          <w:p>
            <w:pPr>
              <w:spacing w:after="20" w:before="20" w:line="252" w:lineRule="auto"/>
              <w:jc w:val="center"/>
            </w:pPr>
            <w:r>
              <w:rPr>
                <w:rFonts w:ascii="Calibri" w:hAnsi="Calibri" w:eastAsia="Microsoft YaHei" w:cs="Calibri"/>
                <w:sz w:val="16"/>
              </w:rPr>
              <w:t>3.30</w:t>
            </w:r>
          </w:p>
        </w:tc>
        <w:tc>
          <w:tcPr>
            <w:tcW w:type="dxa" w:w="1206"/>
            <w:shd w:val="clear" w:color="auto" w:fill="F2F5F9"/>
          </w:tcPr>
          <w:p>
            <w:pPr>
              <w:spacing w:after="20" w:before="20" w:line="252" w:lineRule="auto"/>
              <w:jc w:val="center"/>
            </w:pPr>
            <w:r>
              <w:rPr>
                <w:rFonts w:ascii="Calibri" w:hAnsi="Calibri" w:eastAsia="Microsoft YaHei" w:cs="Calibri"/>
                <w:sz w:val="16"/>
              </w:rPr>
              <w:t>2.81-3.80</w:t>
            </w:r>
          </w:p>
        </w:tc>
        <w:tc>
          <w:tcPr>
            <w:tcW w:type="dxa" w:w="1109"/>
            <w:shd w:val="clear" w:color="auto" w:fill="F2F5F9"/>
          </w:tcPr>
          <w:p>
            <w:pPr>
              <w:spacing w:after="20" w:before="20" w:line="252" w:lineRule="auto"/>
              <w:jc w:val="center"/>
            </w:pPr>
            <w:r>
              <w:rPr>
                <w:rFonts w:ascii="Calibri" w:hAnsi="Calibri" w:eastAsia="Microsoft YaHei" w:cs="Calibri"/>
                <w:sz w:val="16"/>
              </w:rPr>
              <w:t>+6.9%</w:t>
            </w:r>
          </w:p>
        </w:tc>
        <w:tc>
          <w:tcPr>
            <w:tcW w:type="dxa" w:w="802"/>
            <w:shd w:val="clear" w:color="auto" w:fill="F2F5F9"/>
          </w:tcPr>
          <w:p>
            <w:pPr>
              <w:spacing w:after="20" w:before="20" w:line="252" w:lineRule="auto"/>
              <w:jc w:val="center"/>
            </w:pPr>
            <w:r>
              <w:rPr>
                <w:rFonts w:ascii="Calibri" w:hAnsi="Calibri" w:eastAsia="Microsoft YaHei" w:cs="Calibri"/>
                <w:sz w:val="16"/>
              </w:rPr>
              <w:t>+18.0%</w:t>
            </w:r>
          </w:p>
        </w:tc>
      </w:tr>
    </w:tbl>
    <w:p>
      <w:pPr>
        <w:spacing w:after="40"/>
      </w:pPr>
    </w:p>
    <w:p>
      <w:pPr>
        <w:keepNext/>
        <w:spacing w:before="120"/>
        <w:jc w:val="center"/>
      </w:pPr>
      <w:r>
        <w:drawing>
          <wp:inline xmlns:a="http://schemas.openxmlformats.org/drawingml/2006/main" xmlns:pic="http://schemas.openxmlformats.org/drawingml/2006/picture">
            <wp:extent cx="6048000" cy="2356772"/>
            <wp:docPr id="8" name="Picture 8"/>
            <wp:cNvGraphicFramePr>
              <a:graphicFrameLocks noChangeAspect="1"/>
            </wp:cNvGraphicFramePr>
            <a:graphic>
              <a:graphicData uri="http://schemas.openxmlformats.org/drawingml/2006/picture">
                <pic:pic>
                  <pic:nvPicPr>
                    <pic:cNvPr id="0" name="f08_pe.png"/>
                    <pic:cNvPicPr/>
                  </pic:nvPicPr>
                  <pic:blipFill>
                    <a:blip r:embed="rId18"/>
                    <a:stretch>
                      <a:fillRect/>
                    </a:stretch>
                  </pic:blipFill>
                  <pic:spPr>
                    <a:xfrm>
                      <a:off x="0" y="0"/>
                      <a:ext cx="6048000" cy="2356772"/>
                    </a:xfrm>
                    <a:prstGeom prst="rect"/>
                  </pic:spPr>
                </pic:pic>
              </a:graphicData>
            </a:graphic>
          </wp:inline>
        </w:drawing>
      </w:r>
    </w:p>
    <w:p>
      <w:pPr>
        <w:spacing w:after="200"/>
        <w:jc w:val="center"/>
      </w:pPr>
      <w:r>
        <w:rPr>
          <w:rFonts w:ascii="Calibri" w:hAnsi="Calibri" w:eastAsia="Microsoft YaHei" w:cs="Calibri"/>
          <w:i/>
          <w:color w:val="555555"/>
          <w:sz w:val="18"/>
        </w:rPr>
        <w:t>Figure 8. Trailing-12M P/E (left) and P/E at the 1 Oct close (right; grey = reported TTM, purple = rolled incl. Q3E)</w:t>
      </w:r>
    </w:p>
    <w:tbl>
      <w:tblPr>
        <w:tblStyle w:val="TableGrid"/>
        <w:tblW w:type="auto" w:w="0"/>
        <w:jc w:val="center"/>
        <w:tblLayout w:type="fixed"/>
        <w:tblLook w:firstColumn="1" w:firstRow="1" w:lastColumn="0" w:lastRow="0" w:noHBand="0" w:noVBand="1" w:val="04A0"/>
      </w:tblPr>
      <w:tblGrid>
        <w:gridCol w:w="573"/>
        <w:gridCol w:w="1560"/>
        <w:gridCol w:w="1192"/>
        <w:gridCol w:w="1560"/>
        <w:gridCol w:w="896"/>
        <w:gridCol w:w="2321"/>
        <w:gridCol w:w="1649"/>
      </w:tblGrid>
      <w:tr>
        <w:trPr>
          <w:tblHeader w:val="true"/>
          <w:cantSplit/>
        </w:trPr>
        <w:tc>
          <w:tcPr>
            <w:tcW w:type="dxa" w:w="573"/>
            <w:shd w:val="clear" w:color="auto" w:fill="1F4E79"/>
          </w:tcPr>
          <w:p>
            <w:pPr>
              <w:spacing w:after="20" w:before="20" w:line="252" w:lineRule="auto"/>
              <w:jc w:val="center"/>
            </w:pPr>
            <w:r>
              <w:rPr>
                <w:rFonts w:ascii="Calibri" w:hAnsi="Calibri" w:eastAsia="Microsoft YaHei" w:cs="Calibri"/>
                <w:b/>
                <w:color w:val="FFFFFF"/>
                <w:sz w:val="16"/>
              </w:rPr>
              <w:t>Bank</w:t>
            </w:r>
          </w:p>
        </w:tc>
        <w:tc>
          <w:tcPr>
            <w:tcW w:type="dxa" w:w="1560"/>
            <w:shd w:val="clear" w:color="auto" w:fill="1F4E79"/>
          </w:tcPr>
          <w:p>
            <w:pPr>
              <w:spacing w:after="20" w:before="20" w:line="252" w:lineRule="auto"/>
              <w:jc w:val="center"/>
            </w:pPr>
            <w:r>
              <w:rPr>
                <w:rFonts w:ascii="Calibri" w:hAnsi="Calibri" w:eastAsia="Microsoft YaHei" w:cs="Calibri"/>
                <w:b/>
                <w:color w:val="FFFFFF"/>
                <w:sz w:val="16"/>
              </w:rPr>
              <w:t>1 Oct close ($)</w:t>
            </w:r>
          </w:p>
        </w:tc>
        <w:tc>
          <w:tcPr>
            <w:tcW w:type="dxa" w:w="1192"/>
            <w:shd w:val="clear" w:color="auto" w:fill="1F4E79"/>
          </w:tcPr>
          <w:p>
            <w:pPr>
              <w:spacing w:after="20" w:before="20" w:line="252" w:lineRule="auto"/>
              <w:jc w:val="center"/>
            </w:pPr>
            <w:r>
              <w:rPr>
                <w:rFonts w:ascii="Calibri" w:hAnsi="Calibri" w:eastAsia="Microsoft YaHei" w:cs="Calibri"/>
                <w:b/>
                <w:color w:val="FFFFFF"/>
                <w:sz w:val="16"/>
              </w:rPr>
              <w:t>TTM EPS ($)</w:t>
            </w:r>
          </w:p>
        </w:tc>
        <w:tc>
          <w:tcPr>
            <w:tcW w:type="dxa" w:w="1560"/>
            <w:shd w:val="clear" w:color="auto" w:fill="1F4E79"/>
          </w:tcPr>
          <w:p>
            <w:pPr>
              <w:spacing w:after="20" w:before="20" w:line="252" w:lineRule="auto"/>
              <w:jc w:val="center"/>
            </w:pPr>
            <w:r>
              <w:rPr>
                <w:rFonts w:ascii="Calibri" w:hAnsi="Calibri" w:eastAsia="Microsoft YaHei" w:cs="Calibri"/>
                <w:b/>
                <w:color w:val="FFFFFF"/>
                <w:sz w:val="16"/>
              </w:rPr>
              <w:t>P/E a year ago</w:t>
            </w:r>
          </w:p>
        </w:tc>
        <w:tc>
          <w:tcPr>
            <w:tcW w:type="dxa" w:w="896"/>
            <w:shd w:val="clear" w:color="auto" w:fill="1F4E79"/>
          </w:tcPr>
          <w:p>
            <w:pPr>
              <w:spacing w:after="20" w:before="20" w:line="252" w:lineRule="auto"/>
              <w:jc w:val="center"/>
            </w:pPr>
            <w:r>
              <w:rPr>
                <w:rFonts w:ascii="Calibri" w:hAnsi="Calibri" w:eastAsia="Microsoft YaHei" w:cs="Calibri"/>
                <w:b/>
                <w:color w:val="FFFFFF"/>
                <w:sz w:val="16"/>
              </w:rPr>
              <w:t>P/E now</w:t>
            </w:r>
          </w:p>
        </w:tc>
        <w:tc>
          <w:tcPr>
            <w:tcW w:type="dxa" w:w="2321"/>
            <w:shd w:val="clear" w:color="auto" w:fill="1F4E79"/>
          </w:tcPr>
          <w:p>
            <w:pPr>
              <w:spacing w:after="20" w:before="20" w:line="252" w:lineRule="auto"/>
              <w:jc w:val="center"/>
            </w:pPr>
            <w:r>
              <w:rPr>
                <w:rFonts w:ascii="Calibri" w:hAnsi="Calibri" w:eastAsia="Microsoft YaHei" w:cs="Calibri"/>
                <w:b/>
                <w:color w:val="FFFFFF"/>
                <w:sz w:val="16"/>
              </w:rPr>
              <w:t>EPS rolled incl. Q3E ($)</w:t>
            </w:r>
          </w:p>
        </w:tc>
        <w:tc>
          <w:tcPr>
            <w:tcW w:type="dxa" w:w="1649"/>
            <w:shd w:val="clear" w:color="auto" w:fill="1F4E79"/>
          </w:tcPr>
          <w:p>
            <w:pPr>
              <w:spacing w:after="20" w:before="20" w:line="252" w:lineRule="auto"/>
              <w:jc w:val="center"/>
            </w:pPr>
            <w:r>
              <w:rPr>
                <w:rFonts w:ascii="Calibri" w:hAnsi="Calibri" w:eastAsia="Microsoft YaHei" w:cs="Calibri"/>
                <w:b/>
                <w:color w:val="FFFFFF"/>
                <w:sz w:val="16"/>
              </w:rPr>
              <w:t>P/E (incl. Q3E)</w:t>
            </w:r>
          </w:p>
        </w:tc>
      </w:tr>
      <w:tr>
        <w:trPr>
          <w:cantSplit/>
        </w:trPr>
        <w:tc>
          <w:tcPr>
            <w:tcW w:type="dxa" w:w="573"/>
          </w:tcPr>
          <w:p>
            <w:pPr>
              <w:spacing w:after="20" w:before="20" w:line="252" w:lineRule="auto"/>
              <w:jc w:val="left"/>
            </w:pPr>
            <w:r>
              <w:rPr>
                <w:rFonts w:ascii="Calibri" w:hAnsi="Calibri" w:eastAsia="Microsoft YaHei" w:cs="Calibri"/>
                <w:sz w:val="16"/>
              </w:rPr>
              <w:t>JPM</w:t>
            </w:r>
          </w:p>
        </w:tc>
        <w:tc>
          <w:tcPr>
            <w:tcW w:type="dxa" w:w="1560"/>
          </w:tcPr>
          <w:p>
            <w:pPr>
              <w:spacing w:after="20" w:before="20" w:line="252" w:lineRule="auto"/>
              <w:jc w:val="center"/>
            </w:pPr>
            <w:r>
              <w:rPr>
                <w:rFonts w:ascii="Calibri" w:hAnsi="Calibri" w:eastAsia="Microsoft YaHei" w:cs="Calibri"/>
                <w:sz w:val="16"/>
              </w:rPr>
              <w:t>333.18</w:t>
            </w:r>
          </w:p>
        </w:tc>
        <w:tc>
          <w:tcPr>
            <w:tcW w:type="dxa" w:w="1192"/>
          </w:tcPr>
          <w:p>
            <w:pPr>
              <w:spacing w:after="20" w:before="20" w:line="252" w:lineRule="auto"/>
              <w:jc w:val="center"/>
            </w:pPr>
            <w:r>
              <w:rPr>
                <w:rFonts w:ascii="Calibri" w:hAnsi="Calibri" w:eastAsia="Microsoft YaHei" w:cs="Calibri"/>
                <w:sz w:val="16"/>
              </w:rPr>
              <w:t>21.79</w:t>
            </w:r>
          </w:p>
        </w:tc>
        <w:tc>
          <w:tcPr>
            <w:tcW w:type="dxa" w:w="1560"/>
          </w:tcPr>
          <w:p>
            <w:pPr>
              <w:spacing w:after="20" w:before="20" w:line="252" w:lineRule="auto"/>
              <w:jc w:val="center"/>
            </w:pPr>
            <w:r>
              <w:rPr>
                <w:rFonts w:ascii="Calibri" w:hAnsi="Calibri" w:eastAsia="Microsoft YaHei" w:cs="Calibri"/>
                <w:sz w:val="16"/>
              </w:rPr>
              <w:t>15.9x</w:t>
            </w:r>
          </w:p>
        </w:tc>
        <w:tc>
          <w:tcPr>
            <w:tcW w:type="dxa" w:w="896"/>
          </w:tcPr>
          <w:p>
            <w:pPr>
              <w:spacing w:after="20" w:before="20" w:line="252" w:lineRule="auto"/>
              <w:jc w:val="center"/>
            </w:pPr>
            <w:r>
              <w:rPr>
                <w:rFonts w:ascii="Calibri" w:hAnsi="Calibri" w:eastAsia="Microsoft YaHei" w:cs="Calibri"/>
                <w:sz w:val="16"/>
              </w:rPr>
              <w:t>15.3x</w:t>
            </w:r>
          </w:p>
        </w:tc>
        <w:tc>
          <w:tcPr>
            <w:tcW w:type="dxa" w:w="2321"/>
          </w:tcPr>
          <w:p>
            <w:pPr>
              <w:spacing w:after="20" w:before="20" w:line="252" w:lineRule="auto"/>
              <w:jc w:val="center"/>
            </w:pPr>
            <w:r>
              <w:rPr>
                <w:rFonts w:ascii="Calibri" w:hAnsi="Calibri" w:eastAsia="Microsoft YaHei" w:cs="Calibri"/>
                <w:sz w:val="16"/>
              </w:rPr>
              <w:t>22.82</w:t>
            </w:r>
          </w:p>
        </w:tc>
        <w:tc>
          <w:tcPr>
            <w:tcW w:type="dxa" w:w="1649"/>
          </w:tcPr>
          <w:p>
            <w:pPr>
              <w:spacing w:after="20" w:before="20" w:line="252" w:lineRule="auto"/>
              <w:jc w:val="center"/>
            </w:pPr>
            <w:r>
              <w:rPr>
                <w:rFonts w:ascii="Calibri" w:hAnsi="Calibri" w:eastAsia="Microsoft YaHei" w:cs="Calibri"/>
                <w:sz w:val="16"/>
              </w:rPr>
              <w:t>14.6x</w:t>
            </w:r>
          </w:p>
        </w:tc>
      </w:tr>
      <w:tr>
        <w:trPr>
          <w:cantSplit/>
        </w:trPr>
        <w:tc>
          <w:tcPr>
            <w:tcW w:type="dxa" w:w="573"/>
            <w:shd w:val="clear" w:color="auto" w:fill="F2F5F9"/>
          </w:tcPr>
          <w:p>
            <w:pPr>
              <w:spacing w:after="20" w:before="20" w:line="252" w:lineRule="auto"/>
              <w:jc w:val="left"/>
            </w:pPr>
            <w:r>
              <w:rPr>
                <w:rFonts w:ascii="Calibri" w:hAnsi="Calibri" w:eastAsia="Microsoft YaHei" w:cs="Calibri"/>
                <w:sz w:val="16"/>
              </w:rPr>
              <w:t>BAC</w:t>
            </w:r>
          </w:p>
        </w:tc>
        <w:tc>
          <w:tcPr>
            <w:tcW w:type="dxa" w:w="1560"/>
            <w:shd w:val="clear" w:color="auto" w:fill="F2F5F9"/>
          </w:tcPr>
          <w:p>
            <w:pPr>
              <w:spacing w:after="20" w:before="20" w:line="252" w:lineRule="auto"/>
              <w:jc w:val="center"/>
            </w:pPr>
            <w:r>
              <w:rPr>
                <w:rFonts w:ascii="Calibri" w:hAnsi="Calibri" w:eastAsia="Microsoft YaHei" w:cs="Calibri"/>
                <w:sz w:val="16"/>
              </w:rPr>
              <w:t>53.73</w:t>
            </w:r>
          </w:p>
        </w:tc>
        <w:tc>
          <w:tcPr>
            <w:tcW w:type="dxa" w:w="1192"/>
            <w:shd w:val="clear" w:color="auto" w:fill="F2F5F9"/>
          </w:tcPr>
          <w:p>
            <w:pPr>
              <w:spacing w:after="20" w:before="20" w:line="252" w:lineRule="auto"/>
              <w:jc w:val="center"/>
            </w:pPr>
            <w:r>
              <w:rPr>
                <w:rFonts w:ascii="Calibri" w:hAnsi="Calibri" w:eastAsia="Microsoft YaHei" w:cs="Calibri"/>
                <w:sz w:val="16"/>
              </w:rPr>
              <w:t>4.34</w:t>
            </w:r>
          </w:p>
        </w:tc>
        <w:tc>
          <w:tcPr>
            <w:tcW w:type="dxa" w:w="1560"/>
            <w:shd w:val="clear" w:color="auto" w:fill="F2F5F9"/>
          </w:tcPr>
          <w:p>
            <w:pPr>
              <w:spacing w:after="20" w:before="20" w:line="252" w:lineRule="auto"/>
              <w:jc w:val="center"/>
            </w:pPr>
            <w:r>
              <w:rPr>
                <w:rFonts w:ascii="Calibri" w:hAnsi="Calibri" w:eastAsia="Microsoft YaHei" w:cs="Calibri"/>
                <w:sz w:val="16"/>
              </w:rPr>
              <w:t>14.9x</w:t>
            </w:r>
          </w:p>
        </w:tc>
        <w:tc>
          <w:tcPr>
            <w:tcW w:type="dxa" w:w="896"/>
            <w:shd w:val="clear" w:color="auto" w:fill="F2F5F9"/>
          </w:tcPr>
          <w:p>
            <w:pPr>
              <w:spacing w:after="20" w:before="20" w:line="252" w:lineRule="auto"/>
              <w:jc w:val="center"/>
            </w:pPr>
            <w:r>
              <w:rPr>
                <w:rFonts w:ascii="Calibri" w:hAnsi="Calibri" w:eastAsia="Microsoft YaHei" w:cs="Calibri"/>
                <w:sz w:val="16"/>
              </w:rPr>
              <w:t>12.4x</w:t>
            </w:r>
          </w:p>
        </w:tc>
        <w:tc>
          <w:tcPr>
            <w:tcW w:type="dxa" w:w="2321"/>
            <w:shd w:val="clear" w:color="auto" w:fill="F2F5F9"/>
          </w:tcPr>
          <w:p>
            <w:pPr>
              <w:spacing w:after="20" w:before="20" w:line="252" w:lineRule="auto"/>
              <w:jc w:val="center"/>
            </w:pPr>
            <w:r>
              <w:rPr>
                <w:rFonts w:ascii="Calibri" w:hAnsi="Calibri" w:eastAsia="Microsoft YaHei" w:cs="Calibri"/>
                <w:sz w:val="16"/>
              </w:rPr>
              <w:t>4.37</w:t>
            </w:r>
          </w:p>
        </w:tc>
        <w:tc>
          <w:tcPr>
            <w:tcW w:type="dxa" w:w="1649"/>
            <w:shd w:val="clear" w:color="auto" w:fill="F2F5F9"/>
          </w:tcPr>
          <w:p>
            <w:pPr>
              <w:spacing w:after="20" w:before="20" w:line="252" w:lineRule="auto"/>
              <w:jc w:val="center"/>
            </w:pPr>
            <w:r>
              <w:rPr>
                <w:rFonts w:ascii="Calibri" w:hAnsi="Calibri" w:eastAsia="Microsoft YaHei" w:cs="Calibri"/>
                <w:sz w:val="16"/>
              </w:rPr>
              <w:t>12.3x</w:t>
            </w:r>
          </w:p>
        </w:tc>
      </w:tr>
      <w:tr>
        <w:trPr>
          <w:cantSplit/>
        </w:trPr>
        <w:tc>
          <w:tcPr>
            <w:tcW w:type="dxa" w:w="573"/>
          </w:tcPr>
          <w:p>
            <w:pPr>
              <w:spacing w:after="20" w:before="20" w:line="252" w:lineRule="auto"/>
              <w:jc w:val="left"/>
            </w:pPr>
            <w:r>
              <w:rPr>
                <w:rFonts w:ascii="Calibri" w:hAnsi="Calibri" w:eastAsia="Microsoft YaHei" w:cs="Calibri"/>
                <w:sz w:val="16"/>
              </w:rPr>
              <w:t>C</w:t>
            </w:r>
          </w:p>
        </w:tc>
        <w:tc>
          <w:tcPr>
            <w:tcW w:type="dxa" w:w="1560"/>
          </w:tcPr>
          <w:p>
            <w:pPr>
              <w:spacing w:after="20" w:before="20" w:line="252" w:lineRule="auto"/>
              <w:jc w:val="center"/>
            </w:pPr>
            <w:r>
              <w:rPr>
                <w:rFonts w:ascii="Calibri" w:hAnsi="Calibri" w:eastAsia="Microsoft YaHei" w:cs="Calibri"/>
                <w:sz w:val="16"/>
              </w:rPr>
              <w:t>127.00</w:t>
            </w:r>
          </w:p>
        </w:tc>
        <w:tc>
          <w:tcPr>
            <w:tcW w:type="dxa" w:w="1192"/>
          </w:tcPr>
          <w:p>
            <w:pPr>
              <w:spacing w:after="20" w:before="20" w:line="252" w:lineRule="auto"/>
              <w:jc w:val="center"/>
            </w:pPr>
            <w:r>
              <w:rPr>
                <w:rFonts w:ascii="Calibri" w:hAnsi="Calibri" w:eastAsia="Microsoft YaHei" w:cs="Calibri"/>
                <w:sz w:val="16"/>
              </w:rPr>
              <w:t>9.28</w:t>
            </w:r>
          </w:p>
        </w:tc>
        <w:tc>
          <w:tcPr>
            <w:tcW w:type="dxa" w:w="1560"/>
          </w:tcPr>
          <w:p>
            <w:pPr>
              <w:spacing w:after="20" w:before="20" w:line="252" w:lineRule="auto"/>
              <w:jc w:val="center"/>
            </w:pPr>
            <w:r>
              <w:rPr>
                <w:rFonts w:ascii="Calibri" w:hAnsi="Calibri" w:eastAsia="Microsoft YaHei" w:cs="Calibri"/>
                <w:sz w:val="16"/>
              </w:rPr>
              <w:t>14.6x</w:t>
            </w:r>
          </w:p>
        </w:tc>
        <w:tc>
          <w:tcPr>
            <w:tcW w:type="dxa" w:w="896"/>
          </w:tcPr>
          <w:p>
            <w:pPr>
              <w:spacing w:after="20" w:before="20" w:line="252" w:lineRule="auto"/>
              <w:jc w:val="center"/>
            </w:pPr>
            <w:r>
              <w:rPr>
                <w:rFonts w:ascii="Calibri" w:hAnsi="Calibri" w:eastAsia="Microsoft YaHei" w:cs="Calibri"/>
                <w:sz w:val="16"/>
              </w:rPr>
              <w:t>13.7x</w:t>
            </w:r>
          </w:p>
        </w:tc>
        <w:tc>
          <w:tcPr>
            <w:tcW w:type="dxa" w:w="2321"/>
          </w:tcPr>
          <w:p>
            <w:pPr>
              <w:spacing w:after="20" w:before="20" w:line="252" w:lineRule="auto"/>
              <w:jc w:val="center"/>
            </w:pPr>
            <w:r>
              <w:rPr>
                <w:rFonts w:ascii="Calibri" w:hAnsi="Calibri" w:eastAsia="Microsoft YaHei" w:cs="Calibri"/>
                <w:sz w:val="16"/>
              </w:rPr>
              <w:t>10.38</w:t>
            </w:r>
          </w:p>
        </w:tc>
        <w:tc>
          <w:tcPr>
            <w:tcW w:type="dxa" w:w="1649"/>
          </w:tcPr>
          <w:p>
            <w:pPr>
              <w:spacing w:after="20" w:before="20" w:line="252" w:lineRule="auto"/>
              <w:jc w:val="center"/>
            </w:pPr>
            <w:r>
              <w:rPr>
                <w:rFonts w:ascii="Calibri" w:hAnsi="Calibri" w:eastAsia="Microsoft YaHei" w:cs="Calibri"/>
                <w:sz w:val="16"/>
              </w:rPr>
              <w:t>12.2x</w:t>
            </w:r>
          </w:p>
        </w:tc>
      </w:tr>
      <w:tr>
        <w:trPr>
          <w:cantSplit/>
        </w:trPr>
        <w:tc>
          <w:tcPr>
            <w:tcW w:type="dxa" w:w="573"/>
            <w:shd w:val="clear" w:color="auto" w:fill="F2F5F9"/>
          </w:tcPr>
          <w:p>
            <w:pPr>
              <w:spacing w:after="20" w:before="20" w:line="252" w:lineRule="auto"/>
              <w:jc w:val="left"/>
            </w:pPr>
            <w:r>
              <w:rPr>
                <w:rFonts w:ascii="Calibri" w:hAnsi="Calibri" w:eastAsia="Microsoft YaHei" w:cs="Calibri"/>
                <w:sz w:val="16"/>
              </w:rPr>
              <w:t>WFC</w:t>
            </w:r>
          </w:p>
        </w:tc>
        <w:tc>
          <w:tcPr>
            <w:tcW w:type="dxa" w:w="1560"/>
            <w:shd w:val="clear" w:color="auto" w:fill="F2F5F9"/>
          </w:tcPr>
          <w:p>
            <w:pPr>
              <w:spacing w:after="20" w:before="20" w:line="252" w:lineRule="auto"/>
              <w:jc w:val="center"/>
            </w:pPr>
            <w:r>
              <w:rPr>
                <w:rFonts w:ascii="Calibri" w:hAnsi="Calibri" w:eastAsia="Microsoft YaHei" w:cs="Calibri"/>
                <w:sz w:val="16"/>
              </w:rPr>
              <w:t>80.25</w:t>
            </w:r>
          </w:p>
        </w:tc>
        <w:tc>
          <w:tcPr>
            <w:tcW w:type="dxa" w:w="1192"/>
            <w:shd w:val="clear" w:color="auto" w:fill="F2F5F9"/>
          </w:tcPr>
          <w:p>
            <w:pPr>
              <w:spacing w:after="20" w:before="20" w:line="252" w:lineRule="auto"/>
              <w:jc w:val="center"/>
            </w:pPr>
            <w:r>
              <w:rPr>
                <w:rFonts w:ascii="Calibri" w:hAnsi="Calibri" w:eastAsia="Microsoft YaHei" w:cs="Calibri"/>
                <w:sz w:val="16"/>
              </w:rPr>
              <w:t>6.87</w:t>
            </w:r>
          </w:p>
        </w:tc>
        <w:tc>
          <w:tcPr>
            <w:tcW w:type="dxa" w:w="1560"/>
            <w:shd w:val="clear" w:color="auto" w:fill="F2F5F9"/>
          </w:tcPr>
          <w:p>
            <w:pPr>
              <w:spacing w:after="20" w:before="20" w:line="252" w:lineRule="auto"/>
              <w:jc w:val="center"/>
            </w:pPr>
            <w:r>
              <w:rPr>
                <w:rFonts w:ascii="Calibri" w:hAnsi="Calibri" w:eastAsia="Microsoft YaHei" w:cs="Calibri"/>
                <w:sz w:val="16"/>
              </w:rPr>
              <w:t>13.9x</w:t>
            </w:r>
          </w:p>
        </w:tc>
        <w:tc>
          <w:tcPr>
            <w:tcW w:type="dxa" w:w="896"/>
            <w:shd w:val="clear" w:color="auto" w:fill="F2F5F9"/>
          </w:tcPr>
          <w:p>
            <w:pPr>
              <w:spacing w:after="20" w:before="20" w:line="252" w:lineRule="auto"/>
              <w:jc w:val="center"/>
            </w:pPr>
            <w:r>
              <w:rPr>
                <w:rFonts w:ascii="Calibri" w:hAnsi="Calibri" w:eastAsia="Microsoft YaHei" w:cs="Calibri"/>
                <w:sz w:val="16"/>
              </w:rPr>
              <w:t>11.7x</w:t>
            </w:r>
          </w:p>
        </w:tc>
        <w:tc>
          <w:tcPr>
            <w:tcW w:type="dxa" w:w="2321"/>
            <w:shd w:val="clear" w:color="auto" w:fill="F2F5F9"/>
          </w:tcPr>
          <w:p>
            <w:pPr>
              <w:spacing w:after="20" w:before="20" w:line="252" w:lineRule="auto"/>
              <w:jc w:val="center"/>
            </w:pPr>
            <w:r>
              <w:rPr>
                <w:rFonts w:ascii="Calibri" w:hAnsi="Calibri" w:eastAsia="Microsoft YaHei" w:cs="Calibri"/>
                <w:sz w:val="16"/>
              </w:rPr>
              <w:t>7.05</w:t>
            </w:r>
          </w:p>
        </w:tc>
        <w:tc>
          <w:tcPr>
            <w:tcW w:type="dxa" w:w="1649"/>
            <w:shd w:val="clear" w:color="auto" w:fill="F2F5F9"/>
          </w:tcPr>
          <w:p>
            <w:pPr>
              <w:spacing w:after="20" w:before="20" w:line="252" w:lineRule="auto"/>
              <w:jc w:val="center"/>
            </w:pPr>
            <w:r>
              <w:rPr>
                <w:rFonts w:ascii="Calibri" w:hAnsi="Calibri" w:eastAsia="Microsoft YaHei" w:cs="Calibri"/>
                <w:sz w:val="16"/>
              </w:rPr>
              <w:t>11.4x</w:t>
            </w:r>
          </w:p>
        </w:tc>
      </w:tr>
      <w:tr>
        <w:trPr>
          <w:cantSplit/>
        </w:trPr>
        <w:tc>
          <w:tcPr>
            <w:tcW w:type="dxa" w:w="573"/>
          </w:tcPr>
          <w:p>
            <w:pPr>
              <w:spacing w:after="20" w:before="20" w:line="252" w:lineRule="auto"/>
              <w:jc w:val="left"/>
            </w:pPr>
            <w:r>
              <w:rPr>
                <w:rFonts w:ascii="Calibri" w:hAnsi="Calibri" w:eastAsia="Microsoft YaHei" w:cs="Calibri"/>
                <w:sz w:val="16"/>
              </w:rPr>
              <w:t>GS</w:t>
            </w:r>
          </w:p>
        </w:tc>
        <w:tc>
          <w:tcPr>
            <w:tcW w:type="dxa" w:w="1560"/>
          </w:tcPr>
          <w:p>
            <w:pPr>
              <w:spacing w:after="20" w:before="20" w:line="252" w:lineRule="auto"/>
              <w:jc w:val="center"/>
            </w:pPr>
            <w:r>
              <w:rPr>
                <w:rFonts w:ascii="Calibri" w:hAnsi="Calibri" w:eastAsia="Microsoft YaHei" w:cs="Calibri"/>
                <w:sz w:val="16"/>
              </w:rPr>
              <w:t>896.67</w:t>
            </w:r>
          </w:p>
        </w:tc>
        <w:tc>
          <w:tcPr>
            <w:tcW w:type="dxa" w:w="1192"/>
          </w:tcPr>
          <w:p>
            <w:pPr>
              <w:spacing w:after="20" w:before="20" w:line="252" w:lineRule="auto"/>
              <w:jc w:val="center"/>
            </w:pPr>
            <w:r>
              <w:rPr>
                <w:rFonts w:ascii="Calibri" w:hAnsi="Calibri" w:eastAsia="Microsoft YaHei" w:cs="Calibri"/>
                <w:sz w:val="16"/>
              </w:rPr>
              <w:t>64.82</w:t>
            </w:r>
          </w:p>
        </w:tc>
        <w:tc>
          <w:tcPr>
            <w:tcW w:type="dxa" w:w="1560"/>
          </w:tcPr>
          <w:p>
            <w:pPr>
              <w:spacing w:after="20" w:before="20" w:line="252" w:lineRule="auto"/>
              <w:jc w:val="center"/>
            </w:pPr>
            <w:r>
              <w:rPr>
                <w:rFonts w:ascii="Calibri" w:hAnsi="Calibri" w:eastAsia="Microsoft YaHei" w:cs="Calibri"/>
                <w:sz w:val="16"/>
              </w:rPr>
              <w:t>17.3x</w:t>
            </w:r>
          </w:p>
        </w:tc>
        <w:tc>
          <w:tcPr>
            <w:tcW w:type="dxa" w:w="896"/>
          </w:tcPr>
          <w:p>
            <w:pPr>
              <w:spacing w:after="20" w:before="20" w:line="252" w:lineRule="auto"/>
              <w:jc w:val="center"/>
            </w:pPr>
            <w:r>
              <w:rPr>
                <w:rFonts w:ascii="Calibri" w:hAnsi="Calibri" w:eastAsia="Microsoft YaHei" w:cs="Calibri"/>
                <w:sz w:val="16"/>
              </w:rPr>
              <w:t>13.8x</w:t>
            </w:r>
          </w:p>
        </w:tc>
        <w:tc>
          <w:tcPr>
            <w:tcW w:type="dxa" w:w="2321"/>
          </w:tcPr>
          <w:p>
            <w:pPr>
              <w:spacing w:after="20" w:before="20" w:line="252" w:lineRule="auto"/>
              <w:jc w:val="center"/>
            </w:pPr>
            <w:r>
              <w:rPr>
                <w:rFonts w:ascii="Calibri" w:hAnsi="Calibri" w:eastAsia="Microsoft YaHei" w:cs="Calibri"/>
                <w:sz w:val="16"/>
              </w:rPr>
              <w:t>66.76</w:t>
            </w:r>
          </w:p>
        </w:tc>
        <w:tc>
          <w:tcPr>
            <w:tcW w:type="dxa" w:w="1649"/>
          </w:tcPr>
          <w:p>
            <w:pPr>
              <w:spacing w:after="20" w:before="20" w:line="252" w:lineRule="auto"/>
              <w:jc w:val="center"/>
            </w:pPr>
            <w:r>
              <w:rPr>
                <w:rFonts w:ascii="Calibri" w:hAnsi="Calibri" w:eastAsia="Microsoft YaHei" w:cs="Calibri"/>
                <w:sz w:val="16"/>
              </w:rPr>
              <w:t>13.4x</w:t>
            </w:r>
          </w:p>
        </w:tc>
      </w:tr>
      <w:tr>
        <w:trPr>
          <w:cantSplit/>
        </w:trPr>
        <w:tc>
          <w:tcPr>
            <w:tcW w:type="dxa" w:w="573"/>
            <w:shd w:val="clear" w:color="auto" w:fill="F2F5F9"/>
          </w:tcPr>
          <w:p>
            <w:pPr>
              <w:spacing w:after="20" w:before="20" w:line="252" w:lineRule="auto"/>
              <w:jc w:val="left"/>
            </w:pPr>
            <w:r>
              <w:rPr>
                <w:rFonts w:ascii="Calibri" w:hAnsi="Calibri" w:eastAsia="Microsoft YaHei" w:cs="Calibri"/>
                <w:sz w:val="16"/>
              </w:rPr>
              <w:t>MS</w:t>
            </w:r>
          </w:p>
        </w:tc>
        <w:tc>
          <w:tcPr>
            <w:tcW w:type="dxa" w:w="1560"/>
            <w:shd w:val="clear" w:color="auto" w:fill="F2F5F9"/>
          </w:tcPr>
          <w:p>
            <w:pPr>
              <w:spacing w:after="20" w:before="20" w:line="252" w:lineRule="auto"/>
              <w:jc w:val="center"/>
            </w:pPr>
            <w:r>
              <w:rPr>
                <w:rFonts w:ascii="Calibri" w:hAnsi="Calibri" w:eastAsia="Microsoft YaHei" w:cs="Calibri"/>
                <w:sz w:val="16"/>
              </w:rPr>
              <w:t>188.01</w:t>
            </w:r>
          </w:p>
        </w:tc>
        <w:tc>
          <w:tcPr>
            <w:tcW w:type="dxa" w:w="1192"/>
            <w:shd w:val="clear" w:color="auto" w:fill="F2F5F9"/>
          </w:tcPr>
          <w:p>
            <w:pPr>
              <w:spacing w:after="20" w:before="20" w:line="252" w:lineRule="auto"/>
              <w:jc w:val="center"/>
            </w:pPr>
            <w:r>
              <w:rPr>
                <w:rFonts w:ascii="Calibri" w:hAnsi="Calibri" w:eastAsia="Microsoft YaHei" w:cs="Calibri"/>
                <w:sz w:val="16"/>
              </w:rPr>
              <w:t>12.37</w:t>
            </w:r>
          </w:p>
        </w:tc>
        <w:tc>
          <w:tcPr>
            <w:tcW w:type="dxa" w:w="1560"/>
            <w:shd w:val="clear" w:color="auto" w:fill="F2F5F9"/>
          </w:tcPr>
          <w:p>
            <w:pPr>
              <w:spacing w:after="20" w:before="20" w:line="252" w:lineRule="auto"/>
              <w:jc w:val="center"/>
            </w:pPr>
            <w:r>
              <w:rPr>
                <w:rFonts w:ascii="Calibri" w:hAnsi="Calibri" w:eastAsia="Microsoft YaHei" w:cs="Calibri"/>
                <w:sz w:val="16"/>
              </w:rPr>
              <w:t>17.7x</w:t>
            </w:r>
          </w:p>
        </w:tc>
        <w:tc>
          <w:tcPr>
            <w:tcW w:type="dxa" w:w="896"/>
            <w:shd w:val="clear" w:color="auto" w:fill="F2F5F9"/>
          </w:tcPr>
          <w:p>
            <w:pPr>
              <w:spacing w:after="20" w:before="20" w:line="252" w:lineRule="auto"/>
              <w:jc w:val="center"/>
            </w:pPr>
            <w:r>
              <w:rPr>
                <w:rFonts w:ascii="Calibri" w:hAnsi="Calibri" w:eastAsia="Microsoft YaHei" w:cs="Calibri"/>
                <w:sz w:val="16"/>
              </w:rPr>
              <w:t>15.2x</w:t>
            </w:r>
          </w:p>
        </w:tc>
        <w:tc>
          <w:tcPr>
            <w:tcW w:type="dxa" w:w="2321"/>
            <w:shd w:val="clear" w:color="auto" w:fill="F2F5F9"/>
          </w:tcPr>
          <w:p>
            <w:pPr>
              <w:spacing w:after="20" w:before="20" w:line="252" w:lineRule="auto"/>
              <w:jc w:val="center"/>
            </w:pPr>
            <w:r>
              <w:rPr>
                <w:rFonts w:ascii="Calibri" w:hAnsi="Calibri" w:eastAsia="Microsoft YaHei" w:cs="Calibri"/>
                <w:sz w:val="16"/>
              </w:rPr>
              <w:t>12.87</w:t>
            </w:r>
          </w:p>
        </w:tc>
        <w:tc>
          <w:tcPr>
            <w:tcW w:type="dxa" w:w="1649"/>
            <w:shd w:val="clear" w:color="auto" w:fill="F2F5F9"/>
          </w:tcPr>
          <w:p>
            <w:pPr>
              <w:spacing w:after="20" w:before="20" w:line="252" w:lineRule="auto"/>
              <w:jc w:val="center"/>
            </w:pPr>
            <w:r>
              <w:rPr>
                <w:rFonts w:ascii="Calibri" w:hAnsi="Calibri" w:eastAsia="Microsoft YaHei" w:cs="Calibri"/>
                <w:sz w:val="16"/>
              </w:rPr>
              <w:t>14.6x</w:t>
            </w:r>
          </w:p>
        </w:tc>
      </w:tr>
    </w:tbl>
    <w:p>
      <w:pPr>
        <w:spacing w:after="40"/>
      </w:pPr>
    </w:p>
    <w:p>
      <w:r>
        <w:rPr>
          <w:rFonts w:ascii="Calibri" w:hAnsi="Calibri" w:eastAsia="Microsoft YaHei" w:cs="Calibri"/>
          <w:i/>
          <w:sz w:val="21"/>
        </w:rPr>
        <w:t>P/E = unadjusted close ÷ TTM EPS (GAAP diluted; JPM Q2'26 uses $6.14 ex-Visa; a quarter counts 16 days after quarter-end). GS's quarterly EPS is volatile, so its P/E swings.</w:t>
      </w:r>
    </w:p>
    <w:p>
      <w:pPr>
        <w:keepNext/>
        <w:spacing w:before="120"/>
        <w:jc w:val="center"/>
      </w:pPr>
      <w:r>
        <w:drawing>
          <wp:inline xmlns:a="http://schemas.openxmlformats.org/drawingml/2006/main" xmlns:pic="http://schemas.openxmlformats.org/drawingml/2006/picture">
            <wp:extent cx="6048000" cy="3846905"/>
            <wp:docPr id="9" name="Picture 9"/>
            <wp:cNvGraphicFramePr>
              <a:graphicFrameLocks noChangeAspect="1"/>
            </wp:cNvGraphicFramePr>
            <a:graphic>
              <a:graphicData uri="http://schemas.openxmlformats.org/drawingml/2006/picture">
                <pic:pic>
                  <pic:nvPicPr>
                    <pic:cNvPr id="0" name="f09_market.png"/>
                    <pic:cNvPicPr/>
                  </pic:nvPicPr>
                  <pic:blipFill>
                    <a:blip r:embed="rId19"/>
                    <a:stretch>
                      <a:fillRect/>
                    </a:stretch>
                  </pic:blipFill>
                  <pic:spPr>
                    <a:xfrm>
                      <a:off x="0" y="0"/>
                      <a:ext cx="6048000" cy="3846905"/>
                    </a:xfrm>
                    <a:prstGeom prst="rect"/>
                  </pic:spPr>
                </pic:pic>
              </a:graphicData>
            </a:graphic>
          </wp:inline>
        </w:drawing>
      </w:r>
    </w:p>
    <w:p>
      <w:pPr>
        <w:spacing w:after="200"/>
        <w:jc w:val="center"/>
      </w:pPr>
      <w:r>
        <w:rPr>
          <w:rFonts w:ascii="Calibri" w:hAnsi="Calibri" w:eastAsia="Microsoft YaHei" w:cs="Calibri"/>
          <w:i/>
          <w:color w:val="555555"/>
          <w:sz w:val="18"/>
        </w:rPr>
        <w:t>Figure 9. Market dashboard: large-bank prices, sector comparison, VIX and 10Y, oil and mortgage rate</w:t>
      </w:r>
    </w:p>
    <w:p>
      <w:pPr>
        <w:pStyle w:val="Heading3"/>
      </w:pPr>
      <w:r>
        <w:rPr>
          <w:rFonts w:ascii="Calibri" w:hAnsi="Calibri" w:eastAsia="Microsoft YaHei" w:cs="Calibri"/>
          <w:b/>
          <w:color w:val="1F4E79"/>
          <w:sz w:val="24"/>
        </w:rPr>
        <w:t>How to read it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Valuation</w:t>
      </w:r>
      <w:r>
        <w:rPr>
          <w:rFonts w:ascii="Calibri" w:hAnsi="Calibri" w:eastAsia="Microsoft YaHei" w:cs="Calibri"/>
          <w:sz w:val="21"/>
        </w:rPr>
        <w:t>: on TTM, JPM has the highest P/E (15.3x) and WFC the lowest (11.7x); once Q3E is rolled in, every P/E changes by an amount that depends on Q3E EPS vs. Q3'25.</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EPS vs. consensus</w:t>
      </w:r>
      <w:r>
        <w:rPr>
          <w:rFonts w:ascii="Calibri" w:hAnsi="Calibri" w:eastAsia="Microsoft YaHei" w:cs="Calibri"/>
          <w:sz w:val="21"/>
        </w:rPr>
        <w:t>: the model is above consensus for C, MS and JPM, below for BAC and GS, and roughly in line for WFC (see the table and the Figure 7 titles). Q2'26 was a record quarter, so Q3E is down QoQ nearly everywhere, but mostly still up YoY.</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Market</w:t>
      </w:r>
      <w:r>
        <w:rPr>
          <w:rFonts w:ascii="Calibri" w:hAnsi="Calibri" w:eastAsia="Microsoft YaHei" w:cs="Calibri"/>
          <w:sz w:val="21"/>
        </w:rPr>
        <w:t>: Figure 9 shows the March VIX spike and price drawdown, followed by a recovery in the large banks; from September the 10Y and mortgage rates rose together, TLT fell, and bank and regional-bank ETFs pulled back (Section 6.1). SMH has far outpaced banks, consistent with the 'most like 1999' analogue in Section 8.</w:t>
      </w:r>
    </w:p>
    <w:p>
      <w:pPr>
        <w:pStyle w:val="Heading2"/>
      </w:pPr>
      <w:r>
        <w:rPr>
          <w:rFonts w:ascii="Calibri" w:hAnsi="Calibri" w:eastAsia="Microsoft YaHei" w:cs="Calibri"/>
          <w:b/>
          <w:color w:val="1F4E79"/>
          <w:sz w:val="28"/>
        </w:rPr>
        <w:t>15. AFS / HTM book values and what they mean for the large banks</w:t>
      </w:r>
    </w:p>
    <w:p>
      <w:r>
        <w:rPr>
          <w:rFonts w:ascii="Calibri" w:hAnsi="Calibri" w:eastAsia="Microsoft YaHei" w:cs="Calibri"/>
          <w:sz w:val="21"/>
        </w:rPr>
        <w:t>This section covers only the six large banks (JPM, BAC, C, WFC, GS, MS); regional banks are in the scorecard in Section 7.</w:t>
      </w:r>
    </w:p>
    <w:p>
      <w:pPr>
        <w:keepNext/>
        <w:spacing w:before="120"/>
        <w:jc w:val="center"/>
      </w:pPr>
      <w:r>
        <w:drawing>
          <wp:inline xmlns:a="http://schemas.openxmlformats.org/drawingml/2006/main" xmlns:pic="http://schemas.openxmlformats.org/drawingml/2006/picture">
            <wp:extent cx="6048000" cy="3801679"/>
            <wp:docPr id="10" name="Picture 10"/>
            <wp:cNvGraphicFramePr>
              <a:graphicFrameLocks noChangeAspect="1"/>
            </wp:cNvGraphicFramePr>
            <a:graphic>
              <a:graphicData uri="http://schemas.openxmlformats.org/drawingml/2006/picture">
                <pic:pic>
                  <pic:nvPicPr>
                    <pic:cNvPr id="0" name="f10_htm_book.png"/>
                    <pic:cNvPicPr/>
                  </pic:nvPicPr>
                  <pic:blipFill>
                    <a:blip r:embed="rId20"/>
                    <a:stretch>
                      <a:fillRect/>
                    </a:stretch>
                  </pic:blipFill>
                  <pic:spPr>
                    <a:xfrm>
                      <a:off x="0" y="0"/>
                      <a:ext cx="6048000" cy="3801679"/>
                    </a:xfrm>
                    <a:prstGeom prst="rect"/>
                  </pic:spPr>
                </pic:pic>
              </a:graphicData>
            </a:graphic>
          </wp:inline>
        </w:drawing>
      </w:r>
    </w:p>
    <w:p>
      <w:pPr>
        <w:spacing w:after="200"/>
        <w:jc w:val="center"/>
      </w:pPr>
      <w:r>
        <w:rPr>
          <w:rFonts w:ascii="Calibri" w:hAnsi="Calibri" w:eastAsia="Microsoft YaHei" w:cs="Calibri"/>
          <w:i/>
          <w:color w:val="555555"/>
          <w:sz w:val="18"/>
        </w:rPr>
        <w:t>Figure 10. HTM securities: amortised cost vs. fair value, with unrealised gain/loss (right axis)</w:t>
      </w:r>
    </w:p>
    <w:p>
      <w:pPr>
        <w:keepNext/>
        <w:spacing w:before="120"/>
        <w:jc w:val="center"/>
      </w:pPr>
      <w:r>
        <w:drawing>
          <wp:inline xmlns:a="http://schemas.openxmlformats.org/drawingml/2006/main" xmlns:pic="http://schemas.openxmlformats.org/drawingml/2006/picture">
            <wp:extent cx="6048000" cy="3801679"/>
            <wp:docPr id="11" name="Picture 11"/>
            <wp:cNvGraphicFramePr>
              <a:graphicFrameLocks noChangeAspect="1"/>
            </wp:cNvGraphicFramePr>
            <a:graphic>
              <a:graphicData uri="http://schemas.openxmlformats.org/drawingml/2006/picture">
                <pic:pic>
                  <pic:nvPicPr>
                    <pic:cNvPr id="0" name="f10_afs_book.png"/>
                    <pic:cNvPicPr/>
                  </pic:nvPicPr>
                  <pic:blipFill>
                    <a:blip r:embed="rId21"/>
                    <a:stretch>
                      <a:fillRect/>
                    </a:stretch>
                  </pic:blipFill>
                  <pic:spPr>
                    <a:xfrm>
                      <a:off x="0" y="0"/>
                      <a:ext cx="6048000" cy="3801679"/>
                    </a:xfrm>
                    <a:prstGeom prst="rect"/>
                  </pic:spPr>
                </pic:pic>
              </a:graphicData>
            </a:graphic>
          </wp:inline>
        </w:drawing>
      </w:r>
    </w:p>
    <w:p>
      <w:pPr>
        <w:spacing w:after="200"/>
        <w:jc w:val="center"/>
      </w:pPr>
      <w:r>
        <w:rPr>
          <w:rFonts w:ascii="Calibri" w:hAnsi="Calibri" w:eastAsia="Microsoft YaHei" w:cs="Calibri"/>
          <w:i/>
          <w:color w:val="555555"/>
          <w:sz w:val="18"/>
        </w:rPr>
        <w:t>Figure 11. AFS securities: amortised cost vs. fair value</w:t>
      </w:r>
    </w:p>
    <w:tbl>
      <w:tblPr>
        <w:tblStyle w:val="TableGrid"/>
        <w:tblW w:type="auto" w:w="0"/>
        <w:jc w:val="center"/>
        <w:tblLayout w:type="fixed"/>
        <w:tblLook w:firstColumn="1" w:firstRow="1" w:lastColumn="0" w:lastRow="0" w:noHBand="0" w:noVBand="1" w:val="04A0"/>
      </w:tblPr>
      <w:tblGrid>
        <w:gridCol w:w="363"/>
        <w:gridCol w:w="1421"/>
        <w:gridCol w:w="1624"/>
        <w:gridCol w:w="1421"/>
        <w:gridCol w:w="1624"/>
        <w:gridCol w:w="1674"/>
        <w:gridCol w:w="1624"/>
      </w:tblGrid>
      <w:tr>
        <w:trPr>
          <w:tblHeader w:val="true"/>
          <w:cantSplit/>
        </w:trPr>
        <w:tc>
          <w:tcPr>
            <w:tcW w:type="dxa" w:w="363"/>
            <w:shd w:val="clear" w:color="auto" w:fill="1F4E79"/>
          </w:tcPr>
          <w:p>
            <w:pPr>
              <w:spacing w:after="20" w:before="20" w:line="252" w:lineRule="auto"/>
              <w:jc w:val="center"/>
            </w:pPr>
            <w:r>
              <w:rPr>
                <w:rFonts w:ascii="Calibri" w:hAnsi="Calibri" w:eastAsia="Microsoft YaHei" w:cs="Calibri"/>
                <w:b/>
                <w:color w:val="FFFFFF"/>
                <w:sz w:val="16"/>
              </w:rPr>
              <w:t>Bank</w:t>
            </w:r>
          </w:p>
        </w:tc>
        <w:tc>
          <w:tcPr>
            <w:tcW w:type="dxa" w:w="1421"/>
            <w:shd w:val="clear" w:color="auto" w:fill="1F4E79"/>
          </w:tcPr>
          <w:p>
            <w:pPr>
              <w:spacing w:after="20" w:before="20" w:line="252" w:lineRule="auto"/>
              <w:jc w:val="center"/>
            </w:pPr>
            <w:r>
              <w:rPr>
                <w:rFonts w:ascii="Calibri" w:hAnsi="Calibri" w:eastAsia="Microsoft YaHei" w:cs="Calibri"/>
                <w:b/>
                <w:color w:val="FFFFFF"/>
                <w:sz w:val="16"/>
              </w:rPr>
              <w:t>AFS fair value 6/30/26</w:t>
            </w:r>
          </w:p>
        </w:tc>
        <w:tc>
          <w:tcPr>
            <w:tcW w:type="dxa" w:w="1624"/>
            <w:shd w:val="clear" w:color="auto" w:fill="1F4E79"/>
          </w:tcPr>
          <w:p>
            <w:pPr>
              <w:spacing w:after="20" w:before="20" w:line="252" w:lineRule="auto"/>
              <w:jc w:val="center"/>
            </w:pPr>
            <w:r>
              <w:rPr>
                <w:rFonts w:ascii="Calibri" w:hAnsi="Calibri" w:eastAsia="Microsoft YaHei" w:cs="Calibri"/>
                <w:b/>
                <w:color w:val="FFFFFF"/>
                <w:sz w:val="16"/>
              </w:rPr>
              <w:t>HTM amortised cost 6/30/26</w:t>
            </w:r>
          </w:p>
        </w:tc>
        <w:tc>
          <w:tcPr>
            <w:tcW w:type="dxa" w:w="1421"/>
            <w:shd w:val="clear" w:color="auto" w:fill="1F4E79"/>
          </w:tcPr>
          <w:p>
            <w:pPr>
              <w:spacing w:after="20" w:before="20" w:line="252" w:lineRule="auto"/>
              <w:jc w:val="center"/>
            </w:pPr>
            <w:r>
              <w:rPr>
                <w:rFonts w:ascii="Calibri" w:hAnsi="Calibri" w:eastAsia="Microsoft YaHei" w:cs="Calibri"/>
                <w:b/>
                <w:color w:val="FFFFFF"/>
                <w:sz w:val="16"/>
              </w:rPr>
              <w:t>HTM fair value 6/30/26</w:t>
            </w:r>
          </w:p>
        </w:tc>
        <w:tc>
          <w:tcPr>
            <w:tcW w:type="dxa" w:w="1624"/>
            <w:shd w:val="clear" w:color="auto" w:fill="1F4E79"/>
          </w:tcPr>
          <w:p>
            <w:pPr>
              <w:spacing w:after="20" w:before="20" w:line="252" w:lineRule="auto"/>
              <w:jc w:val="center"/>
            </w:pPr>
            <w:r>
              <w:rPr>
                <w:rFonts w:ascii="Calibri" w:hAnsi="Calibri" w:eastAsia="Microsoft YaHei" w:cs="Calibri"/>
                <w:b/>
                <w:color w:val="FFFFFF"/>
                <w:sz w:val="16"/>
              </w:rPr>
              <w:t>HTM unrealised G/L 6/30/25</w:t>
            </w:r>
          </w:p>
        </w:tc>
        <w:tc>
          <w:tcPr>
            <w:tcW w:type="dxa" w:w="1674"/>
            <w:shd w:val="clear" w:color="auto" w:fill="1F4E79"/>
          </w:tcPr>
          <w:p>
            <w:pPr>
              <w:spacing w:after="20" w:before="20" w:line="252" w:lineRule="auto"/>
              <w:jc w:val="center"/>
            </w:pPr>
            <w:r>
              <w:rPr>
                <w:rFonts w:ascii="Calibri" w:hAnsi="Calibri" w:eastAsia="Microsoft YaHei" w:cs="Calibri"/>
                <w:b/>
                <w:color w:val="FFFFFF"/>
                <w:sz w:val="16"/>
              </w:rPr>
              <w:t>HTM unrealised G/L 12/31/25</w:t>
            </w:r>
          </w:p>
        </w:tc>
        <w:tc>
          <w:tcPr>
            <w:tcW w:type="dxa" w:w="1624"/>
            <w:shd w:val="clear" w:color="auto" w:fill="1F4E79"/>
          </w:tcPr>
          <w:p>
            <w:pPr>
              <w:spacing w:after="20" w:before="20" w:line="252" w:lineRule="auto"/>
              <w:jc w:val="center"/>
            </w:pPr>
            <w:r>
              <w:rPr>
                <w:rFonts w:ascii="Calibri" w:hAnsi="Calibri" w:eastAsia="Microsoft YaHei" w:cs="Calibri"/>
                <w:b/>
                <w:color w:val="FFFFFF"/>
                <w:sz w:val="16"/>
              </w:rPr>
              <w:t>HTM unrealised G/L 6/30/26</w:t>
            </w:r>
          </w:p>
        </w:tc>
      </w:tr>
      <w:tr>
        <w:trPr>
          <w:cantSplit/>
        </w:trPr>
        <w:tc>
          <w:tcPr>
            <w:tcW w:type="dxa" w:w="363"/>
          </w:tcPr>
          <w:p>
            <w:pPr>
              <w:spacing w:after="20" w:before="20" w:line="252" w:lineRule="auto"/>
              <w:jc w:val="left"/>
            </w:pPr>
            <w:r>
              <w:rPr>
                <w:rFonts w:ascii="Calibri" w:hAnsi="Calibri" w:eastAsia="Microsoft YaHei" w:cs="Calibri"/>
                <w:sz w:val="16"/>
              </w:rPr>
              <w:t>JPM</w:t>
            </w:r>
          </w:p>
        </w:tc>
        <w:tc>
          <w:tcPr>
            <w:tcW w:type="dxa" w:w="1421"/>
          </w:tcPr>
          <w:p>
            <w:pPr>
              <w:spacing w:after="20" w:before="20" w:line="252" w:lineRule="auto"/>
              <w:jc w:val="center"/>
            </w:pPr>
            <w:r>
              <w:rPr>
                <w:rFonts w:ascii="Calibri" w:hAnsi="Calibri" w:eastAsia="Microsoft YaHei" w:cs="Calibri"/>
                <w:sz w:val="16"/>
              </w:rPr>
              <w:t>536.0</w:t>
            </w:r>
          </w:p>
        </w:tc>
        <w:tc>
          <w:tcPr>
            <w:tcW w:type="dxa" w:w="1624"/>
          </w:tcPr>
          <w:p>
            <w:pPr>
              <w:spacing w:after="20" w:before="20" w:line="252" w:lineRule="auto"/>
              <w:jc w:val="center"/>
            </w:pPr>
            <w:r>
              <w:rPr>
                <w:rFonts w:ascii="Calibri" w:hAnsi="Calibri" w:eastAsia="Microsoft YaHei" w:cs="Calibri"/>
                <w:sz w:val="16"/>
              </w:rPr>
              <w:t>268.5</w:t>
            </w:r>
          </w:p>
        </w:tc>
        <w:tc>
          <w:tcPr>
            <w:tcW w:type="dxa" w:w="1421"/>
          </w:tcPr>
          <w:p>
            <w:pPr>
              <w:spacing w:after="20" w:before="20" w:line="252" w:lineRule="auto"/>
              <w:jc w:val="center"/>
            </w:pPr>
            <w:r>
              <w:rPr>
                <w:rFonts w:ascii="Calibri" w:hAnsi="Calibri" w:eastAsia="Microsoft YaHei" w:cs="Calibri"/>
                <w:sz w:val="16"/>
              </w:rPr>
              <w:t>250.3</w:t>
            </w:r>
          </w:p>
        </w:tc>
        <w:tc>
          <w:tcPr>
            <w:tcW w:type="dxa" w:w="1624"/>
          </w:tcPr>
          <w:p>
            <w:pPr>
              <w:spacing w:after="20" w:before="20" w:line="252" w:lineRule="auto"/>
              <w:jc w:val="center"/>
            </w:pPr>
            <w:r>
              <w:rPr>
                <w:rFonts w:ascii="Calibri" w:hAnsi="Calibri" w:eastAsia="Microsoft YaHei" w:cs="Calibri"/>
                <w:sz w:val="16"/>
              </w:rPr>
              <w:t>-21.3</w:t>
            </w:r>
          </w:p>
        </w:tc>
        <w:tc>
          <w:tcPr>
            <w:tcW w:type="dxa" w:w="1674"/>
          </w:tcPr>
          <w:p>
            <w:pPr>
              <w:spacing w:after="20" w:before="20" w:line="252" w:lineRule="auto"/>
              <w:jc w:val="center"/>
            </w:pPr>
            <w:r>
              <w:rPr>
                <w:rFonts w:ascii="Calibri" w:hAnsi="Calibri" w:eastAsia="Microsoft YaHei" w:cs="Calibri"/>
                <w:sz w:val="16"/>
              </w:rPr>
              <w:t>-16.8</w:t>
            </w:r>
          </w:p>
        </w:tc>
        <w:tc>
          <w:tcPr>
            <w:tcW w:type="dxa" w:w="1624"/>
          </w:tcPr>
          <w:p>
            <w:pPr>
              <w:spacing w:after="20" w:before="20" w:line="252" w:lineRule="auto"/>
              <w:jc w:val="center"/>
            </w:pPr>
            <w:r>
              <w:rPr>
                <w:rFonts w:ascii="Calibri" w:hAnsi="Calibri" w:eastAsia="Microsoft YaHei" w:cs="Calibri"/>
                <w:sz w:val="16"/>
              </w:rPr>
              <w:t>-18.2</w:t>
            </w:r>
          </w:p>
        </w:tc>
      </w:tr>
      <w:tr>
        <w:trPr>
          <w:cantSplit/>
        </w:trPr>
        <w:tc>
          <w:tcPr>
            <w:tcW w:type="dxa" w:w="363"/>
            <w:shd w:val="clear" w:color="auto" w:fill="F2F5F9"/>
          </w:tcPr>
          <w:p>
            <w:pPr>
              <w:spacing w:after="20" w:before="20" w:line="252" w:lineRule="auto"/>
              <w:jc w:val="left"/>
            </w:pPr>
            <w:r>
              <w:rPr>
                <w:rFonts w:ascii="Calibri" w:hAnsi="Calibri" w:eastAsia="Microsoft YaHei" w:cs="Calibri"/>
                <w:sz w:val="16"/>
              </w:rPr>
              <w:t>BAC</w:t>
            </w:r>
          </w:p>
        </w:tc>
        <w:tc>
          <w:tcPr>
            <w:tcW w:type="dxa" w:w="1421"/>
            <w:shd w:val="clear" w:color="auto" w:fill="F2F5F9"/>
          </w:tcPr>
          <w:p>
            <w:pPr>
              <w:spacing w:after="20" w:before="20" w:line="252" w:lineRule="auto"/>
              <w:jc w:val="center"/>
            </w:pPr>
            <w:r>
              <w:rPr>
                <w:rFonts w:ascii="Calibri" w:hAnsi="Calibri" w:eastAsia="Microsoft YaHei" w:cs="Calibri"/>
                <w:sz w:val="16"/>
              </w:rPr>
              <w:t>348.5</w:t>
            </w:r>
          </w:p>
        </w:tc>
        <w:tc>
          <w:tcPr>
            <w:tcW w:type="dxa" w:w="1624"/>
            <w:shd w:val="clear" w:color="auto" w:fill="F2F5F9"/>
          </w:tcPr>
          <w:p>
            <w:pPr>
              <w:spacing w:after="20" w:before="20" w:line="252" w:lineRule="auto"/>
              <w:jc w:val="center"/>
            </w:pPr>
            <w:r>
              <w:rPr>
                <w:rFonts w:ascii="Calibri" w:hAnsi="Calibri" w:eastAsia="Microsoft YaHei" w:cs="Calibri"/>
                <w:sz w:val="16"/>
              </w:rPr>
              <w:t>505.8</w:t>
            </w:r>
          </w:p>
        </w:tc>
        <w:tc>
          <w:tcPr>
            <w:tcW w:type="dxa" w:w="1421"/>
            <w:shd w:val="clear" w:color="auto" w:fill="F2F5F9"/>
          </w:tcPr>
          <w:p>
            <w:pPr>
              <w:spacing w:after="20" w:before="20" w:line="252" w:lineRule="auto"/>
              <w:jc w:val="center"/>
            </w:pPr>
            <w:r>
              <w:rPr>
                <w:rFonts w:ascii="Calibri" w:hAnsi="Calibri" w:eastAsia="Microsoft YaHei" w:cs="Calibri"/>
                <w:sz w:val="16"/>
              </w:rPr>
              <w:t>423.7</w:t>
            </w:r>
          </w:p>
        </w:tc>
        <w:tc>
          <w:tcPr>
            <w:tcW w:type="dxa" w:w="1624"/>
            <w:shd w:val="clear" w:color="auto" w:fill="F2F5F9"/>
          </w:tcPr>
          <w:p>
            <w:pPr>
              <w:spacing w:after="20" w:before="20" w:line="252" w:lineRule="auto"/>
              <w:jc w:val="center"/>
            </w:pPr>
            <w:r>
              <w:rPr>
                <w:rFonts w:ascii="Calibri" w:hAnsi="Calibri" w:eastAsia="Microsoft YaHei" w:cs="Calibri"/>
                <w:sz w:val="16"/>
              </w:rPr>
              <w:t>-93.1</w:t>
            </w:r>
          </w:p>
        </w:tc>
        <w:tc>
          <w:tcPr>
            <w:tcW w:type="dxa" w:w="1674"/>
            <w:shd w:val="clear" w:color="auto" w:fill="F2F5F9"/>
          </w:tcPr>
          <w:p>
            <w:pPr>
              <w:spacing w:after="20" w:before="20" w:line="252" w:lineRule="auto"/>
              <w:jc w:val="center"/>
            </w:pPr>
            <w:r>
              <w:rPr>
                <w:rFonts w:ascii="Calibri" w:hAnsi="Calibri" w:eastAsia="Microsoft YaHei" w:cs="Calibri"/>
                <w:sz w:val="16"/>
              </w:rPr>
              <w:t>-80.2</w:t>
            </w:r>
          </w:p>
        </w:tc>
        <w:tc>
          <w:tcPr>
            <w:tcW w:type="dxa" w:w="1624"/>
            <w:shd w:val="clear" w:color="auto" w:fill="F2F5F9"/>
          </w:tcPr>
          <w:p>
            <w:pPr>
              <w:spacing w:after="20" w:before="20" w:line="252" w:lineRule="auto"/>
              <w:jc w:val="center"/>
            </w:pPr>
            <w:r>
              <w:rPr>
                <w:rFonts w:ascii="Calibri" w:hAnsi="Calibri" w:eastAsia="Microsoft YaHei" w:cs="Calibri"/>
                <w:sz w:val="16"/>
              </w:rPr>
              <w:t>-82.1</w:t>
            </w:r>
          </w:p>
        </w:tc>
      </w:tr>
      <w:tr>
        <w:trPr>
          <w:cantSplit/>
        </w:trPr>
        <w:tc>
          <w:tcPr>
            <w:tcW w:type="dxa" w:w="363"/>
          </w:tcPr>
          <w:p>
            <w:pPr>
              <w:spacing w:after="20" w:before="20" w:line="252" w:lineRule="auto"/>
              <w:jc w:val="left"/>
            </w:pPr>
            <w:r>
              <w:rPr>
                <w:rFonts w:ascii="Calibri" w:hAnsi="Calibri" w:eastAsia="Microsoft YaHei" w:cs="Calibri"/>
                <w:sz w:val="16"/>
              </w:rPr>
              <w:t>C</w:t>
            </w:r>
          </w:p>
        </w:tc>
        <w:tc>
          <w:tcPr>
            <w:tcW w:type="dxa" w:w="1421"/>
          </w:tcPr>
          <w:p>
            <w:pPr>
              <w:spacing w:after="20" w:before="20" w:line="252" w:lineRule="auto"/>
              <w:jc w:val="center"/>
            </w:pPr>
            <w:r>
              <w:rPr>
                <w:rFonts w:ascii="Calibri" w:hAnsi="Calibri" w:eastAsia="Microsoft YaHei" w:cs="Calibri"/>
                <w:sz w:val="16"/>
              </w:rPr>
              <w:t>286.8</w:t>
            </w:r>
          </w:p>
        </w:tc>
        <w:tc>
          <w:tcPr>
            <w:tcW w:type="dxa" w:w="1624"/>
          </w:tcPr>
          <w:p>
            <w:pPr>
              <w:spacing w:after="20" w:before="20" w:line="252" w:lineRule="auto"/>
              <w:jc w:val="center"/>
            </w:pPr>
            <w:r>
              <w:rPr>
                <w:rFonts w:ascii="Calibri" w:hAnsi="Calibri" w:eastAsia="Microsoft YaHei" w:cs="Calibri"/>
                <w:sz w:val="16"/>
              </w:rPr>
              <w:t>167.9</w:t>
            </w:r>
          </w:p>
        </w:tc>
        <w:tc>
          <w:tcPr>
            <w:tcW w:type="dxa" w:w="1421"/>
          </w:tcPr>
          <w:p>
            <w:pPr>
              <w:spacing w:after="20" w:before="20" w:line="252" w:lineRule="auto"/>
              <w:jc w:val="center"/>
            </w:pPr>
            <w:r>
              <w:rPr>
                <w:rFonts w:ascii="Calibri" w:hAnsi="Calibri" w:eastAsia="Microsoft YaHei" w:cs="Calibri"/>
                <w:sz w:val="16"/>
              </w:rPr>
              <w:t>157.5</w:t>
            </w:r>
          </w:p>
        </w:tc>
        <w:tc>
          <w:tcPr>
            <w:tcW w:type="dxa" w:w="1624"/>
          </w:tcPr>
          <w:p>
            <w:pPr>
              <w:spacing w:after="20" w:before="20" w:line="252" w:lineRule="auto"/>
              <w:jc w:val="center"/>
            </w:pPr>
            <w:r>
              <w:rPr>
                <w:rFonts w:ascii="Calibri" w:hAnsi="Calibri" w:eastAsia="Microsoft YaHei" w:cs="Calibri"/>
                <w:sz w:val="16"/>
              </w:rPr>
              <w:t>n/a</w:t>
            </w:r>
          </w:p>
        </w:tc>
        <w:tc>
          <w:tcPr>
            <w:tcW w:type="dxa" w:w="1674"/>
          </w:tcPr>
          <w:p>
            <w:pPr>
              <w:spacing w:after="20" w:before="20" w:line="252" w:lineRule="auto"/>
              <w:jc w:val="center"/>
            </w:pPr>
            <w:r>
              <w:rPr>
                <w:rFonts w:ascii="Calibri" w:hAnsi="Calibri" w:eastAsia="Microsoft YaHei" w:cs="Calibri"/>
                <w:sz w:val="16"/>
              </w:rPr>
              <w:t>-10.3</w:t>
            </w:r>
          </w:p>
        </w:tc>
        <w:tc>
          <w:tcPr>
            <w:tcW w:type="dxa" w:w="1624"/>
          </w:tcPr>
          <w:p>
            <w:pPr>
              <w:spacing w:after="20" w:before="20" w:line="252" w:lineRule="auto"/>
              <w:jc w:val="center"/>
            </w:pPr>
            <w:r>
              <w:rPr>
                <w:rFonts w:ascii="Calibri" w:hAnsi="Calibri" w:eastAsia="Microsoft YaHei" w:cs="Calibri"/>
                <w:sz w:val="16"/>
              </w:rPr>
              <w:t>-10.4</w:t>
            </w:r>
          </w:p>
        </w:tc>
      </w:tr>
      <w:tr>
        <w:trPr>
          <w:cantSplit/>
        </w:trPr>
        <w:tc>
          <w:tcPr>
            <w:tcW w:type="dxa" w:w="363"/>
            <w:shd w:val="clear" w:color="auto" w:fill="F2F5F9"/>
          </w:tcPr>
          <w:p>
            <w:pPr>
              <w:spacing w:after="20" w:before="20" w:line="252" w:lineRule="auto"/>
              <w:jc w:val="left"/>
            </w:pPr>
            <w:r>
              <w:rPr>
                <w:rFonts w:ascii="Calibri" w:hAnsi="Calibri" w:eastAsia="Microsoft YaHei" w:cs="Calibri"/>
                <w:sz w:val="16"/>
              </w:rPr>
              <w:t>WFC</w:t>
            </w:r>
          </w:p>
        </w:tc>
        <w:tc>
          <w:tcPr>
            <w:tcW w:type="dxa" w:w="1421"/>
            <w:shd w:val="clear" w:color="auto" w:fill="F2F5F9"/>
          </w:tcPr>
          <w:p>
            <w:pPr>
              <w:spacing w:after="20" w:before="20" w:line="252" w:lineRule="auto"/>
              <w:jc w:val="center"/>
            </w:pPr>
            <w:r>
              <w:rPr>
                <w:rFonts w:ascii="Calibri" w:hAnsi="Calibri" w:eastAsia="Microsoft YaHei" w:cs="Calibri"/>
                <w:sz w:val="16"/>
              </w:rPr>
              <w:t>250.3</w:t>
            </w:r>
          </w:p>
        </w:tc>
        <w:tc>
          <w:tcPr>
            <w:tcW w:type="dxa" w:w="1624"/>
            <w:shd w:val="clear" w:color="auto" w:fill="F2F5F9"/>
          </w:tcPr>
          <w:p>
            <w:pPr>
              <w:spacing w:after="20" w:before="20" w:line="252" w:lineRule="auto"/>
              <w:jc w:val="center"/>
            </w:pPr>
            <w:r>
              <w:rPr>
                <w:rFonts w:ascii="Calibri" w:hAnsi="Calibri" w:eastAsia="Microsoft YaHei" w:cs="Calibri"/>
                <w:sz w:val="16"/>
              </w:rPr>
              <w:t>198.6</w:t>
            </w:r>
          </w:p>
        </w:tc>
        <w:tc>
          <w:tcPr>
            <w:tcW w:type="dxa" w:w="1421"/>
            <w:shd w:val="clear" w:color="auto" w:fill="F2F5F9"/>
          </w:tcPr>
          <w:p>
            <w:pPr>
              <w:spacing w:after="20" w:before="20" w:line="252" w:lineRule="auto"/>
              <w:jc w:val="center"/>
            </w:pPr>
            <w:r>
              <w:rPr>
                <w:rFonts w:ascii="Calibri" w:hAnsi="Calibri" w:eastAsia="Microsoft YaHei" w:cs="Calibri"/>
                <w:sz w:val="16"/>
              </w:rPr>
              <w:t>166.2</w:t>
            </w:r>
          </w:p>
        </w:tc>
        <w:tc>
          <w:tcPr>
            <w:tcW w:type="dxa" w:w="1624"/>
            <w:shd w:val="clear" w:color="auto" w:fill="F2F5F9"/>
          </w:tcPr>
          <w:p>
            <w:pPr>
              <w:spacing w:after="20" w:before="20" w:line="252" w:lineRule="auto"/>
              <w:jc w:val="center"/>
            </w:pPr>
            <w:r>
              <w:rPr>
                <w:rFonts w:ascii="Calibri" w:hAnsi="Calibri" w:eastAsia="Microsoft YaHei" w:cs="Calibri"/>
                <w:sz w:val="16"/>
              </w:rPr>
              <w:t>-37.7</w:t>
            </w:r>
          </w:p>
        </w:tc>
        <w:tc>
          <w:tcPr>
            <w:tcW w:type="dxa" w:w="1674"/>
            <w:shd w:val="clear" w:color="auto" w:fill="F2F5F9"/>
          </w:tcPr>
          <w:p>
            <w:pPr>
              <w:spacing w:after="20" w:before="20" w:line="252" w:lineRule="auto"/>
              <w:jc w:val="center"/>
            </w:pPr>
            <w:r>
              <w:rPr>
                <w:rFonts w:ascii="Calibri" w:hAnsi="Calibri" w:eastAsia="Microsoft YaHei" w:cs="Calibri"/>
                <w:sz w:val="16"/>
              </w:rPr>
              <w:t>-32.2</w:t>
            </w:r>
          </w:p>
        </w:tc>
        <w:tc>
          <w:tcPr>
            <w:tcW w:type="dxa" w:w="1624"/>
            <w:shd w:val="clear" w:color="auto" w:fill="F2F5F9"/>
          </w:tcPr>
          <w:p>
            <w:pPr>
              <w:spacing w:after="20" w:before="20" w:line="252" w:lineRule="auto"/>
              <w:jc w:val="center"/>
            </w:pPr>
            <w:r>
              <w:rPr>
                <w:rFonts w:ascii="Calibri" w:hAnsi="Calibri" w:eastAsia="Microsoft YaHei" w:cs="Calibri"/>
                <w:sz w:val="16"/>
              </w:rPr>
              <w:t>-32.4</w:t>
            </w:r>
          </w:p>
        </w:tc>
      </w:tr>
      <w:tr>
        <w:trPr>
          <w:cantSplit/>
        </w:trPr>
        <w:tc>
          <w:tcPr>
            <w:tcW w:type="dxa" w:w="363"/>
          </w:tcPr>
          <w:p>
            <w:pPr>
              <w:spacing w:after="20" w:before="20" w:line="252" w:lineRule="auto"/>
              <w:jc w:val="left"/>
            </w:pPr>
            <w:r>
              <w:rPr>
                <w:rFonts w:ascii="Calibri" w:hAnsi="Calibri" w:eastAsia="Microsoft YaHei" w:cs="Calibri"/>
                <w:sz w:val="16"/>
              </w:rPr>
              <w:t>GS</w:t>
            </w:r>
          </w:p>
        </w:tc>
        <w:tc>
          <w:tcPr>
            <w:tcW w:type="dxa" w:w="1421"/>
          </w:tcPr>
          <w:p>
            <w:pPr>
              <w:spacing w:after="20" w:before="20" w:line="252" w:lineRule="auto"/>
              <w:jc w:val="center"/>
            </w:pPr>
            <w:r>
              <w:rPr>
                <w:rFonts w:ascii="Calibri" w:hAnsi="Calibri" w:eastAsia="Microsoft YaHei" w:cs="Calibri"/>
                <w:sz w:val="16"/>
              </w:rPr>
              <w:t>155.6</w:t>
            </w:r>
          </w:p>
        </w:tc>
        <w:tc>
          <w:tcPr>
            <w:tcW w:type="dxa" w:w="1624"/>
          </w:tcPr>
          <w:p>
            <w:pPr>
              <w:spacing w:after="20" w:before="20" w:line="252" w:lineRule="auto"/>
              <w:jc w:val="center"/>
            </w:pPr>
            <w:r>
              <w:rPr>
                <w:rFonts w:ascii="Calibri" w:hAnsi="Calibri" w:eastAsia="Microsoft YaHei" w:cs="Calibri"/>
                <w:sz w:val="16"/>
              </w:rPr>
              <w:t>74.7</w:t>
            </w:r>
          </w:p>
        </w:tc>
        <w:tc>
          <w:tcPr>
            <w:tcW w:type="dxa" w:w="1421"/>
          </w:tcPr>
          <w:p>
            <w:pPr>
              <w:spacing w:after="20" w:before="20" w:line="252" w:lineRule="auto"/>
              <w:jc w:val="center"/>
            </w:pPr>
            <w:r>
              <w:rPr>
                <w:rFonts w:ascii="Calibri" w:hAnsi="Calibri" w:eastAsia="Microsoft YaHei" w:cs="Calibri"/>
                <w:sz w:val="16"/>
              </w:rPr>
              <w:t>74.7</w:t>
            </w:r>
          </w:p>
        </w:tc>
        <w:tc>
          <w:tcPr>
            <w:tcW w:type="dxa" w:w="1624"/>
          </w:tcPr>
          <w:p>
            <w:pPr>
              <w:spacing w:after="20" w:before="20" w:line="252" w:lineRule="auto"/>
              <w:jc w:val="center"/>
            </w:pPr>
            <w:r>
              <w:rPr>
                <w:rFonts w:ascii="Calibri" w:hAnsi="Calibri" w:eastAsia="Microsoft YaHei" w:cs="Calibri"/>
                <w:sz w:val="16"/>
              </w:rPr>
              <w:t>0.2</w:t>
            </w:r>
          </w:p>
        </w:tc>
        <w:tc>
          <w:tcPr>
            <w:tcW w:type="dxa" w:w="1674"/>
          </w:tcPr>
          <w:p>
            <w:pPr>
              <w:spacing w:after="20" w:before="20" w:line="252" w:lineRule="auto"/>
              <w:jc w:val="center"/>
            </w:pPr>
            <w:r>
              <w:rPr>
                <w:rFonts w:ascii="Calibri" w:hAnsi="Calibri" w:eastAsia="Microsoft YaHei" w:cs="Calibri"/>
                <w:sz w:val="16"/>
              </w:rPr>
              <w:t>0.5</w:t>
            </w:r>
          </w:p>
        </w:tc>
        <w:tc>
          <w:tcPr>
            <w:tcW w:type="dxa" w:w="1624"/>
          </w:tcPr>
          <w:p>
            <w:pPr>
              <w:spacing w:after="20" w:before="20" w:line="252" w:lineRule="auto"/>
              <w:jc w:val="center"/>
            </w:pPr>
            <w:r>
              <w:rPr>
                <w:rFonts w:ascii="Calibri" w:hAnsi="Calibri" w:eastAsia="Microsoft YaHei" w:cs="Calibri"/>
                <w:sz w:val="16"/>
              </w:rPr>
              <w:t>-0.0</w:t>
            </w:r>
          </w:p>
        </w:tc>
      </w:tr>
      <w:tr>
        <w:trPr>
          <w:cantSplit/>
        </w:trPr>
        <w:tc>
          <w:tcPr>
            <w:tcW w:type="dxa" w:w="363"/>
            <w:shd w:val="clear" w:color="auto" w:fill="F2F5F9"/>
          </w:tcPr>
          <w:p>
            <w:pPr>
              <w:spacing w:after="20" w:before="20" w:line="252" w:lineRule="auto"/>
              <w:jc w:val="left"/>
            </w:pPr>
            <w:r>
              <w:rPr>
                <w:rFonts w:ascii="Calibri" w:hAnsi="Calibri" w:eastAsia="Microsoft YaHei" w:cs="Calibri"/>
                <w:sz w:val="16"/>
              </w:rPr>
              <w:t>MS</w:t>
            </w:r>
          </w:p>
        </w:tc>
        <w:tc>
          <w:tcPr>
            <w:tcW w:type="dxa" w:w="1421"/>
            <w:shd w:val="clear" w:color="auto" w:fill="F2F5F9"/>
          </w:tcPr>
          <w:p>
            <w:pPr>
              <w:spacing w:after="20" w:before="20" w:line="252" w:lineRule="auto"/>
              <w:jc w:val="center"/>
            </w:pPr>
            <w:r>
              <w:rPr>
                <w:rFonts w:ascii="Calibri" w:hAnsi="Calibri" w:eastAsia="Microsoft YaHei" w:cs="Calibri"/>
                <w:sz w:val="16"/>
              </w:rPr>
              <w:t>105.5</w:t>
            </w:r>
          </w:p>
        </w:tc>
        <w:tc>
          <w:tcPr>
            <w:tcW w:type="dxa" w:w="1624"/>
            <w:shd w:val="clear" w:color="auto" w:fill="F2F5F9"/>
          </w:tcPr>
          <w:p>
            <w:pPr>
              <w:spacing w:after="20" w:before="20" w:line="252" w:lineRule="auto"/>
              <w:jc w:val="center"/>
            </w:pPr>
            <w:r>
              <w:rPr>
                <w:rFonts w:ascii="Calibri" w:hAnsi="Calibri" w:eastAsia="Microsoft YaHei" w:cs="Calibri"/>
                <w:sz w:val="16"/>
              </w:rPr>
              <w:t>47.7</w:t>
            </w:r>
          </w:p>
        </w:tc>
        <w:tc>
          <w:tcPr>
            <w:tcW w:type="dxa" w:w="1421"/>
            <w:shd w:val="clear" w:color="auto" w:fill="F2F5F9"/>
          </w:tcPr>
          <w:p>
            <w:pPr>
              <w:spacing w:after="20" w:before="20" w:line="252" w:lineRule="auto"/>
              <w:jc w:val="center"/>
            </w:pPr>
            <w:r>
              <w:rPr>
                <w:rFonts w:ascii="Calibri" w:hAnsi="Calibri" w:eastAsia="Microsoft YaHei" w:cs="Calibri"/>
                <w:sz w:val="16"/>
              </w:rPr>
              <w:t>40.2</w:t>
            </w:r>
          </w:p>
        </w:tc>
        <w:tc>
          <w:tcPr>
            <w:tcW w:type="dxa" w:w="1624"/>
            <w:shd w:val="clear" w:color="auto" w:fill="F2F5F9"/>
          </w:tcPr>
          <w:p>
            <w:pPr>
              <w:spacing w:after="20" w:before="20" w:line="252" w:lineRule="auto"/>
              <w:jc w:val="center"/>
            </w:pPr>
            <w:r>
              <w:rPr>
                <w:rFonts w:ascii="Calibri" w:hAnsi="Calibri" w:eastAsia="Microsoft YaHei" w:cs="Calibri"/>
                <w:sz w:val="16"/>
              </w:rPr>
              <w:t>-8.7</w:t>
            </w:r>
          </w:p>
        </w:tc>
        <w:tc>
          <w:tcPr>
            <w:tcW w:type="dxa" w:w="1674"/>
            <w:shd w:val="clear" w:color="auto" w:fill="F2F5F9"/>
          </w:tcPr>
          <w:p>
            <w:pPr>
              <w:spacing w:after="20" w:before="20" w:line="252" w:lineRule="auto"/>
              <w:jc w:val="center"/>
            </w:pPr>
            <w:r>
              <w:rPr>
                <w:rFonts w:ascii="Calibri" w:hAnsi="Calibri" w:eastAsia="Microsoft YaHei" w:cs="Calibri"/>
                <w:sz w:val="16"/>
              </w:rPr>
              <w:t>-7.5</w:t>
            </w:r>
          </w:p>
        </w:tc>
        <w:tc>
          <w:tcPr>
            <w:tcW w:type="dxa" w:w="1624"/>
            <w:shd w:val="clear" w:color="auto" w:fill="F2F5F9"/>
          </w:tcPr>
          <w:p>
            <w:pPr>
              <w:spacing w:after="20" w:before="20" w:line="252" w:lineRule="auto"/>
              <w:jc w:val="center"/>
            </w:pPr>
            <w:r>
              <w:rPr>
                <w:rFonts w:ascii="Calibri" w:hAnsi="Calibri" w:eastAsia="Microsoft YaHei" w:cs="Calibri"/>
                <w:sz w:val="16"/>
              </w:rPr>
              <w:t>-7.5</w:t>
            </w:r>
          </w:p>
        </w:tc>
      </w:tr>
    </w:tbl>
    <w:p>
      <w:pPr>
        <w:spacing w:after="40"/>
      </w:pPr>
    </w:p>
    <w:p>
      <w:r>
        <w:rPr>
          <w:rFonts w:ascii="Calibri" w:hAnsi="Calibri" w:eastAsia="Microsoft YaHei" w:cs="Calibri"/>
          <w:i/>
          <w:sz w:val="21"/>
        </w:rPr>
        <w:t>$bn, SEC XBRL; C's 12/31/25 and 6/30/26 come from 10-Q tables and 6/30/25 is unavailable. GS and MS have small HTM books.</w:t>
      </w:r>
    </w:p>
    <w:p>
      <w:pPr>
        <w:pStyle w:val="Heading3"/>
      </w:pPr>
      <w:r>
        <w:rPr>
          <w:rFonts w:ascii="Calibri" w:hAnsi="Calibri" w:eastAsia="Microsoft YaHei" w:cs="Calibri"/>
          <w:b/>
          <w:color w:val="1F4E79"/>
          <w:sz w:val="24"/>
        </w:rPr>
        <w:t>How much the Q3 rate rise lowers book value (pro forma)</w:t>
      </w:r>
    </w:p>
    <w:tbl>
      <w:tblPr>
        <w:tblStyle w:val="TableGrid"/>
        <w:tblW w:type="auto" w:w="0"/>
        <w:jc w:val="center"/>
        <w:tblLayout w:type="fixed"/>
        <w:tblLook w:firstColumn="1" w:firstRow="1" w:lastColumn="0" w:lastRow="0" w:noHBand="0" w:noVBand="1" w:val="04A0"/>
      </w:tblPr>
      <w:tblGrid>
        <w:gridCol w:w="460"/>
        <w:gridCol w:w="800"/>
        <w:gridCol w:w="1180"/>
        <w:gridCol w:w="800"/>
        <w:gridCol w:w="1927"/>
        <w:gridCol w:w="800"/>
        <w:gridCol w:w="2118"/>
        <w:gridCol w:w="1666"/>
      </w:tblGrid>
      <w:tr>
        <w:trPr>
          <w:tblHeader w:val="true"/>
          <w:cantSplit/>
        </w:trPr>
        <w:tc>
          <w:tcPr>
            <w:tcW w:type="dxa" w:w="460"/>
            <w:shd w:val="clear" w:color="auto" w:fill="1F4E79"/>
          </w:tcPr>
          <w:p>
            <w:pPr>
              <w:spacing w:after="20" w:before="20" w:line="252" w:lineRule="auto"/>
              <w:jc w:val="center"/>
            </w:pPr>
            <w:r>
              <w:rPr>
                <w:rFonts w:ascii="Calibri" w:hAnsi="Calibri" w:eastAsia="Microsoft YaHei" w:cs="Calibri"/>
                <w:b/>
                <w:color w:val="FFFFFF"/>
                <w:sz w:val="16"/>
              </w:rPr>
              <w:t>Bank</w:t>
            </w:r>
          </w:p>
        </w:tc>
        <w:tc>
          <w:tcPr>
            <w:tcW w:type="dxa" w:w="800"/>
            <w:shd w:val="clear" w:color="auto" w:fill="1F4E79"/>
          </w:tcPr>
          <w:p>
            <w:pPr>
              <w:spacing w:after="20" w:before="20" w:line="252" w:lineRule="auto"/>
              <w:jc w:val="center"/>
            </w:pPr>
            <w:r>
              <w:rPr>
                <w:rFonts w:ascii="Calibri" w:hAnsi="Calibri" w:eastAsia="Microsoft YaHei" w:cs="Calibri"/>
                <w:b/>
                <w:color w:val="FFFFFF"/>
                <w:sz w:val="16"/>
              </w:rPr>
              <w:t>TCE ($bn)</w:t>
            </w:r>
          </w:p>
        </w:tc>
        <w:tc>
          <w:tcPr>
            <w:tcW w:type="dxa" w:w="1180"/>
            <w:shd w:val="clear" w:color="auto" w:fill="1F4E79"/>
          </w:tcPr>
          <w:p>
            <w:pPr>
              <w:spacing w:after="20" w:before="20" w:line="252" w:lineRule="auto"/>
              <w:jc w:val="center"/>
            </w:pPr>
            <w:r>
              <w:rPr>
                <w:rFonts w:ascii="Calibri" w:hAnsi="Calibri" w:eastAsia="Microsoft YaHei" w:cs="Calibri"/>
                <w:b/>
                <w:color w:val="FFFFFF"/>
                <w:sz w:val="16"/>
              </w:rPr>
              <w:t>AFS→AOCI ($bn)</w:t>
            </w:r>
          </w:p>
        </w:tc>
        <w:tc>
          <w:tcPr>
            <w:tcW w:type="dxa" w:w="800"/>
            <w:shd w:val="clear" w:color="auto" w:fill="1F4E79"/>
          </w:tcPr>
          <w:p>
            <w:pPr>
              <w:spacing w:after="20" w:before="20" w:line="252" w:lineRule="auto"/>
              <w:jc w:val="center"/>
            </w:pPr>
            <w:r>
              <w:rPr>
                <w:rFonts w:ascii="Calibri" w:hAnsi="Calibri" w:eastAsia="Microsoft YaHei" w:cs="Calibri"/>
                <w:b/>
                <w:color w:val="FFFFFF"/>
                <w:sz w:val="16"/>
              </w:rPr>
              <w:t>% of TCE</w:t>
            </w:r>
          </w:p>
        </w:tc>
        <w:tc>
          <w:tcPr>
            <w:tcW w:type="dxa" w:w="1927"/>
            <w:shd w:val="clear" w:color="auto" w:fill="1F4E79"/>
          </w:tcPr>
          <w:p>
            <w:pPr>
              <w:spacing w:after="20" w:before="20" w:line="252" w:lineRule="auto"/>
              <w:jc w:val="center"/>
            </w:pPr>
            <w:r>
              <w:rPr>
                <w:rFonts w:ascii="Calibri" w:hAnsi="Calibri" w:eastAsia="Microsoft YaHei" w:cs="Calibri"/>
                <w:b/>
                <w:color w:val="FFFFFF"/>
                <w:sz w:val="16"/>
              </w:rPr>
              <w:t>HTM mark, after tax ($bn)</w:t>
            </w:r>
          </w:p>
        </w:tc>
        <w:tc>
          <w:tcPr>
            <w:tcW w:type="dxa" w:w="800"/>
            <w:shd w:val="clear" w:color="auto" w:fill="1F4E79"/>
          </w:tcPr>
          <w:p>
            <w:pPr>
              <w:spacing w:after="20" w:before="20" w:line="252" w:lineRule="auto"/>
              <w:jc w:val="center"/>
            </w:pPr>
            <w:r>
              <w:rPr>
                <w:rFonts w:ascii="Calibri" w:hAnsi="Calibri" w:eastAsia="Microsoft YaHei" w:cs="Calibri"/>
                <w:b/>
                <w:color w:val="FFFFFF"/>
                <w:sz w:val="16"/>
              </w:rPr>
              <w:t>% of TCE</w:t>
            </w:r>
          </w:p>
        </w:tc>
        <w:tc>
          <w:tcPr>
            <w:tcW w:type="dxa" w:w="2118"/>
            <w:shd w:val="clear" w:color="auto" w:fill="1F4E79"/>
          </w:tcPr>
          <w:p>
            <w:pPr>
              <w:spacing w:after="20" w:before="20" w:line="252" w:lineRule="auto"/>
              <w:jc w:val="center"/>
            </w:pPr>
            <w:r>
              <w:rPr>
                <w:rFonts w:ascii="Calibri" w:hAnsi="Calibri" w:eastAsia="Microsoft YaHei" w:cs="Calibri"/>
                <w:b/>
                <w:color w:val="FFFFFF"/>
                <w:sz w:val="16"/>
              </w:rPr>
              <w:t>Q3E quarterly earnings ($bn)</w:t>
            </w:r>
          </w:p>
        </w:tc>
        <w:tc>
          <w:tcPr>
            <w:tcW w:type="dxa" w:w="1666"/>
            <w:shd w:val="clear" w:color="auto" w:fill="1F4E79"/>
          </w:tcPr>
          <w:p>
            <w:pPr>
              <w:spacing w:after="20" w:before="20" w:line="252" w:lineRule="auto"/>
              <w:jc w:val="center"/>
            </w:pPr>
            <w:r>
              <w:rPr>
                <w:rFonts w:ascii="Calibri" w:hAnsi="Calibri" w:eastAsia="Microsoft YaHei" w:cs="Calibri"/>
                <w:b/>
                <w:color w:val="FFFFFF"/>
                <w:sz w:val="16"/>
              </w:rPr>
              <w:t>Total ÷ Q3E earnings</w:t>
            </w:r>
          </w:p>
        </w:tc>
      </w:tr>
      <w:tr>
        <w:trPr>
          <w:cantSplit/>
        </w:trPr>
        <w:tc>
          <w:tcPr>
            <w:tcW w:type="dxa" w:w="460"/>
          </w:tcPr>
          <w:p>
            <w:pPr>
              <w:spacing w:after="20" w:before="20" w:line="252" w:lineRule="auto"/>
              <w:jc w:val="left"/>
            </w:pPr>
            <w:r>
              <w:rPr>
                <w:rFonts w:ascii="Calibri" w:hAnsi="Calibri" w:eastAsia="Microsoft YaHei" w:cs="Calibri"/>
                <w:sz w:val="16"/>
              </w:rPr>
              <w:t>JPM</w:t>
            </w:r>
          </w:p>
        </w:tc>
        <w:tc>
          <w:tcPr>
            <w:tcW w:type="dxa" w:w="800"/>
          </w:tcPr>
          <w:p>
            <w:pPr>
              <w:spacing w:after="20" w:before="20" w:line="252" w:lineRule="auto"/>
              <w:jc w:val="center"/>
            </w:pPr>
            <w:r>
              <w:rPr>
                <w:rFonts w:ascii="Calibri" w:hAnsi="Calibri" w:eastAsia="Microsoft YaHei" w:cs="Calibri"/>
                <w:sz w:val="16"/>
              </w:rPr>
              <w:t>300.9</w:t>
            </w:r>
          </w:p>
        </w:tc>
        <w:tc>
          <w:tcPr>
            <w:tcW w:type="dxa" w:w="1180"/>
          </w:tcPr>
          <w:p>
            <w:pPr>
              <w:spacing w:after="20" w:before="20" w:line="252" w:lineRule="auto"/>
              <w:jc w:val="center"/>
            </w:pPr>
            <w:r>
              <w:rPr>
                <w:rFonts w:ascii="Calibri" w:hAnsi="Calibri" w:eastAsia="Microsoft YaHei" w:cs="Calibri"/>
                <w:sz w:val="16"/>
              </w:rPr>
              <w:t>-8.20</w:t>
            </w:r>
          </w:p>
        </w:tc>
        <w:tc>
          <w:tcPr>
            <w:tcW w:type="dxa" w:w="800"/>
          </w:tcPr>
          <w:p>
            <w:pPr>
              <w:spacing w:after="20" w:before="20" w:line="252" w:lineRule="auto"/>
              <w:jc w:val="center"/>
            </w:pPr>
            <w:r>
              <w:rPr>
                <w:rFonts w:ascii="Calibri" w:hAnsi="Calibri" w:eastAsia="Microsoft YaHei" w:cs="Calibri"/>
                <w:sz w:val="16"/>
              </w:rPr>
              <w:t>-2.7%</w:t>
            </w:r>
          </w:p>
        </w:tc>
        <w:tc>
          <w:tcPr>
            <w:tcW w:type="dxa" w:w="1927"/>
          </w:tcPr>
          <w:p>
            <w:pPr>
              <w:spacing w:after="20" w:before="20" w:line="252" w:lineRule="auto"/>
              <w:jc w:val="center"/>
            </w:pPr>
            <w:r>
              <w:rPr>
                <w:rFonts w:ascii="Calibri" w:hAnsi="Calibri" w:eastAsia="Microsoft YaHei" w:cs="Calibri"/>
                <w:sz w:val="16"/>
              </w:rPr>
              <w:t>-3.27</w:t>
            </w:r>
          </w:p>
        </w:tc>
        <w:tc>
          <w:tcPr>
            <w:tcW w:type="dxa" w:w="800"/>
          </w:tcPr>
          <w:p>
            <w:pPr>
              <w:spacing w:after="20" w:before="20" w:line="252" w:lineRule="auto"/>
              <w:jc w:val="center"/>
            </w:pPr>
            <w:r>
              <w:rPr>
                <w:rFonts w:ascii="Calibri" w:hAnsi="Calibri" w:eastAsia="Microsoft YaHei" w:cs="Calibri"/>
                <w:sz w:val="16"/>
              </w:rPr>
              <w:t>-1.1%</w:t>
            </w:r>
          </w:p>
        </w:tc>
        <w:tc>
          <w:tcPr>
            <w:tcW w:type="dxa" w:w="2118"/>
          </w:tcPr>
          <w:p>
            <w:pPr>
              <w:spacing w:after="20" w:before="20" w:line="252" w:lineRule="auto"/>
              <w:jc w:val="center"/>
            </w:pPr>
            <w:r>
              <w:rPr>
                <w:rFonts w:ascii="Calibri" w:hAnsi="Calibri" w:eastAsia="Microsoft YaHei" w:cs="Calibri"/>
                <w:sz w:val="16"/>
              </w:rPr>
              <w:t>16.3</w:t>
            </w:r>
          </w:p>
        </w:tc>
        <w:tc>
          <w:tcPr>
            <w:tcW w:type="dxa" w:w="1666"/>
          </w:tcPr>
          <w:p>
            <w:pPr>
              <w:spacing w:after="20" w:before="20" w:line="252" w:lineRule="auto"/>
              <w:jc w:val="center"/>
            </w:pPr>
            <w:r>
              <w:rPr>
                <w:rFonts w:ascii="Calibri" w:hAnsi="Calibri" w:eastAsia="Microsoft YaHei" w:cs="Calibri"/>
                <w:sz w:val="16"/>
              </w:rPr>
              <w:t>0.70x</w:t>
            </w:r>
          </w:p>
        </w:tc>
      </w:tr>
      <w:tr>
        <w:trPr>
          <w:cantSplit/>
        </w:trPr>
        <w:tc>
          <w:tcPr>
            <w:tcW w:type="dxa" w:w="460"/>
            <w:shd w:val="clear" w:color="auto" w:fill="F2F5F9"/>
          </w:tcPr>
          <w:p>
            <w:pPr>
              <w:spacing w:after="20" w:before="20" w:line="252" w:lineRule="auto"/>
              <w:jc w:val="left"/>
            </w:pPr>
            <w:r>
              <w:rPr>
                <w:rFonts w:ascii="Calibri" w:hAnsi="Calibri" w:eastAsia="Microsoft YaHei" w:cs="Calibri"/>
                <w:sz w:val="16"/>
              </w:rPr>
              <w:t>BAC</w:t>
            </w:r>
          </w:p>
        </w:tc>
        <w:tc>
          <w:tcPr>
            <w:tcW w:type="dxa" w:w="800"/>
            <w:shd w:val="clear" w:color="auto" w:fill="F2F5F9"/>
          </w:tcPr>
          <w:p>
            <w:pPr>
              <w:spacing w:after="20" w:before="20" w:line="252" w:lineRule="auto"/>
              <w:jc w:val="center"/>
            </w:pPr>
            <w:r>
              <w:rPr>
                <w:rFonts w:ascii="Calibri" w:hAnsi="Calibri" w:eastAsia="Microsoft YaHei" w:cs="Calibri"/>
                <w:sz w:val="16"/>
              </w:rPr>
              <w:t>206.0</w:t>
            </w:r>
          </w:p>
        </w:tc>
        <w:tc>
          <w:tcPr>
            <w:tcW w:type="dxa" w:w="1180"/>
            <w:shd w:val="clear" w:color="auto" w:fill="F2F5F9"/>
          </w:tcPr>
          <w:p>
            <w:pPr>
              <w:spacing w:after="20" w:before="20" w:line="252" w:lineRule="auto"/>
              <w:jc w:val="center"/>
            </w:pPr>
            <w:r>
              <w:rPr>
                <w:rFonts w:ascii="Calibri" w:hAnsi="Calibri" w:eastAsia="Microsoft YaHei" w:cs="Calibri"/>
                <w:sz w:val="16"/>
              </w:rPr>
              <w:t>-2.42</w:t>
            </w:r>
          </w:p>
        </w:tc>
        <w:tc>
          <w:tcPr>
            <w:tcW w:type="dxa" w:w="800"/>
            <w:shd w:val="clear" w:color="auto" w:fill="F2F5F9"/>
          </w:tcPr>
          <w:p>
            <w:pPr>
              <w:spacing w:after="20" w:before="20" w:line="252" w:lineRule="auto"/>
              <w:jc w:val="center"/>
            </w:pPr>
            <w:r>
              <w:rPr>
                <w:rFonts w:ascii="Calibri" w:hAnsi="Calibri" w:eastAsia="Microsoft YaHei" w:cs="Calibri"/>
                <w:sz w:val="16"/>
              </w:rPr>
              <w:t>-1.2%</w:t>
            </w:r>
          </w:p>
        </w:tc>
        <w:tc>
          <w:tcPr>
            <w:tcW w:type="dxa" w:w="1927"/>
            <w:shd w:val="clear" w:color="auto" w:fill="F2F5F9"/>
          </w:tcPr>
          <w:p>
            <w:pPr>
              <w:spacing w:after="20" w:before="20" w:line="252" w:lineRule="auto"/>
              <w:jc w:val="center"/>
            </w:pPr>
            <w:r>
              <w:rPr>
                <w:rFonts w:ascii="Calibri" w:hAnsi="Calibri" w:eastAsia="Microsoft YaHei" w:cs="Calibri"/>
                <w:sz w:val="16"/>
              </w:rPr>
              <w:t>-10.43</w:t>
            </w:r>
          </w:p>
        </w:tc>
        <w:tc>
          <w:tcPr>
            <w:tcW w:type="dxa" w:w="800"/>
            <w:shd w:val="clear" w:color="auto" w:fill="F2F5F9"/>
          </w:tcPr>
          <w:p>
            <w:pPr>
              <w:spacing w:after="20" w:before="20" w:line="252" w:lineRule="auto"/>
              <w:jc w:val="center"/>
            </w:pPr>
            <w:r>
              <w:rPr>
                <w:rFonts w:ascii="Calibri" w:hAnsi="Calibri" w:eastAsia="Microsoft YaHei" w:cs="Calibri"/>
                <w:sz w:val="16"/>
              </w:rPr>
              <w:t>-5.1%</w:t>
            </w:r>
          </w:p>
        </w:tc>
        <w:tc>
          <w:tcPr>
            <w:tcW w:type="dxa" w:w="2118"/>
            <w:shd w:val="clear" w:color="auto" w:fill="F2F5F9"/>
          </w:tcPr>
          <w:p>
            <w:pPr>
              <w:spacing w:after="20" w:before="20" w:line="252" w:lineRule="auto"/>
              <w:jc w:val="center"/>
            </w:pPr>
            <w:r>
              <w:rPr>
                <w:rFonts w:ascii="Calibri" w:hAnsi="Calibri" w:eastAsia="Microsoft YaHei" w:cs="Calibri"/>
                <w:sz w:val="16"/>
              </w:rPr>
              <w:t>7.8</w:t>
            </w:r>
          </w:p>
        </w:tc>
        <w:tc>
          <w:tcPr>
            <w:tcW w:type="dxa" w:w="1666"/>
            <w:shd w:val="clear" w:color="auto" w:fill="F2F5F9"/>
          </w:tcPr>
          <w:p>
            <w:pPr>
              <w:spacing w:after="20" w:before="20" w:line="252" w:lineRule="auto"/>
              <w:jc w:val="center"/>
            </w:pPr>
            <w:r>
              <w:rPr>
                <w:rFonts w:ascii="Calibri" w:hAnsi="Calibri" w:eastAsia="Microsoft YaHei" w:cs="Calibri"/>
                <w:sz w:val="16"/>
              </w:rPr>
              <w:t>1.64x</w:t>
            </w:r>
          </w:p>
        </w:tc>
      </w:tr>
      <w:tr>
        <w:trPr>
          <w:cantSplit/>
        </w:trPr>
        <w:tc>
          <w:tcPr>
            <w:tcW w:type="dxa" w:w="460"/>
          </w:tcPr>
          <w:p>
            <w:pPr>
              <w:spacing w:after="20" w:before="20" w:line="252" w:lineRule="auto"/>
              <w:jc w:val="left"/>
            </w:pPr>
            <w:r>
              <w:rPr>
                <w:rFonts w:ascii="Calibri" w:hAnsi="Calibri" w:eastAsia="Microsoft YaHei" w:cs="Calibri"/>
                <w:sz w:val="16"/>
              </w:rPr>
              <w:t>C</w:t>
            </w:r>
          </w:p>
        </w:tc>
        <w:tc>
          <w:tcPr>
            <w:tcW w:type="dxa" w:w="800"/>
          </w:tcPr>
          <w:p>
            <w:pPr>
              <w:spacing w:after="20" w:before="20" w:line="252" w:lineRule="auto"/>
              <w:jc w:val="center"/>
            </w:pPr>
            <w:r>
              <w:rPr>
                <w:rFonts w:ascii="Calibri" w:hAnsi="Calibri" w:eastAsia="Microsoft YaHei" w:cs="Calibri"/>
                <w:sz w:val="16"/>
              </w:rPr>
              <w:t>168.4</w:t>
            </w:r>
          </w:p>
        </w:tc>
        <w:tc>
          <w:tcPr>
            <w:tcW w:type="dxa" w:w="1180"/>
          </w:tcPr>
          <w:p>
            <w:pPr>
              <w:spacing w:after="20" w:before="20" w:line="252" w:lineRule="auto"/>
              <w:jc w:val="center"/>
            </w:pPr>
            <w:r>
              <w:rPr>
                <w:rFonts w:ascii="Calibri" w:hAnsi="Calibri" w:eastAsia="Microsoft YaHei" w:cs="Calibri"/>
                <w:sz w:val="16"/>
              </w:rPr>
              <w:t>-2.67</w:t>
            </w:r>
          </w:p>
        </w:tc>
        <w:tc>
          <w:tcPr>
            <w:tcW w:type="dxa" w:w="800"/>
          </w:tcPr>
          <w:p>
            <w:pPr>
              <w:spacing w:after="20" w:before="20" w:line="252" w:lineRule="auto"/>
              <w:jc w:val="center"/>
            </w:pPr>
            <w:r>
              <w:rPr>
                <w:rFonts w:ascii="Calibri" w:hAnsi="Calibri" w:eastAsia="Microsoft YaHei" w:cs="Calibri"/>
                <w:sz w:val="16"/>
              </w:rPr>
              <w:t>-1.6%</w:t>
            </w:r>
          </w:p>
        </w:tc>
        <w:tc>
          <w:tcPr>
            <w:tcW w:type="dxa" w:w="1927"/>
          </w:tcPr>
          <w:p>
            <w:pPr>
              <w:spacing w:after="20" w:before="20" w:line="252" w:lineRule="auto"/>
              <w:jc w:val="center"/>
            </w:pPr>
            <w:r>
              <w:rPr>
                <w:rFonts w:ascii="Calibri" w:hAnsi="Calibri" w:eastAsia="Microsoft YaHei" w:cs="Calibri"/>
                <w:sz w:val="16"/>
              </w:rPr>
              <w:t>-3.10</w:t>
            </w:r>
          </w:p>
        </w:tc>
        <w:tc>
          <w:tcPr>
            <w:tcW w:type="dxa" w:w="800"/>
          </w:tcPr>
          <w:p>
            <w:pPr>
              <w:spacing w:after="20" w:before="20" w:line="252" w:lineRule="auto"/>
              <w:jc w:val="center"/>
            </w:pPr>
            <w:r>
              <w:rPr>
                <w:rFonts w:ascii="Calibri" w:hAnsi="Calibri" w:eastAsia="Microsoft YaHei" w:cs="Calibri"/>
                <w:sz w:val="16"/>
              </w:rPr>
              <w:t>-1.8%</w:t>
            </w:r>
          </w:p>
        </w:tc>
        <w:tc>
          <w:tcPr>
            <w:tcW w:type="dxa" w:w="2118"/>
          </w:tcPr>
          <w:p>
            <w:pPr>
              <w:spacing w:after="20" w:before="20" w:line="252" w:lineRule="auto"/>
              <w:jc w:val="center"/>
            </w:pPr>
            <w:r>
              <w:rPr>
                <w:rFonts w:ascii="Calibri" w:hAnsi="Calibri" w:eastAsia="Microsoft YaHei" w:cs="Calibri"/>
                <w:sz w:val="16"/>
              </w:rPr>
              <w:t>5.1</w:t>
            </w:r>
          </w:p>
        </w:tc>
        <w:tc>
          <w:tcPr>
            <w:tcW w:type="dxa" w:w="1666"/>
          </w:tcPr>
          <w:p>
            <w:pPr>
              <w:spacing w:after="20" w:before="20" w:line="252" w:lineRule="auto"/>
              <w:jc w:val="center"/>
            </w:pPr>
            <w:r>
              <w:rPr>
                <w:rFonts w:ascii="Calibri" w:hAnsi="Calibri" w:eastAsia="Microsoft YaHei" w:cs="Calibri"/>
                <w:sz w:val="16"/>
              </w:rPr>
              <w:t>1.14x</w:t>
            </w:r>
          </w:p>
        </w:tc>
      </w:tr>
      <w:tr>
        <w:trPr>
          <w:cantSplit/>
        </w:trPr>
        <w:tc>
          <w:tcPr>
            <w:tcW w:type="dxa" w:w="460"/>
            <w:shd w:val="clear" w:color="auto" w:fill="F2F5F9"/>
          </w:tcPr>
          <w:p>
            <w:pPr>
              <w:spacing w:after="20" w:before="20" w:line="252" w:lineRule="auto"/>
              <w:jc w:val="left"/>
            </w:pPr>
            <w:r>
              <w:rPr>
                <w:rFonts w:ascii="Calibri" w:hAnsi="Calibri" w:eastAsia="Microsoft YaHei" w:cs="Calibri"/>
                <w:sz w:val="16"/>
              </w:rPr>
              <w:t>WFC</w:t>
            </w:r>
          </w:p>
        </w:tc>
        <w:tc>
          <w:tcPr>
            <w:tcW w:type="dxa" w:w="800"/>
            <w:shd w:val="clear" w:color="auto" w:fill="F2F5F9"/>
          </w:tcPr>
          <w:p>
            <w:pPr>
              <w:spacing w:after="20" w:before="20" w:line="252" w:lineRule="auto"/>
              <w:jc w:val="center"/>
            </w:pPr>
            <w:r>
              <w:rPr>
                <w:rFonts w:ascii="Calibri" w:hAnsi="Calibri" w:eastAsia="Microsoft YaHei" w:cs="Calibri"/>
                <w:sz w:val="16"/>
              </w:rPr>
              <w:t>139.9</w:t>
            </w:r>
          </w:p>
        </w:tc>
        <w:tc>
          <w:tcPr>
            <w:tcW w:type="dxa" w:w="1180"/>
            <w:shd w:val="clear" w:color="auto" w:fill="F2F5F9"/>
          </w:tcPr>
          <w:p>
            <w:pPr>
              <w:spacing w:after="20" w:before="20" w:line="252" w:lineRule="auto"/>
              <w:jc w:val="center"/>
            </w:pPr>
            <w:r>
              <w:rPr>
                <w:rFonts w:ascii="Calibri" w:hAnsi="Calibri" w:eastAsia="Microsoft YaHei" w:cs="Calibri"/>
                <w:sz w:val="16"/>
              </w:rPr>
              <w:t>-4.99</w:t>
            </w:r>
          </w:p>
        </w:tc>
        <w:tc>
          <w:tcPr>
            <w:tcW w:type="dxa" w:w="800"/>
            <w:shd w:val="clear" w:color="auto" w:fill="F2F5F9"/>
          </w:tcPr>
          <w:p>
            <w:pPr>
              <w:spacing w:after="20" w:before="20" w:line="252" w:lineRule="auto"/>
              <w:jc w:val="center"/>
            </w:pPr>
            <w:r>
              <w:rPr>
                <w:rFonts w:ascii="Calibri" w:hAnsi="Calibri" w:eastAsia="Microsoft YaHei" w:cs="Calibri"/>
                <w:sz w:val="16"/>
              </w:rPr>
              <w:t>-3.6%</w:t>
            </w:r>
          </w:p>
        </w:tc>
        <w:tc>
          <w:tcPr>
            <w:tcW w:type="dxa" w:w="1927"/>
            <w:shd w:val="clear" w:color="auto" w:fill="F2F5F9"/>
          </w:tcPr>
          <w:p>
            <w:pPr>
              <w:spacing w:after="20" w:before="20" w:line="252" w:lineRule="auto"/>
              <w:jc w:val="center"/>
            </w:pPr>
            <w:r>
              <w:rPr>
                <w:rFonts w:ascii="Calibri" w:hAnsi="Calibri" w:eastAsia="Microsoft YaHei" w:cs="Calibri"/>
                <w:sz w:val="16"/>
              </w:rPr>
              <w:t>-3.59</w:t>
            </w:r>
          </w:p>
        </w:tc>
        <w:tc>
          <w:tcPr>
            <w:tcW w:type="dxa" w:w="800"/>
            <w:shd w:val="clear" w:color="auto" w:fill="F2F5F9"/>
          </w:tcPr>
          <w:p>
            <w:pPr>
              <w:spacing w:after="20" w:before="20" w:line="252" w:lineRule="auto"/>
              <w:jc w:val="center"/>
            </w:pPr>
            <w:r>
              <w:rPr>
                <w:rFonts w:ascii="Calibri" w:hAnsi="Calibri" w:eastAsia="Microsoft YaHei" w:cs="Calibri"/>
                <w:sz w:val="16"/>
              </w:rPr>
              <w:t>-2.6%</w:t>
            </w:r>
          </w:p>
        </w:tc>
        <w:tc>
          <w:tcPr>
            <w:tcW w:type="dxa" w:w="2118"/>
            <w:shd w:val="clear" w:color="auto" w:fill="F2F5F9"/>
          </w:tcPr>
          <w:p>
            <w:pPr>
              <w:spacing w:after="20" w:before="20" w:line="252" w:lineRule="auto"/>
              <w:jc w:val="center"/>
            </w:pPr>
            <w:r>
              <w:rPr>
                <w:rFonts w:ascii="Calibri" w:hAnsi="Calibri" w:eastAsia="Microsoft YaHei" w:cs="Calibri"/>
                <w:sz w:val="16"/>
              </w:rPr>
              <w:t>5.6</w:t>
            </w:r>
          </w:p>
        </w:tc>
        <w:tc>
          <w:tcPr>
            <w:tcW w:type="dxa" w:w="1666"/>
            <w:shd w:val="clear" w:color="auto" w:fill="F2F5F9"/>
          </w:tcPr>
          <w:p>
            <w:pPr>
              <w:spacing w:after="20" w:before="20" w:line="252" w:lineRule="auto"/>
              <w:jc w:val="center"/>
            </w:pPr>
            <w:r>
              <w:rPr>
                <w:rFonts w:ascii="Calibri" w:hAnsi="Calibri" w:eastAsia="Microsoft YaHei" w:cs="Calibri"/>
                <w:sz w:val="16"/>
              </w:rPr>
              <w:t>1.54x</w:t>
            </w:r>
          </w:p>
        </w:tc>
      </w:tr>
      <w:tr>
        <w:trPr>
          <w:cantSplit/>
        </w:trPr>
        <w:tc>
          <w:tcPr>
            <w:tcW w:type="dxa" w:w="460"/>
          </w:tcPr>
          <w:p>
            <w:pPr>
              <w:spacing w:after="20" w:before="20" w:line="252" w:lineRule="auto"/>
              <w:jc w:val="left"/>
            </w:pPr>
            <w:r>
              <w:rPr>
                <w:rFonts w:ascii="Calibri" w:hAnsi="Calibri" w:eastAsia="Microsoft YaHei" w:cs="Calibri"/>
                <w:sz w:val="16"/>
              </w:rPr>
              <w:t>GS</w:t>
            </w:r>
          </w:p>
        </w:tc>
        <w:tc>
          <w:tcPr>
            <w:tcW w:type="dxa" w:w="800"/>
          </w:tcPr>
          <w:p>
            <w:pPr>
              <w:spacing w:after="20" w:before="20" w:line="252" w:lineRule="auto"/>
              <w:jc w:val="center"/>
            </w:pPr>
            <w:r>
              <w:rPr>
                <w:rFonts w:ascii="Calibri" w:hAnsi="Calibri" w:eastAsia="Microsoft YaHei" w:cs="Calibri"/>
                <w:sz w:val="16"/>
              </w:rPr>
              <w:t>100.4</w:t>
            </w:r>
          </w:p>
        </w:tc>
        <w:tc>
          <w:tcPr>
            <w:tcW w:type="dxa" w:w="1180"/>
          </w:tcPr>
          <w:p>
            <w:pPr>
              <w:spacing w:after="20" w:before="20" w:line="252" w:lineRule="auto"/>
              <w:jc w:val="center"/>
            </w:pPr>
            <w:r>
              <w:rPr>
                <w:rFonts w:ascii="Calibri" w:hAnsi="Calibri" w:eastAsia="Microsoft YaHei" w:cs="Calibri"/>
                <w:sz w:val="16"/>
              </w:rPr>
              <w:t>-1.86</w:t>
            </w:r>
          </w:p>
        </w:tc>
        <w:tc>
          <w:tcPr>
            <w:tcW w:type="dxa" w:w="800"/>
          </w:tcPr>
          <w:p>
            <w:pPr>
              <w:spacing w:after="20" w:before="20" w:line="252" w:lineRule="auto"/>
              <w:jc w:val="center"/>
            </w:pPr>
            <w:r>
              <w:rPr>
                <w:rFonts w:ascii="Calibri" w:hAnsi="Calibri" w:eastAsia="Microsoft YaHei" w:cs="Calibri"/>
                <w:sz w:val="16"/>
              </w:rPr>
              <w:t>-1.9%</w:t>
            </w:r>
          </w:p>
        </w:tc>
        <w:tc>
          <w:tcPr>
            <w:tcW w:type="dxa" w:w="1927"/>
          </w:tcPr>
          <w:p>
            <w:pPr>
              <w:spacing w:after="20" w:before="20" w:line="252" w:lineRule="auto"/>
              <w:jc w:val="center"/>
            </w:pPr>
            <w:r>
              <w:rPr>
                <w:rFonts w:ascii="Calibri" w:hAnsi="Calibri" w:eastAsia="Microsoft YaHei" w:cs="Calibri"/>
                <w:sz w:val="16"/>
              </w:rPr>
              <w:t>-1.38</w:t>
            </w:r>
          </w:p>
        </w:tc>
        <w:tc>
          <w:tcPr>
            <w:tcW w:type="dxa" w:w="800"/>
          </w:tcPr>
          <w:p>
            <w:pPr>
              <w:spacing w:after="20" w:before="20" w:line="252" w:lineRule="auto"/>
              <w:jc w:val="center"/>
            </w:pPr>
            <w:r>
              <w:rPr>
                <w:rFonts w:ascii="Calibri" w:hAnsi="Calibri" w:eastAsia="Microsoft YaHei" w:cs="Calibri"/>
                <w:sz w:val="16"/>
              </w:rPr>
              <w:t>-1.4%</w:t>
            </w:r>
          </w:p>
        </w:tc>
        <w:tc>
          <w:tcPr>
            <w:tcW w:type="dxa" w:w="2118"/>
          </w:tcPr>
          <w:p>
            <w:pPr>
              <w:spacing w:after="20" w:before="20" w:line="252" w:lineRule="auto"/>
              <w:jc w:val="center"/>
            </w:pPr>
            <w:r>
              <w:rPr>
                <w:rFonts w:ascii="Calibri" w:hAnsi="Calibri" w:eastAsia="Microsoft YaHei" w:cs="Calibri"/>
                <w:sz w:val="16"/>
              </w:rPr>
              <w:t>4.3</w:t>
            </w:r>
          </w:p>
        </w:tc>
        <w:tc>
          <w:tcPr>
            <w:tcW w:type="dxa" w:w="1666"/>
          </w:tcPr>
          <w:p>
            <w:pPr>
              <w:spacing w:after="20" w:before="20" w:line="252" w:lineRule="auto"/>
              <w:jc w:val="center"/>
            </w:pPr>
            <w:r>
              <w:rPr>
                <w:rFonts w:ascii="Calibri" w:hAnsi="Calibri" w:eastAsia="Microsoft YaHei" w:cs="Calibri"/>
                <w:sz w:val="16"/>
              </w:rPr>
              <w:t>0.75x</w:t>
            </w:r>
          </w:p>
        </w:tc>
      </w:tr>
      <w:tr>
        <w:trPr>
          <w:cantSplit/>
        </w:trPr>
        <w:tc>
          <w:tcPr>
            <w:tcW w:type="dxa" w:w="460"/>
            <w:shd w:val="clear" w:color="auto" w:fill="F2F5F9"/>
          </w:tcPr>
          <w:p>
            <w:pPr>
              <w:spacing w:after="20" w:before="20" w:line="252" w:lineRule="auto"/>
              <w:jc w:val="left"/>
            </w:pPr>
            <w:r>
              <w:rPr>
                <w:rFonts w:ascii="Calibri" w:hAnsi="Calibri" w:eastAsia="Microsoft YaHei" w:cs="Calibri"/>
                <w:sz w:val="16"/>
              </w:rPr>
              <w:t>MS</w:t>
            </w:r>
          </w:p>
        </w:tc>
        <w:tc>
          <w:tcPr>
            <w:tcW w:type="dxa" w:w="800"/>
            <w:shd w:val="clear" w:color="auto" w:fill="F2F5F9"/>
          </w:tcPr>
          <w:p>
            <w:pPr>
              <w:spacing w:after="20" w:before="20" w:line="252" w:lineRule="auto"/>
              <w:jc w:val="center"/>
            </w:pPr>
            <w:r>
              <w:rPr>
                <w:rFonts w:ascii="Calibri" w:hAnsi="Calibri" w:eastAsia="Microsoft YaHei" w:cs="Calibri"/>
                <w:sz w:val="16"/>
              </w:rPr>
              <w:t>84.1</w:t>
            </w:r>
          </w:p>
        </w:tc>
        <w:tc>
          <w:tcPr>
            <w:tcW w:type="dxa" w:w="1180"/>
            <w:shd w:val="clear" w:color="auto" w:fill="F2F5F9"/>
          </w:tcPr>
          <w:p>
            <w:pPr>
              <w:spacing w:after="20" w:before="20" w:line="252" w:lineRule="auto"/>
              <w:jc w:val="center"/>
            </w:pPr>
            <w:r>
              <w:rPr>
                <w:rFonts w:ascii="Calibri" w:hAnsi="Calibri" w:eastAsia="Microsoft YaHei" w:cs="Calibri"/>
                <w:sz w:val="16"/>
              </w:rPr>
              <w:t>-1.74</w:t>
            </w:r>
          </w:p>
        </w:tc>
        <w:tc>
          <w:tcPr>
            <w:tcW w:type="dxa" w:w="800"/>
            <w:shd w:val="clear" w:color="auto" w:fill="F2F5F9"/>
          </w:tcPr>
          <w:p>
            <w:pPr>
              <w:spacing w:after="20" w:before="20" w:line="252" w:lineRule="auto"/>
              <w:jc w:val="center"/>
            </w:pPr>
            <w:r>
              <w:rPr>
                <w:rFonts w:ascii="Calibri" w:hAnsi="Calibri" w:eastAsia="Microsoft YaHei" w:cs="Calibri"/>
                <w:sz w:val="16"/>
              </w:rPr>
              <w:t>-2.1%</w:t>
            </w:r>
          </w:p>
        </w:tc>
        <w:tc>
          <w:tcPr>
            <w:tcW w:type="dxa" w:w="1927"/>
            <w:shd w:val="clear" w:color="auto" w:fill="F2F5F9"/>
          </w:tcPr>
          <w:p>
            <w:pPr>
              <w:spacing w:after="20" w:before="20" w:line="252" w:lineRule="auto"/>
              <w:jc w:val="center"/>
            </w:pPr>
            <w:r>
              <w:rPr>
                <w:rFonts w:ascii="Calibri" w:hAnsi="Calibri" w:eastAsia="Microsoft YaHei" w:cs="Calibri"/>
                <w:sz w:val="16"/>
              </w:rPr>
              <w:t>-0.88</w:t>
            </w:r>
          </w:p>
        </w:tc>
        <w:tc>
          <w:tcPr>
            <w:tcW w:type="dxa" w:w="800"/>
            <w:shd w:val="clear" w:color="auto" w:fill="F2F5F9"/>
          </w:tcPr>
          <w:p>
            <w:pPr>
              <w:spacing w:after="20" w:before="20" w:line="252" w:lineRule="auto"/>
              <w:jc w:val="center"/>
            </w:pPr>
            <w:r>
              <w:rPr>
                <w:rFonts w:ascii="Calibri" w:hAnsi="Calibri" w:eastAsia="Microsoft YaHei" w:cs="Calibri"/>
                <w:sz w:val="16"/>
              </w:rPr>
              <w:t>-1.0%</w:t>
            </w:r>
          </w:p>
        </w:tc>
        <w:tc>
          <w:tcPr>
            <w:tcW w:type="dxa" w:w="2118"/>
            <w:shd w:val="clear" w:color="auto" w:fill="F2F5F9"/>
          </w:tcPr>
          <w:p>
            <w:pPr>
              <w:spacing w:after="20" w:before="20" w:line="252" w:lineRule="auto"/>
              <w:jc w:val="center"/>
            </w:pPr>
            <w:r>
              <w:rPr>
                <w:rFonts w:ascii="Calibri" w:hAnsi="Calibri" w:eastAsia="Microsoft YaHei" w:cs="Calibri"/>
                <w:sz w:val="16"/>
              </w:rPr>
              <w:t>5.2</w:t>
            </w:r>
          </w:p>
        </w:tc>
        <w:tc>
          <w:tcPr>
            <w:tcW w:type="dxa" w:w="1666"/>
            <w:shd w:val="clear" w:color="auto" w:fill="F2F5F9"/>
          </w:tcPr>
          <w:p>
            <w:pPr>
              <w:spacing w:after="20" w:before="20" w:line="252" w:lineRule="auto"/>
              <w:jc w:val="center"/>
            </w:pPr>
            <w:r>
              <w:rPr>
                <w:rFonts w:ascii="Calibri" w:hAnsi="Calibri" w:eastAsia="Microsoft YaHei" w:cs="Calibri"/>
                <w:sz w:val="16"/>
              </w:rPr>
              <w:t>0.51x</w:t>
            </w:r>
          </w:p>
        </w:tc>
      </w:tr>
    </w:tbl>
    <w:p>
      <w:pPr>
        <w:spacing w:after="40"/>
      </w:pPr>
    </w:p>
    <w:p>
      <w:pPr>
        <w:keepNext/>
        <w:spacing w:before="120"/>
        <w:jc w:val="center"/>
      </w:pPr>
      <w:r>
        <w:drawing>
          <wp:inline xmlns:a="http://schemas.openxmlformats.org/drawingml/2006/main" xmlns:pic="http://schemas.openxmlformats.org/drawingml/2006/picture">
            <wp:extent cx="6048000" cy="2416909"/>
            <wp:docPr id="12" name="Picture 12"/>
            <wp:cNvGraphicFramePr>
              <a:graphicFrameLocks noChangeAspect="1"/>
            </wp:cNvGraphicFramePr>
            <a:graphic>
              <a:graphicData uri="http://schemas.openxmlformats.org/drawingml/2006/picture">
                <pic:pic>
                  <pic:nvPicPr>
                    <pic:cNvPr id="0" name="f11_proforma.png"/>
                    <pic:cNvPicPr/>
                  </pic:nvPicPr>
                  <pic:blipFill>
                    <a:blip r:embed="rId22"/>
                    <a:stretch>
                      <a:fillRect/>
                    </a:stretch>
                  </pic:blipFill>
                  <pic:spPr>
                    <a:xfrm>
                      <a:off x="0" y="0"/>
                      <a:ext cx="6048000" cy="2416909"/>
                    </a:xfrm>
                    <a:prstGeom prst="rect"/>
                  </pic:spPr>
                </pic:pic>
              </a:graphicData>
            </a:graphic>
          </wp:inline>
        </w:drawing>
      </w:r>
    </w:p>
    <w:p>
      <w:pPr>
        <w:spacing w:after="200"/>
        <w:jc w:val="center"/>
      </w:pPr>
      <w:r>
        <w:rPr>
          <w:rFonts w:ascii="Calibri" w:hAnsi="Calibri" w:eastAsia="Microsoft YaHei" w:cs="Calibri"/>
          <w:i/>
          <w:color w:val="555555"/>
          <w:sz w:val="18"/>
        </w:rPr>
        <w:t>Figure 12. Q3 rate-rise hit to book value: % of TCE (left) and in quarters of earnings (right)</w:t>
      </w:r>
    </w:p>
    <w:p>
      <w:pPr>
        <w:pStyle w:val="Heading3"/>
      </w:pPr>
      <w:r>
        <w:rPr>
          <w:rFonts w:ascii="Calibri" w:hAnsi="Calibri" w:eastAsia="Microsoft YaHei" w:cs="Calibri"/>
          <w:b/>
          <w:color w:val="1F4E79"/>
          <w:sz w:val="24"/>
        </w:rPr>
        <w:t>How to read it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BAC is the special case</w:t>
      </w:r>
      <w:r>
        <w:rPr>
          <w:rFonts w:ascii="Calibri" w:hAnsi="Calibri" w:eastAsia="Microsoft YaHei" w:cs="Calibri"/>
          <w:sz w:val="21"/>
        </w:rPr>
        <w:t>: its AFS has about a 1-year duration and is swap-hedged, so the AOCI hit is small (-1.2% of TCE); but the HTM book is $506B with a $82.1B unrealised loss (about 40% of TCE), and Q3 adds about $13.7B (pre-tax). It does not enter regulatory capital but is a hidden loss in economic TBV.</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WFC</w:t>
      </w:r>
      <w:r>
        <w:rPr>
          <w:rFonts w:ascii="Calibri" w:hAnsi="Calibri" w:eastAsia="Microsoft YaHei" w:cs="Calibri"/>
          <w:sz w:val="21"/>
        </w:rPr>
        <w:t>: both AFS and HTM carry risk and the Q3 total hit as a share of TCE is among the highest; its AFS amortised cost is missing in XBRL and a fallback duration is used, so precision is lower.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JPM</w:t>
      </w:r>
      <w:r>
        <w:rPr>
          <w:rFonts w:ascii="Calibri" w:hAnsi="Calibri" w:eastAsia="Microsoft YaHei" w:cs="Calibri"/>
          <w:sz w:val="21"/>
        </w:rPr>
        <w:t>: an HTM unrealised loss of roughly $18B and an AFS loss of only $2.6B (because of hedging); relative to TCE and earnings the impact is mid-range.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GS and MS</w:t>
      </w:r>
      <w:r>
        <w:rPr>
          <w:rFonts w:ascii="Calibri" w:hAnsi="Calibri" w:eastAsia="Microsoft YaHei" w:cs="Calibri"/>
          <w:sz w:val="21"/>
        </w:rPr>
        <w:t>: GS's HTM amortised cost is about equal to fair value (unrealised G/L near zero) and MS has a $7.5B loss; both have small AOCI hits. GS's AFS is mostly short-duration T-bills.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C</w:t>
      </w:r>
      <w:r>
        <w:rPr>
          <w:rFonts w:ascii="Calibri" w:hAnsi="Calibri" w:eastAsia="Microsoft YaHei" w:cs="Calibri"/>
          <w:sz w:val="21"/>
        </w:rPr>
        <w:t>: AOCI uses the +100bp sensitivity disclosed in its 10-Q (-$3.0B after tax) scaled by 0.875 to approximate Q3's 87.5bp; the HTM duration of 4.5 years is an assumption.</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Method</w:t>
      </w:r>
      <w:r>
        <w:rPr>
          <w:rFonts w:ascii="Calibri" w:hAnsi="Calibri" w:eastAsia="Microsoft YaHei" w:cs="Calibri"/>
          <w:sz w:val="21"/>
        </w:rPr>
        <w:t>: AFS hit = -D x Δy x amortised cost x (1 - 24%) with Δy = +87.5bp; HTM mark = -D x Δy x amortised cost (Δy = mortgage rate +54bp), converted to after-tax at 24% in the table. See Section 2.2 for the formula.</w:t>
      </w:r>
    </w:p>
    <w:p>
      <w:pPr>
        <w:pStyle w:val="Heading2"/>
      </w:pPr>
      <w:r>
        <w:rPr>
          <w:rFonts w:ascii="Calibri" w:hAnsi="Calibri" w:eastAsia="Microsoft YaHei" w:cs="Calibri"/>
          <w:b/>
          <w:color w:val="1F4E79"/>
          <w:sz w:val="28"/>
        </w:rPr>
        <w:t>16. Rate stress test: if the Fed keeps hiking</w:t>
      </w:r>
    </w:p>
    <w:p>
      <w:r>
        <w:rPr>
          <w:rFonts w:ascii="Calibri" w:hAnsi="Calibri" w:eastAsia="Microsoft YaHei" w:cs="Calibri"/>
          <w:b/>
          <w:sz w:val="21"/>
        </w:rPr>
        <w:t>Question</w:t>
      </w:r>
      <w:r>
        <w:rPr>
          <w:rFonts w:ascii="Calibri" w:hAnsi="Calibri" w:eastAsia="Microsoft YaHei" w:cs="Calibri"/>
          <w:sz w:val="21"/>
        </w:rPr>
        <w:t>: on top of the Q3 rise that has already happened, how large is the first-year economic effect on the six large banks if the curve moves up again?</w:t>
      </w:r>
    </w:p>
    <w:tbl>
      <w:tblPr>
        <w:tblStyle w:val="TableGrid"/>
        <w:tblW w:type="auto" w:w="0"/>
        <w:jc w:val="center"/>
        <w:tblLayout w:type="fixed"/>
        <w:tblLook w:firstColumn="1" w:firstRow="1" w:lastColumn="0" w:lastRow="0" w:noHBand="0" w:noVBand="1" w:val="04A0"/>
      </w:tblPr>
      <w:tblGrid>
        <w:gridCol w:w="2869"/>
        <w:gridCol w:w="1565"/>
        <w:gridCol w:w="1481"/>
        <w:gridCol w:w="3836"/>
      </w:tblGrid>
      <w:tr>
        <w:trPr>
          <w:tblHeader w:val="true"/>
          <w:cantSplit/>
        </w:trPr>
        <w:tc>
          <w:tcPr>
            <w:tcW w:type="dxa" w:w="2869"/>
            <w:shd w:val="clear" w:color="auto" w:fill="1F4E79"/>
          </w:tcPr>
          <w:p>
            <w:pPr>
              <w:spacing w:after="20" w:before="20" w:line="252" w:lineRule="auto"/>
              <w:jc w:val="center"/>
            </w:pPr>
            <w:r>
              <w:rPr>
                <w:rFonts w:ascii="Calibri" w:hAnsi="Calibri" w:eastAsia="Microsoft YaHei" w:cs="Calibri"/>
                <w:b/>
                <w:color w:val="FFFFFF"/>
                <w:sz w:val="18"/>
              </w:rPr>
              <w:t>Scenario</w:t>
            </w:r>
          </w:p>
        </w:tc>
        <w:tc>
          <w:tcPr>
            <w:tcW w:type="dxa" w:w="1565"/>
            <w:shd w:val="clear" w:color="auto" w:fill="1F4E79"/>
          </w:tcPr>
          <w:p>
            <w:pPr>
              <w:spacing w:after="20" w:before="20" w:line="252" w:lineRule="auto"/>
              <w:jc w:val="center"/>
            </w:pPr>
            <w:r>
              <w:rPr>
                <w:rFonts w:ascii="Calibri" w:hAnsi="Calibri" w:eastAsia="Microsoft YaHei" w:cs="Calibri"/>
                <w:b/>
                <w:color w:val="FFFFFF"/>
                <w:sz w:val="18"/>
              </w:rPr>
              <w:t>Short-end shock</w:t>
            </w:r>
          </w:p>
        </w:tc>
        <w:tc>
          <w:tcPr>
            <w:tcW w:type="dxa" w:w="1481"/>
            <w:shd w:val="clear" w:color="auto" w:fill="1F4E79"/>
          </w:tcPr>
          <w:p>
            <w:pPr>
              <w:spacing w:after="20" w:before="20" w:line="252" w:lineRule="auto"/>
              <w:jc w:val="center"/>
            </w:pPr>
            <w:r>
              <w:rPr>
                <w:rFonts w:ascii="Calibri" w:hAnsi="Calibri" w:eastAsia="Microsoft YaHei" w:cs="Calibri"/>
                <w:b/>
                <w:color w:val="FFFFFF"/>
                <w:sz w:val="18"/>
              </w:rPr>
              <w:t>Long-end shock</w:t>
            </w:r>
          </w:p>
        </w:tc>
        <w:tc>
          <w:tcPr>
            <w:tcW w:type="dxa" w:w="3836"/>
            <w:shd w:val="clear" w:color="auto" w:fill="1F4E79"/>
          </w:tcPr>
          <w:p>
            <w:pPr>
              <w:spacing w:after="20" w:before="20" w:line="252" w:lineRule="auto"/>
              <w:jc w:val="center"/>
            </w:pPr>
            <w:r>
              <w:rPr>
                <w:rFonts w:ascii="Calibri" w:hAnsi="Calibri" w:eastAsia="Microsoft YaHei" w:cs="Calibri"/>
                <w:b/>
                <w:color w:val="FFFFFF"/>
                <w:sz w:val="18"/>
              </w:rPr>
              <w:t>Meaning</w:t>
            </w:r>
          </w:p>
        </w:tc>
      </w:tr>
      <w:tr>
        <w:trPr>
          <w:cantSplit/>
        </w:trPr>
        <w:tc>
          <w:tcPr>
            <w:tcW w:type="dxa" w:w="2869"/>
          </w:tcPr>
          <w:p>
            <w:pPr>
              <w:spacing w:after="20" w:before="20" w:line="252" w:lineRule="auto"/>
              <w:jc w:val="left"/>
            </w:pPr>
            <w:r>
              <w:rPr>
                <w:rFonts w:ascii="Calibri" w:hAnsi="Calibri" w:eastAsia="Microsoft YaHei" w:cs="Calibri"/>
                <w:sz w:val="18"/>
              </w:rPr>
              <w:t>+50bp parallel</w:t>
            </w:r>
          </w:p>
        </w:tc>
        <w:tc>
          <w:tcPr>
            <w:tcW w:type="dxa" w:w="1565"/>
          </w:tcPr>
          <w:p>
            <w:pPr>
              <w:spacing w:after="20" w:before="20" w:line="252" w:lineRule="auto"/>
              <w:jc w:val="center"/>
            </w:pPr>
            <w:r>
              <w:rPr>
                <w:rFonts w:ascii="Calibri" w:hAnsi="Calibri" w:eastAsia="Microsoft YaHei" w:cs="Calibri"/>
                <w:sz w:val="18"/>
              </w:rPr>
              <w:t>+50bp</w:t>
            </w:r>
          </w:p>
        </w:tc>
        <w:tc>
          <w:tcPr>
            <w:tcW w:type="dxa" w:w="1481"/>
          </w:tcPr>
          <w:p>
            <w:pPr>
              <w:spacing w:after="20" w:before="20" w:line="252" w:lineRule="auto"/>
              <w:jc w:val="center"/>
            </w:pPr>
            <w:r>
              <w:rPr>
                <w:rFonts w:ascii="Calibri" w:hAnsi="Calibri" w:eastAsia="Microsoft YaHei" w:cs="Calibri"/>
                <w:sz w:val="18"/>
              </w:rPr>
              <w:t>+50bp</w:t>
            </w:r>
          </w:p>
        </w:tc>
        <w:tc>
          <w:tcPr>
            <w:tcW w:type="dxa" w:w="3836"/>
          </w:tcPr>
          <w:p>
            <w:pPr>
              <w:spacing w:after="20" w:before="20" w:line="252" w:lineRule="auto"/>
              <w:jc w:val="left"/>
            </w:pPr>
            <w:r>
              <w:rPr>
                <w:rFonts w:ascii="Calibri" w:hAnsi="Calibri" w:eastAsia="Microsoft YaHei" w:cs="Calibri"/>
                <w:sz w:val="18"/>
              </w:rPr>
              <w:t>Two more 25bp hikes with the long end moving in step</w:t>
            </w:r>
          </w:p>
        </w:tc>
      </w:tr>
      <w:tr>
        <w:trPr>
          <w:cantSplit/>
        </w:trPr>
        <w:tc>
          <w:tcPr>
            <w:tcW w:type="dxa" w:w="2869"/>
            <w:shd w:val="clear" w:color="auto" w:fill="F2F5F9"/>
          </w:tcPr>
          <w:p>
            <w:pPr>
              <w:spacing w:after="20" w:before="20" w:line="252" w:lineRule="auto"/>
              <w:jc w:val="left"/>
            </w:pPr>
            <w:r>
              <w:rPr>
                <w:rFonts w:ascii="Calibri" w:hAnsi="Calibri" w:eastAsia="Microsoft YaHei" w:cs="Calibri"/>
                <w:sz w:val="18"/>
              </w:rPr>
              <w:t>+100bp parallel</w:t>
            </w:r>
          </w:p>
        </w:tc>
        <w:tc>
          <w:tcPr>
            <w:tcW w:type="dxa" w:w="1565"/>
            <w:shd w:val="clear" w:color="auto" w:fill="F2F5F9"/>
          </w:tcPr>
          <w:p>
            <w:pPr>
              <w:spacing w:after="20" w:before="20" w:line="252" w:lineRule="auto"/>
              <w:jc w:val="center"/>
            </w:pPr>
            <w:r>
              <w:rPr>
                <w:rFonts w:ascii="Calibri" w:hAnsi="Calibri" w:eastAsia="Microsoft YaHei" w:cs="Calibri"/>
                <w:sz w:val="18"/>
              </w:rPr>
              <w:t>+100bp</w:t>
            </w:r>
          </w:p>
        </w:tc>
        <w:tc>
          <w:tcPr>
            <w:tcW w:type="dxa" w:w="1481"/>
            <w:shd w:val="clear" w:color="auto" w:fill="F2F5F9"/>
          </w:tcPr>
          <w:p>
            <w:pPr>
              <w:spacing w:after="20" w:before="20" w:line="252" w:lineRule="auto"/>
              <w:jc w:val="center"/>
            </w:pPr>
            <w:r>
              <w:rPr>
                <w:rFonts w:ascii="Calibri" w:hAnsi="Calibri" w:eastAsia="Microsoft YaHei" w:cs="Calibri"/>
                <w:sz w:val="18"/>
              </w:rPr>
              <w:t>+100bp</w:t>
            </w:r>
          </w:p>
        </w:tc>
        <w:tc>
          <w:tcPr>
            <w:tcW w:type="dxa" w:w="3836"/>
            <w:shd w:val="clear" w:color="auto" w:fill="F2F5F9"/>
          </w:tcPr>
          <w:p>
            <w:pPr>
              <w:spacing w:after="20" w:before="20" w:line="252" w:lineRule="auto"/>
              <w:jc w:val="center"/>
            </w:pPr>
            <w:r>
              <w:rPr>
                <w:rFonts w:ascii="Calibri" w:hAnsi="Calibri" w:eastAsia="Microsoft YaHei" w:cs="Calibri"/>
                <w:sz w:val="18"/>
              </w:rPr>
              <w:t>Baseline stress</w:t>
            </w:r>
          </w:p>
        </w:tc>
      </w:tr>
      <w:tr>
        <w:trPr>
          <w:cantSplit/>
        </w:trPr>
        <w:tc>
          <w:tcPr>
            <w:tcW w:type="dxa" w:w="2869"/>
          </w:tcPr>
          <w:p>
            <w:pPr>
              <w:spacing w:after="20" w:before="20" w:line="252" w:lineRule="auto"/>
              <w:jc w:val="left"/>
            </w:pPr>
            <w:r>
              <w:rPr>
                <w:rFonts w:ascii="Calibri" w:hAnsi="Calibri" w:eastAsia="Microsoft YaHei" w:cs="Calibri"/>
                <w:sz w:val="18"/>
              </w:rPr>
              <w:t>+200bp parallel</w:t>
            </w:r>
          </w:p>
        </w:tc>
        <w:tc>
          <w:tcPr>
            <w:tcW w:type="dxa" w:w="1565"/>
          </w:tcPr>
          <w:p>
            <w:pPr>
              <w:spacing w:after="20" w:before="20" w:line="252" w:lineRule="auto"/>
              <w:jc w:val="center"/>
            </w:pPr>
            <w:r>
              <w:rPr>
                <w:rFonts w:ascii="Calibri" w:hAnsi="Calibri" w:eastAsia="Microsoft YaHei" w:cs="Calibri"/>
                <w:sz w:val="18"/>
              </w:rPr>
              <w:t>+200bp</w:t>
            </w:r>
          </w:p>
        </w:tc>
        <w:tc>
          <w:tcPr>
            <w:tcW w:type="dxa" w:w="1481"/>
          </w:tcPr>
          <w:p>
            <w:pPr>
              <w:spacing w:after="20" w:before="20" w:line="252" w:lineRule="auto"/>
              <w:jc w:val="center"/>
            </w:pPr>
            <w:r>
              <w:rPr>
                <w:rFonts w:ascii="Calibri" w:hAnsi="Calibri" w:eastAsia="Microsoft YaHei" w:cs="Calibri"/>
                <w:sz w:val="18"/>
              </w:rPr>
              <w:t>+200bp</w:t>
            </w:r>
          </w:p>
        </w:tc>
        <w:tc>
          <w:tcPr>
            <w:tcW w:type="dxa" w:w="3836"/>
          </w:tcPr>
          <w:p>
            <w:pPr>
              <w:spacing w:after="20" w:before="20" w:line="252" w:lineRule="auto"/>
              <w:jc w:val="center"/>
            </w:pPr>
            <w:r>
              <w:rPr>
                <w:rFonts w:ascii="Calibri" w:hAnsi="Calibri" w:eastAsia="Microsoft YaHei" w:cs="Calibri"/>
                <w:sz w:val="18"/>
              </w:rPr>
              <w:t>Severe scenario</w:t>
            </w:r>
          </w:p>
        </w:tc>
      </w:tr>
      <w:tr>
        <w:trPr>
          <w:cantSplit/>
        </w:trPr>
        <w:tc>
          <w:tcPr>
            <w:tcW w:type="dxa" w:w="2869"/>
            <w:shd w:val="clear" w:color="auto" w:fill="F2F5F9"/>
          </w:tcPr>
          <w:p>
            <w:pPr>
              <w:spacing w:after="20" w:before="20" w:line="252" w:lineRule="auto"/>
              <w:jc w:val="left"/>
            </w:pPr>
            <w:r>
              <w:rPr>
                <w:rFonts w:ascii="Calibri" w:hAnsi="Calibri" w:eastAsia="Microsoft YaHei" w:cs="Calibri"/>
                <w:sz w:val="18"/>
              </w:rPr>
              <w:t>Bear steepener: long end +100bp</w:t>
            </w:r>
          </w:p>
        </w:tc>
        <w:tc>
          <w:tcPr>
            <w:tcW w:type="dxa" w:w="1565"/>
            <w:shd w:val="clear" w:color="auto" w:fill="F2F5F9"/>
          </w:tcPr>
          <w:p>
            <w:pPr>
              <w:spacing w:after="20" w:before="20" w:line="252" w:lineRule="auto"/>
              <w:jc w:val="center"/>
            </w:pPr>
            <w:r>
              <w:rPr>
                <w:rFonts w:ascii="Calibri" w:hAnsi="Calibri" w:eastAsia="Microsoft YaHei" w:cs="Calibri"/>
                <w:sz w:val="18"/>
              </w:rPr>
              <w:t>0</w:t>
            </w:r>
          </w:p>
        </w:tc>
        <w:tc>
          <w:tcPr>
            <w:tcW w:type="dxa" w:w="1481"/>
            <w:shd w:val="clear" w:color="auto" w:fill="F2F5F9"/>
          </w:tcPr>
          <w:p>
            <w:pPr>
              <w:spacing w:after="20" w:before="20" w:line="252" w:lineRule="auto"/>
              <w:jc w:val="center"/>
            </w:pPr>
            <w:r>
              <w:rPr>
                <w:rFonts w:ascii="Calibri" w:hAnsi="Calibri" w:eastAsia="Microsoft YaHei" w:cs="Calibri"/>
                <w:sz w:val="18"/>
              </w:rPr>
              <w:t>+100bp</w:t>
            </w:r>
          </w:p>
        </w:tc>
        <w:tc>
          <w:tcPr>
            <w:tcW w:type="dxa" w:w="3836"/>
            <w:shd w:val="clear" w:color="auto" w:fill="F2F5F9"/>
          </w:tcPr>
          <w:p>
            <w:pPr>
              <w:spacing w:after="20" w:before="20" w:line="252" w:lineRule="auto"/>
              <w:jc w:val="left"/>
            </w:pPr>
            <w:r>
              <w:rPr>
                <w:rFonts w:ascii="Calibri" w:hAnsi="Calibri" w:eastAsia="Microsoft YaHei" w:cs="Calibri"/>
                <w:sz w:val="18"/>
              </w:rPr>
              <w:t>Term premium rises, policy rate unchanged</w:t>
            </w:r>
          </w:p>
        </w:tc>
      </w:tr>
      <w:tr>
        <w:trPr>
          <w:cantSplit/>
        </w:trPr>
        <w:tc>
          <w:tcPr>
            <w:tcW w:type="dxa" w:w="2869"/>
          </w:tcPr>
          <w:p>
            <w:pPr>
              <w:spacing w:after="20" w:before="20" w:line="252" w:lineRule="auto"/>
              <w:jc w:val="left"/>
            </w:pPr>
            <w:r>
              <w:rPr>
                <w:rFonts w:ascii="Calibri" w:hAnsi="Calibri" w:eastAsia="Microsoft YaHei" w:cs="Calibri"/>
                <w:sz w:val="18"/>
              </w:rPr>
              <w:t>Bear flattener: short end +100bp</w:t>
            </w:r>
          </w:p>
        </w:tc>
        <w:tc>
          <w:tcPr>
            <w:tcW w:type="dxa" w:w="1565"/>
          </w:tcPr>
          <w:p>
            <w:pPr>
              <w:spacing w:after="20" w:before="20" w:line="252" w:lineRule="auto"/>
              <w:jc w:val="center"/>
            </w:pPr>
            <w:r>
              <w:rPr>
                <w:rFonts w:ascii="Calibri" w:hAnsi="Calibri" w:eastAsia="Microsoft YaHei" w:cs="Calibri"/>
                <w:sz w:val="18"/>
              </w:rPr>
              <w:t>+100bp</w:t>
            </w:r>
          </w:p>
        </w:tc>
        <w:tc>
          <w:tcPr>
            <w:tcW w:type="dxa" w:w="1481"/>
          </w:tcPr>
          <w:p>
            <w:pPr>
              <w:spacing w:after="20" w:before="20" w:line="252" w:lineRule="auto"/>
              <w:jc w:val="center"/>
            </w:pPr>
            <w:r>
              <w:rPr>
                <w:rFonts w:ascii="Calibri" w:hAnsi="Calibri" w:eastAsia="Microsoft YaHei" w:cs="Calibri"/>
                <w:sz w:val="18"/>
              </w:rPr>
              <w:t>0</w:t>
            </w:r>
          </w:p>
        </w:tc>
        <w:tc>
          <w:tcPr>
            <w:tcW w:type="dxa" w:w="3836"/>
          </w:tcPr>
          <w:p>
            <w:pPr>
              <w:spacing w:after="20" w:before="20" w:line="252" w:lineRule="auto"/>
              <w:jc w:val="left"/>
            </w:pPr>
            <w:r>
              <w:rPr>
                <w:rFonts w:ascii="Calibri" w:hAnsi="Calibri" w:eastAsia="Microsoft YaHei" w:cs="Calibri"/>
                <w:sz w:val="18"/>
              </w:rPr>
              <w:t>Pure policy-rate shock; AFS/HTM valuations unchanged</w:t>
            </w:r>
          </w:p>
        </w:tc>
      </w:tr>
    </w:tbl>
    <w:p>
      <w:pPr>
        <w:spacing w:after="40"/>
      </w:pPr>
    </w:p>
    <w:p>
      <w:pPr>
        <w:pStyle w:val="Heading3"/>
      </w:pPr>
      <w:r>
        <w:rPr>
          <w:rFonts w:ascii="Calibri" w:hAnsi="Calibri" w:eastAsia="Microsoft YaHei" w:cs="Calibri"/>
          <w:b/>
          <w:color w:val="1F4E79"/>
          <w:sz w:val="24"/>
        </w:rPr>
        <w:t>Method</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NII</w:t>
      </w:r>
      <w:r>
        <w:rPr>
          <w:rFonts w:ascii="Calibri" w:hAnsi="Calibri" w:eastAsia="Microsoft YaHei" w:cs="Calibri"/>
          <w:sz w:val="21"/>
        </w:rPr>
        <w:t>: the 12-month NII sensitivities each bank discloses in its 10-Q (+100bp, +200bp, long end +100bp, short end +100bp), 24% tax; +50bp = 0.5 x (+100bp).</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AFS→AOCI</w:t>
      </w:r>
      <w:r>
        <w:rPr>
          <w:rFonts w:ascii="Calibri" w:hAnsi="Calibri" w:eastAsia="Microsoft YaHei" w:cs="Calibri"/>
          <w:sz w:val="21"/>
        </w:rPr>
        <w:t>: duration model x long-end shock (for C, the initial AOCI impact disclosed in its 10-Q), after tax; occurs immediately.</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HTM mark</w:t>
      </w:r>
      <w:r>
        <w:rPr>
          <w:rFonts w:ascii="Calibri" w:hAnsi="Calibri" w:eastAsia="Microsoft YaHei" w:cs="Calibri"/>
          <w:sz w:val="21"/>
        </w:rPr>
        <w:t>: duration x long-end shock x amortised cost, converted to after-tax at 24%; it does not enter regulatory capital or the income statement, only economic value.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Net economic effect</w:t>
      </w:r>
      <w:r>
        <w:rPr>
          <w:rFonts w:ascii="Calibri" w:hAnsi="Calibri" w:eastAsia="Microsoft YaHei" w:cs="Calibri"/>
          <w:sz w:val="21"/>
        </w:rPr>
        <w:t xml:space="preserve"> = 12M NII (after tax) + AOCI + HTM mark (after tax). </w:t>
      </w:r>
      <w:r>
        <w:rPr>
          <w:rFonts w:ascii="Calibri" w:hAnsi="Calibri" w:eastAsia="Microsoft YaHei" w:cs="Calibri"/>
          <w:b/>
          <w:sz w:val="21"/>
        </w:rPr>
        <w:t>Net capital effect</w:t>
      </w:r>
      <w:r>
        <w:rPr>
          <w:rFonts w:ascii="Calibri" w:hAnsi="Calibri" w:eastAsia="Microsoft YaHei" w:cs="Calibri"/>
          <w:sz w:val="21"/>
        </w:rPr>
        <w:t xml:space="preserve"> = NII + AOCI (no HTM). Ratios use 6/30 TCE and annualised earnings of '4 x Q3E EPS x shares'.</w:t>
      </w:r>
    </w:p>
    <w:p>
      <w:pPr>
        <w:keepNext/>
        <w:spacing w:before="120"/>
        <w:jc w:val="center"/>
      </w:pPr>
      <w:r>
        <w:drawing>
          <wp:inline xmlns:a="http://schemas.openxmlformats.org/drawingml/2006/main" xmlns:pic="http://schemas.openxmlformats.org/drawingml/2006/picture">
            <wp:extent cx="6048000" cy="2397198"/>
            <wp:docPr id="13" name="Picture 13"/>
            <wp:cNvGraphicFramePr>
              <a:graphicFrameLocks noChangeAspect="1"/>
            </wp:cNvGraphicFramePr>
            <a:graphic>
              <a:graphicData uri="http://schemas.openxmlformats.org/drawingml/2006/picture">
                <pic:pic>
                  <pic:nvPicPr>
                    <pic:cNvPr id="0" name="f12_stress_bars.png"/>
                    <pic:cNvPicPr/>
                  </pic:nvPicPr>
                  <pic:blipFill>
                    <a:blip r:embed="rId23"/>
                    <a:stretch>
                      <a:fillRect/>
                    </a:stretch>
                  </pic:blipFill>
                  <pic:spPr>
                    <a:xfrm>
                      <a:off x="0" y="0"/>
                      <a:ext cx="6048000" cy="2397198"/>
                    </a:xfrm>
                    <a:prstGeom prst="rect"/>
                  </pic:spPr>
                </pic:pic>
              </a:graphicData>
            </a:graphic>
          </wp:inline>
        </w:drawing>
      </w:r>
    </w:p>
    <w:p>
      <w:pPr>
        <w:spacing w:after="200"/>
        <w:jc w:val="center"/>
      </w:pPr>
      <w:r>
        <w:rPr>
          <w:rFonts w:ascii="Calibri" w:hAnsi="Calibri" w:eastAsia="Microsoft YaHei" w:cs="Calibri"/>
          <w:i/>
          <w:color w:val="555555"/>
          <w:sz w:val="18"/>
        </w:rPr>
        <w:t>Figure 13. Stress test (+100bp, +200bp, bear steepener): NII, AOCI, HTM and net economic effect ($bn)</w:t>
      </w:r>
    </w:p>
    <w:p>
      <w:pPr>
        <w:pStyle w:val="Heading3"/>
      </w:pPr>
      <w:r>
        <w:rPr>
          <w:rFonts w:ascii="Calibri" w:hAnsi="Calibri" w:eastAsia="Microsoft YaHei" w:cs="Calibri"/>
          <w:b/>
          <w:color w:val="1F4E79"/>
          <w:sz w:val="24"/>
        </w:rPr>
        <w:t>Net economic effect ($bn)</w:t>
      </w:r>
    </w:p>
    <w:tbl>
      <w:tblPr>
        <w:tblStyle w:val="TableGrid"/>
        <w:tblW w:type="auto" w:w="0"/>
        <w:jc w:val="center"/>
        <w:tblLayout w:type="fixed"/>
        <w:tblLook w:firstColumn="1" w:firstRow="1" w:lastColumn="0" w:lastRow="0" w:noHBand="0" w:noVBand="1" w:val="04A0"/>
      </w:tblPr>
      <w:tblGrid>
        <w:gridCol w:w="588"/>
        <w:gridCol w:w="1602"/>
        <w:gridCol w:w="1693"/>
        <w:gridCol w:w="1693"/>
        <w:gridCol w:w="2045"/>
        <w:gridCol w:w="2131"/>
      </w:tblGrid>
      <w:tr>
        <w:trPr>
          <w:tblHeader w:val="true"/>
          <w:cantSplit/>
        </w:trPr>
        <w:tc>
          <w:tcPr>
            <w:tcW w:type="dxa" w:w="588"/>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1602"/>
            <w:shd w:val="clear" w:color="auto" w:fill="1F4E79"/>
          </w:tcPr>
          <w:p>
            <w:pPr>
              <w:spacing w:after="20" w:before="20" w:line="252" w:lineRule="auto"/>
              <w:jc w:val="center"/>
            </w:pPr>
            <w:r>
              <w:rPr>
                <w:rFonts w:ascii="Calibri" w:hAnsi="Calibri" w:eastAsia="Microsoft YaHei" w:cs="Calibri"/>
                <w:b/>
                <w:color w:val="FFFFFF"/>
                <w:sz w:val="17"/>
              </w:rPr>
              <w:t>+50bp parallel</w:t>
            </w:r>
          </w:p>
        </w:tc>
        <w:tc>
          <w:tcPr>
            <w:tcW w:type="dxa" w:w="1693"/>
            <w:shd w:val="clear" w:color="auto" w:fill="1F4E79"/>
          </w:tcPr>
          <w:p>
            <w:pPr>
              <w:spacing w:after="20" w:before="20" w:line="252" w:lineRule="auto"/>
              <w:jc w:val="center"/>
            </w:pPr>
            <w:r>
              <w:rPr>
                <w:rFonts w:ascii="Calibri" w:hAnsi="Calibri" w:eastAsia="Microsoft YaHei" w:cs="Calibri"/>
                <w:b/>
                <w:color w:val="FFFFFF"/>
                <w:sz w:val="17"/>
              </w:rPr>
              <w:t>+100bp parallel</w:t>
            </w:r>
          </w:p>
        </w:tc>
        <w:tc>
          <w:tcPr>
            <w:tcW w:type="dxa" w:w="1693"/>
            <w:shd w:val="clear" w:color="auto" w:fill="1F4E79"/>
          </w:tcPr>
          <w:p>
            <w:pPr>
              <w:spacing w:after="20" w:before="20" w:line="252" w:lineRule="auto"/>
              <w:jc w:val="center"/>
            </w:pPr>
            <w:r>
              <w:rPr>
                <w:rFonts w:ascii="Calibri" w:hAnsi="Calibri" w:eastAsia="Microsoft YaHei" w:cs="Calibri"/>
                <w:b/>
                <w:color w:val="FFFFFF"/>
                <w:sz w:val="17"/>
              </w:rPr>
              <w:t>+200bp parallel</w:t>
            </w:r>
          </w:p>
        </w:tc>
        <w:tc>
          <w:tcPr>
            <w:tcW w:type="dxa" w:w="2045"/>
            <w:shd w:val="clear" w:color="auto" w:fill="1F4E79"/>
          </w:tcPr>
          <w:p>
            <w:pPr>
              <w:spacing w:after="20" w:before="20" w:line="252" w:lineRule="auto"/>
              <w:jc w:val="center"/>
            </w:pPr>
            <w:r>
              <w:rPr>
                <w:rFonts w:ascii="Calibri" w:hAnsi="Calibri" w:eastAsia="Microsoft YaHei" w:cs="Calibri"/>
                <w:b/>
                <w:color w:val="FFFFFF"/>
                <w:sz w:val="17"/>
              </w:rPr>
              <w:t>Steepener long +100</w:t>
            </w:r>
          </w:p>
        </w:tc>
        <w:tc>
          <w:tcPr>
            <w:tcW w:type="dxa" w:w="2131"/>
            <w:shd w:val="clear" w:color="auto" w:fill="1F4E79"/>
          </w:tcPr>
          <w:p>
            <w:pPr>
              <w:spacing w:after="20" w:before="20" w:line="252" w:lineRule="auto"/>
              <w:jc w:val="center"/>
            </w:pPr>
            <w:r>
              <w:rPr>
                <w:rFonts w:ascii="Calibri" w:hAnsi="Calibri" w:eastAsia="Microsoft YaHei" w:cs="Calibri"/>
                <w:b/>
                <w:color w:val="FFFFFF"/>
                <w:sz w:val="17"/>
              </w:rPr>
              <w:t>Flattener short +100</w:t>
            </w:r>
          </w:p>
        </w:tc>
      </w:tr>
      <w:tr>
        <w:trPr>
          <w:cantSplit/>
        </w:trPr>
        <w:tc>
          <w:tcPr>
            <w:tcW w:type="dxa" w:w="588"/>
          </w:tcPr>
          <w:p>
            <w:pPr>
              <w:spacing w:after="20" w:before="20" w:line="252" w:lineRule="auto"/>
              <w:jc w:val="left"/>
            </w:pPr>
            <w:r>
              <w:rPr>
                <w:rFonts w:ascii="Calibri" w:hAnsi="Calibri" w:eastAsia="Microsoft YaHei" w:cs="Calibri"/>
                <w:sz w:val="17"/>
              </w:rPr>
              <w:t>JPM</w:t>
            </w:r>
          </w:p>
        </w:tc>
        <w:tc>
          <w:tcPr>
            <w:tcW w:type="dxa" w:w="1602"/>
          </w:tcPr>
          <w:p>
            <w:pPr>
              <w:spacing w:after="20" w:before="20" w:line="252" w:lineRule="auto"/>
              <w:jc w:val="center"/>
            </w:pPr>
            <w:r>
              <w:rPr>
                <w:rFonts w:ascii="Calibri" w:hAnsi="Calibri" w:eastAsia="Microsoft YaHei" w:cs="Calibri"/>
                <w:sz w:val="17"/>
              </w:rPr>
              <w:t>-7.0</w:t>
            </w:r>
          </w:p>
        </w:tc>
        <w:tc>
          <w:tcPr>
            <w:tcW w:type="dxa" w:w="1693"/>
          </w:tcPr>
          <w:p>
            <w:pPr>
              <w:spacing w:after="20" w:before="20" w:line="252" w:lineRule="auto"/>
              <w:jc w:val="center"/>
            </w:pPr>
            <w:r>
              <w:rPr>
                <w:rFonts w:ascii="Calibri" w:hAnsi="Calibri" w:eastAsia="Microsoft YaHei" w:cs="Calibri"/>
                <w:sz w:val="17"/>
              </w:rPr>
              <w:t>-14.0</w:t>
            </w:r>
          </w:p>
        </w:tc>
        <w:tc>
          <w:tcPr>
            <w:tcW w:type="dxa" w:w="1693"/>
          </w:tcPr>
          <w:p>
            <w:pPr>
              <w:spacing w:after="20" w:before="20" w:line="252" w:lineRule="auto"/>
              <w:jc w:val="center"/>
            </w:pPr>
            <w:r>
              <w:rPr>
                <w:rFonts w:ascii="Calibri" w:hAnsi="Calibri" w:eastAsia="Microsoft YaHei" w:cs="Calibri"/>
                <w:sz w:val="17"/>
              </w:rPr>
              <w:t>-28.6</w:t>
            </w:r>
          </w:p>
        </w:tc>
        <w:tc>
          <w:tcPr>
            <w:tcW w:type="dxa" w:w="2045"/>
          </w:tcPr>
          <w:p>
            <w:pPr>
              <w:spacing w:after="20" w:before="20" w:line="252" w:lineRule="auto"/>
              <w:jc w:val="center"/>
            </w:pPr>
            <w:r>
              <w:rPr>
                <w:rFonts w:ascii="Calibri" w:hAnsi="Calibri" w:eastAsia="Microsoft YaHei" w:cs="Calibri"/>
                <w:sz w:val="17"/>
              </w:rPr>
              <w:t>-14.6</w:t>
            </w:r>
          </w:p>
        </w:tc>
        <w:tc>
          <w:tcPr>
            <w:tcW w:type="dxa" w:w="2131"/>
          </w:tcPr>
          <w:p>
            <w:pPr>
              <w:spacing w:after="20" w:before="20" w:line="252" w:lineRule="auto"/>
              <w:jc w:val="center"/>
            </w:pPr>
            <w:r>
              <w:rPr>
                <w:rFonts w:ascii="Calibri" w:hAnsi="Calibri" w:eastAsia="Microsoft YaHei" w:cs="Calibri"/>
                <w:sz w:val="17"/>
              </w:rPr>
              <w:t>+0.5</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BAC</w:t>
            </w:r>
          </w:p>
        </w:tc>
        <w:tc>
          <w:tcPr>
            <w:tcW w:type="dxa" w:w="1602"/>
            <w:shd w:val="clear" w:color="auto" w:fill="F2F5F9"/>
          </w:tcPr>
          <w:p>
            <w:pPr>
              <w:spacing w:after="20" w:before="20" w:line="252" w:lineRule="auto"/>
              <w:jc w:val="center"/>
            </w:pPr>
            <w:r>
              <w:rPr>
                <w:rFonts w:ascii="Calibri" w:hAnsi="Calibri" w:eastAsia="Microsoft YaHei" w:cs="Calibri"/>
                <w:sz w:val="17"/>
              </w:rPr>
              <w:t>-10.7</w:t>
            </w:r>
          </w:p>
        </w:tc>
        <w:tc>
          <w:tcPr>
            <w:tcW w:type="dxa" w:w="1693"/>
            <w:shd w:val="clear" w:color="auto" w:fill="F2F5F9"/>
          </w:tcPr>
          <w:p>
            <w:pPr>
              <w:spacing w:after="20" w:before="20" w:line="252" w:lineRule="auto"/>
              <w:jc w:val="center"/>
            </w:pPr>
            <w:r>
              <w:rPr>
                <w:rFonts w:ascii="Calibri" w:hAnsi="Calibri" w:eastAsia="Microsoft YaHei" w:cs="Calibri"/>
                <w:sz w:val="17"/>
              </w:rPr>
              <w:t>-21.3</w:t>
            </w:r>
          </w:p>
        </w:tc>
        <w:tc>
          <w:tcPr>
            <w:tcW w:type="dxa" w:w="1693"/>
            <w:shd w:val="clear" w:color="auto" w:fill="F2F5F9"/>
          </w:tcPr>
          <w:p>
            <w:pPr>
              <w:spacing w:after="20" w:before="20" w:line="252" w:lineRule="auto"/>
              <w:jc w:val="center"/>
            </w:pPr>
            <w:r>
              <w:rPr>
                <w:rFonts w:ascii="Calibri" w:hAnsi="Calibri" w:eastAsia="Microsoft YaHei" w:cs="Calibri"/>
                <w:sz w:val="17"/>
              </w:rPr>
              <w:t>-42.7</w:t>
            </w:r>
          </w:p>
        </w:tc>
        <w:tc>
          <w:tcPr>
            <w:tcW w:type="dxa" w:w="2045"/>
            <w:shd w:val="clear" w:color="auto" w:fill="F2F5F9"/>
          </w:tcPr>
          <w:p>
            <w:pPr>
              <w:spacing w:after="20" w:before="20" w:line="252" w:lineRule="auto"/>
              <w:jc w:val="center"/>
            </w:pPr>
            <w:r>
              <w:rPr>
                <w:rFonts w:ascii="Calibri" w:hAnsi="Calibri" w:eastAsia="Microsoft YaHei" w:cs="Calibri"/>
                <w:sz w:val="17"/>
              </w:rPr>
              <w:t>-21.9</w:t>
            </w:r>
          </w:p>
        </w:tc>
        <w:tc>
          <w:tcPr>
            <w:tcW w:type="dxa" w:w="2131"/>
            <w:shd w:val="clear" w:color="auto" w:fill="F2F5F9"/>
          </w:tcPr>
          <w:p>
            <w:pPr>
              <w:spacing w:after="20" w:before="20" w:line="252" w:lineRule="auto"/>
              <w:jc w:val="center"/>
            </w:pPr>
            <w:r>
              <w:rPr>
                <w:rFonts w:ascii="Calibri" w:hAnsi="Calibri" w:eastAsia="Microsoft YaHei" w:cs="Calibri"/>
                <w:sz w:val="17"/>
              </w:rPr>
              <w:t>+0.6</w:t>
            </w:r>
          </w:p>
        </w:tc>
      </w:tr>
      <w:tr>
        <w:trPr>
          <w:cantSplit/>
        </w:trPr>
        <w:tc>
          <w:tcPr>
            <w:tcW w:type="dxa" w:w="588"/>
          </w:tcPr>
          <w:p>
            <w:pPr>
              <w:spacing w:after="20" w:before="20" w:line="252" w:lineRule="auto"/>
              <w:jc w:val="left"/>
            </w:pPr>
            <w:r>
              <w:rPr>
                <w:rFonts w:ascii="Calibri" w:hAnsi="Calibri" w:eastAsia="Microsoft YaHei" w:cs="Calibri"/>
                <w:sz w:val="17"/>
              </w:rPr>
              <w:t>C</w:t>
            </w:r>
          </w:p>
        </w:tc>
        <w:tc>
          <w:tcPr>
            <w:tcW w:type="dxa" w:w="1602"/>
          </w:tcPr>
          <w:p>
            <w:pPr>
              <w:spacing w:after="20" w:before="20" w:line="252" w:lineRule="auto"/>
              <w:jc w:val="center"/>
            </w:pPr>
            <w:r>
              <w:rPr>
                <w:rFonts w:ascii="Calibri" w:hAnsi="Calibri" w:eastAsia="Microsoft YaHei" w:cs="Calibri"/>
                <w:sz w:val="17"/>
              </w:rPr>
              <w:t>-3.9</w:t>
            </w:r>
          </w:p>
        </w:tc>
        <w:tc>
          <w:tcPr>
            <w:tcW w:type="dxa" w:w="1693"/>
          </w:tcPr>
          <w:p>
            <w:pPr>
              <w:spacing w:after="20" w:before="20" w:line="252" w:lineRule="auto"/>
              <w:jc w:val="center"/>
            </w:pPr>
            <w:r>
              <w:rPr>
                <w:rFonts w:ascii="Calibri" w:hAnsi="Calibri" w:eastAsia="Microsoft YaHei" w:cs="Calibri"/>
                <w:sz w:val="17"/>
              </w:rPr>
              <w:t>-7.9</w:t>
            </w:r>
          </w:p>
        </w:tc>
        <w:tc>
          <w:tcPr>
            <w:tcW w:type="dxa" w:w="1693"/>
          </w:tcPr>
          <w:p>
            <w:pPr>
              <w:spacing w:after="20" w:before="20" w:line="252" w:lineRule="auto"/>
              <w:jc w:val="center"/>
            </w:pPr>
            <w:r>
              <w:rPr>
                <w:rFonts w:ascii="Calibri" w:hAnsi="Calibri" w:eastAsia="Microsoft YaHei" w:cs="Calibri"/>
                <w:sz w:val="17"/>
              </w:rPr>
              <w:t>-16.0</w:t>
            </w:r>
          </w:p>
        </w:tc>
        <w:tc>
          <w:tcPr>
            <w:tcW w:type="dxa" w:w="2045"/>
          </w:tcPr>
          <w:p>
            <w:pPr>
              <w:spacing w:after="20" w:before="20" w:line="252" w:lineRule="auto"/>
              <w:jc w:val="center"/>
            </w:pPr>
            <w:r>
              <w:rPr>
                <w:rFonts w:ascii="Calibri" w:hAnsi="Calibri" w:eastAsia="Microsoft YaHei" w:cs="Calibri"/>
                <w:sz w:val="17"/>
              </w:rPr>
              <w:t>-6.4</w:t>
            </w:r>
          </w:p>
        </w:tc>
        <w:tc>
          <w:tcPr>
            <w:tcW w:type="dxa" w:w="2131"/>
          </w:tcPr>
          <w:p>
            <w:pPr>
              <w:spacing w:after="20" w:before="20" w:line="252" w:lineRule="auto"/>
              <w:jc w:val="center"/>
            </w:pPr>
            <w:r>
              <w:rPr>
                <w:rFonts w:ascii="Calibri" w:hAnsi="Calibri" w:eastAsia="Microsoft YaHei" w:cs="Calibri"/>
                <w:sz w:val="17"/>
              </w:rPr>
              <w:t>-1.5</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WFC</w:t>
            </w:r>
          </w:p>
        </w:tc>
        <w:tc>
          <w:tcPr>
            <w:tcW w:type="dxa" w:w="1602"/>
            <w:shd w:val="clear" w:color="auto" w:fill="F2F5F9"/>
          </w:tcPr>
          <w:p>
            <w:pPr>
              <w:spacing w:after="20" w:before="20" w:line="252" w:lineRule="auto"/>
              <w:jc w:val="center"/>
            </w:pPr>
            <w:r>
              <w:rPr>
                <w:rFonts w:ascii="Calibri" w:hAnsi="Calibri" w:eastAsia="Microsoft YaHei" w:cs="Calibri"/>
                <w:sz w:val="17"/>
              </w:rPr>
              <w:t>-5.7</w:t>
            </w:r>
          </w:p>
        </w:tc>
        <w:tc>
          <w:tcPr>
            <w:tcW w:type="dxa" w:w="1693"/>
            <w:shd w:val="clear" w:color="auto" w:fill="F2F5F9"/>
          </w:tcPr>
          <w:p>
            <w:pPr>
              <w:spacing w:after="20" w:before="20" w:line="252" w:lineRule="auto"/>
              <w:jc w:val="center"/>
            </w:pPr>
            <w:r>
              <w:rPr>
                <w:rFonts w:ascii="Calibri" w:hAnsi="Calibri" w:eastAsia="Microsoft YaHei" w:cs="Calibri"/>
                <w:sz w:val="17"/>
              </w:rPr>
              <w:t>-11.4</w:t>
            </w:r>
          </w:p>
        </w:tc>
        <w:tc>
          <w:tcPr>
            <w:tcW w:type="dxa" w:w="1693"/>
            <w:shd w:val="clear" w:color="auto" w:fill="F2F5F9"/>
          </w:tcPr>
          <w:p>
            <w:pPr>
              <w:spacing w:after="20" w:before="20" w:line="252" w:lineRule="auto"/>
              <w:jc w:val="center"/>
            </w:pPr>
            <w:r>
              <w:rPr>
                <w:rFonts w:ascii="Calibri" w:hAnsi="Calibri" w:eastAsia="Microsoft YaHei" w:cs="Calibri"/>
                <w:sz w:val="17"/>
              </w:rPr>
              <w:t>-22.7</w:t>
            </w:r>
          </w:p>
        </w:tc>
        <w:tc>
          <w:tcPr>
            <w:tcW w:type="dxa" w:w="2045"/>
            <w:shd w:val="clear" w:color="auto" w:fill="F2F5F9"/>
          </w:tcPr>
          <w:p>
            <w:pPr>
              <w:spacing w:after="20" w:before="20" w:line="252" w:lineRule="auto"/>
              <w:jc w:val="center"/>
            </w:pPr>
            <w:r>
              <w:rPr>
                <w:rFonts w:ascii="Calibri" w:hAnsi="Calibri" w:eastAsia="Microsoft YaHei" w:cs="Calibri"/>
                <w:sz w:val="17"/>
              </w:rPr>
              <w:t>-12.1</w:t>
            </w:r>
          </w:p>
        </w:tc>
        <w:tc>
          <w:tcPr>
            <w:tcW w:type="dxa" w:w="2131"/>
            <w:shd w:val="clear" w:color="auto" w:fill="F2F5F9"/>
          </w:tcPr>
          <w:p>
            <w:pPr>
              <w:spacing w:after="20" w:before="20" w:line="252" w:lineRule="auto"/>
              <w:jc w:val="center"/>
            </w:pPr>
            <w:r>
              <w:rPr>
                <w:rFonts w:ascii="Calibri" w:hAnsi="Calibri" w:eastAsia="Microsoft YaHei" w:cs="Calibri"/>
                <w:sz w:val="17"/>
              </w:rPr>
              <w:t>+0.7</w:t>
            </w:r>
          </w:p>
        </w:tc>
      </w:tr>
      <w:tr>
        <w:trPr>
          <w:cantSplit/>
        </w:trPr>
        <w:tc>
          <w:tcPr>
            <w:tcW w:type="dxa" w:w="588"/>
          </w:tcPr>
          <w:p>
            <w:pPr>
              <w:spacing w:after="20" w:before="20" w:line="252" w:lineRule="auto"/>
              <w:jc w:val="left"/>
            </w:pPr>
            <w:r>
              <w:rPr>
                <w:rFonts w:ascii="Calibri" w:hAnsi="Calibri" w:eastAsia="Microsoft YaHei" w:cs="Calibri"/>
                <w:sz w:val="17"/>
              </w:rPr>
              <w:t>GS</w:t>
            </w:r>
          </w:p>
        </w:tc>
        <w:tc>
          <w:tcPr>
            <w:tcW w:type="dxa" w:w="1602"/>
          </w:tcPr>
          <w:p>
            <w:pPr>
              <w:spacing w:after="20" w:before="20" w:line="252" w:lineRule="auto"/>
              <w:jc w:val="center"/>
            </w:pPr>
            <w:r>
              <w:rPr>
                <w:rFonts w:ascii="Calibri" w:hAnsi="Calibri" w:eastAsia="Microsoft YaHei" w:cs="Calibri"/>
                <w:sz w:val="17"/>
              </w:rPr>
              <w:t>-2.3</w:t>
            </w:r>
          </w:p>
        </w:tc>
        <w:tc>
          <w:tcPr>
            <w:tcW w:type="dxa" w:w="1693"/>
          </w:tcPr>
          <w:p>
            <w:pPr>
              <w:spacing w:after="20" w:before="20" w:line="252" w:lineRule="auto"/>
              <w:jc w:val="center"/>
            </w:pPr>
            <w:r>
              <w:rPr>
                <w:rFonts w:ascii="Calibri" w:hAnsi="Calibri" w:eastAsia="Microsoft YaHei" w:cs="Calibri"/>
                <w:sz w:val="17"/>
              </w:rPr>
              <w:t>-4.6</w:t>
            </w:r>
          </w:p>
        </w:tc>
        <w:tc>
          <w:tcPr>
            <w:tcW w:type="dxa" w:w="1693"/>
          </w:tcPr>
          <w:p>
            <w:pPr>
              <w:spacing w:after="20" w:before="20" w:line="252" w:lineRule="auto"/>
              <w:jc w:val="center"/>
            </w:pPr>
            <w:r>
              <w:rPr>
                <w:rFonts w:ascii="Calibri" w:hAnsi="Calibri" w:eastAsia="Microsoft YaHei" w:cs="Calibri"/>
                <w:sz w:val="17"/>
              </w:rPr>
              <w:t>-9.3</w:t>
            </w:r>
          </w:p>
        </w:tc>
        <w:tc>
          <w:tcPr>
            <w:tcW w:type="dxa" w:w="2045"/>
          </w:tcPr>
          <w:p>
            <w:pPr>
              <w:spacing w:after="20" w:before="20" w:line="252" w:lineRule="auto"/>
              <w:jc w:val="center"/>
            </w:pPr>
            <w:r>
              <w:rPr>
                <w:rFonts w:ascii="Calibri" w:hAnsi="Calibri" w:eastAsia="Microsoft YaHei" w:cs="Calibri"/>
                <w:sz w:val="17"/>
              </w:rPr>
              <w:t>n/a</w:t>
            </w:r>
          </w:p>
        </w:tc>
        <w:tc>
          <w:tcPr>
            <w:tcW w:type="dxa" w:w="2131"/>
          </w:tcPr>
          <w:p>
            <w:pPr>
              <w:spacing w:after="20" w:before="20" w:line="252" w:lineRule="auto"/>
              <w:jc w:val="center"/>
            </w:pPr>
            <w:r>
              <w:rPr>
                <w:rFonts w:ascii="Calibri" w:hAnsi="Calibri" w:eastAsia="Microsoft YaHei" w:cs="Calibri"/>
                <w:sz w:val="17"/>
              </w:rPr>
              <w:t>n/a</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MS</w:t>
            </w:r>
          </w:p>
        </w:tc>
        <w:tc>
          <w:tcPr>
            <w:tcW w:type="dxa" w:w="1602"/>
            <w:shd w:val="clear" w:color="auto" w:fill="F2F5F9"/>
          </w:tcPr>
          <w:p>
            <w:pPr>
              <w:spacing w:after="20" w:before="20" w:line="252" w:lineRule="auto"/>
              <w:jc w:val="center"/>
            </w:pPr>
            <w:r>
              <w:rPr>
                <w:rFonts w:ascii="Calibri" w:hAnsi="Calibri" w:eastAsia="Microsoft YaHei" w:cs="Calibri"/>
                <w:sz w:val="17"/>
              </w:rPr>
              <w:t>-1.7</w:t>
            </w:r>
          </w:p>
        </w:tc>
        <w:tc>
          <w:tcPr>
            <w:tcW w:type="dxa" w:w="1693"/>
            <w:shd w:val="clear" w:color="auto" w:fill="F2F5F9"/>
          </w:tcPr>
          <w:p>
            <w:pPr>
              <w:spacing w:after="20" w:before="20" w:line="252" w:lineRule="auto"/>
              <w:jc w:val="center"/>
            </w:pPr>
            <w:r>
              <w:rPr>
                <w:rFonts w:ascii="Calibri" w:hAnsi="Calibri" w:eastAsia="Microsoft YaHei" w:cs="Calibri"/>
                <w:sz w:val="17"/>
              </w:rPr>
              <w:t>-3.5</w:t>
            </w:r>
          </w:p>
        </w:tc>
        <w:tc>
          <w:tcPr>
            <w:tcW w:type="dxa" w:w="1693"/>
            <w:shd w:val="clear" w:color="auto" w:fill="F2F5F9"/>
          </w:tcPr>
          <w:p>
            <w:pPr>
              <w:spacing w:after="20" w:before="20" w:line="252" w:lineRule="auto"/>
              <w:jc w:val="center"/>
            </w:pPr>
            <w:r>
              <w:rPr>
                <w:rFonts w:ascii="Calibri" w:hAnsi="Calibri" w:eastAsia="Microsoft YaHei" w:cs="Calibri"/>
                <w:sz w:val="17"/>
              </w:rPr>
              <w:t>-6.9</w:t>
            </w:r>
          </w:p>
        </w:tc>
        <w:tc>
          <w:tcPr>
            <w:tcW w:type="dxa" w:w="2045"/>
            <w:shd w:val="clear" w:color="auto" w:fill="F2F5F9"/>
          </w:tcPr>
          <w:p>
            <w:pPr>
              <w:spacing w:after="20" w:before="20" w:line="252" w:lineRule="auto"/>
              <w:jc w:val="center"/>
            </w:pPr>
            <w:r>
              <w:rPr>
                <w:rFonts w:ascii="Calibri" w:hAnsi="Calibri" w:eastAsia="Microsoft YaHei" w:cs="Calibri"/>
                <w:sz w:val="17"/>
              </w:rPr>
              <w:t>n/a</w:t>
            </w:r>
          </w:p>
        </w:tc>
        <w:tc>
          <w:tcPr>
            <w:tcW w:type="dxa" w:w="2131"/>
            <w:shd w:val="clear" w:color="auto" w:fill="F2F5F9"/>
          </w:tcPr>
          <w:p>
            <w:pPr>
              <w:spacing w:after="20" w:before="20" w:line="252" w:lineRule="auto"/>
              <w:jc w:val="center"/>
            </w:pPr>
            <w:r>
              <w:rPr>
                <w:rFonts w:ascii="Calibri" w:hAnsi="Calibri" w:eastAsia="Microsoft YaHei" w:cs="Calibri"/>
                <w:sz w:val="17"/>
              </w:rPr>
              <w:t>n/a</w:t>
            </w:r>
          </w:p>
        </w:tc>
      </w:tr>
    </w:tbl>
    <w:p>
      <w:pPr>
        <w:spacing w:after="40"/>
      </w:pPr>
    </w:p>
    <w:p>
      <w:pPr>
        <w:pStyle w:val="Heading3"/>
      </w:pPr>
      <w:r>
        <w:rPr>
          <w:rFonts w:ascii="Calibri" w:hAnsi="Calibri" w:eastAsia="Microsoft YaHei" w:cs="Calibri"/>
          <w:b/>
          <w:color w:val="1F4E79"/>
          <w:sz w:val="24"/>
        </w:rPr>
        <w:t>Net economic effect as % of TCE</w:t>
      </w:r>
    </w:p>
    <w:tbl>
      <w:tblPr>
        <w:tblStyle w:val="TableGrid"/>
        <w:tblW w:type="auto" w:w="0"/>
        <w:jc w:val="center"/>
        <w:tblLayout w:type="fixed"/>
        <w:tblLook w:firstColumn="1" w:firstRow="1" w:lastColumn="0" w:lastRow="0" w:noHBand="0" w:noVBand="1" w:val="04A0"/>
      </w:tblPr>
      <w:tblGrid>
        <w:gridCol w:w="588"/>
        <w:gridCol w:w="1602"/>
        <w:gridCol w:w="1693"/>
        <w:gridCol w:w="1693"/>
        <w:gridCol w:w="2045"/>
        <w:gridCol w:w="2131"/>
      </w:tblGrid>
      <w:tr>
        <w:trPr>
          <w:tblHeader w:val="true"/>
          <w:cantSplit/>
        </w:trPr>
        <w:tc>
          <w:tcPr>
            <w:tcW w:type="dxa" w:w="588"/>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1602"/>
            <w:shd w:val="clear" w:color="auto" w:fill="1F4E79"/>
          </w:tcPr>
          <w:p>
            <w:pPr>
              <w:spacing w:after="20" w:before="20" w:line="252" w:lineRule="auto"/>
              <w:jc w:val="center"/>
            </w:pPr>
            <w:r>
              <w:rPr>
                <w:rFonts w:ascii="Calibri" w:hAnsi="Calibri" w:eastAsia="Microsoft YaHei" w:cs="Calibri"/>
                <w:b/>
                <w:color w:val="FFFFFF"/>
                <w:sz w:val="17"/>
              </w:rPr>
              <w:t>+50bp parallel</w:t>
            </w:r>
          </w:p>
        </w:tc>
        <w:tc>
          <w:tcPr>
            <w:tcW w:type="dxa" w:w="1693"/>
            <w:shd w:val="clear" w:color="auto" w:fill="1F4E79"/>
          </w:tcPr>
          <w:p>
            <w:pPr>
              <w:spacing w:after="20" w:before="20" w:line="252" w:lineRule="auto"/>
              <w:jc w:val="center"/>
            </w:pPr>
            <w:r>
              <w:rPr>
                <w:rFonts w:ascii="Calibri" w:hAnsi="Calibri" w:eastAsia="Microsoft YaHei" w:cs="Calibri"/>
                <w:b/>
                <w:color w:val="FFFFFF"/>
                <w:sz w:val="17"/>
              </w:rPr>
              <w:t>+100bp parallel</w:t>
            </w:r>
          </w:p>
        </w:tc>
        <w:tc>
          <w:tcPr>
            <w:tcW w:type="dxa" w:w="1693"/>
            <w:shd w:val="clear" w:color="auto" w:fill="1F4E79"/>
          </w:tcPr>
          <w:p>
            <w:pPr>
              <w:spacing w:after="20" w:before="20" w:line="252" w:lineRule="auto"/>
              <w:jc w:val="center"/>
            </w:pPr>
            <w:r>
              <w:rPr>
                <w:rFonts w:ascii="Calibri" w:hAnsi="Calibri" w:eastAsia="Microsoft YaHei" w:cs="Calibri"/>
                <w:b/>
                <w:color w:val="FFFFFF"/>
                <w:sz w:val="17"/>
              </w:rPr>
              <w:t>+200bp parallel</w:t>
            </w:r>
          </w:p>
        </w:tc>
        <w:tc>
          <w:tcPr>
            <w:tcW w:type="dxa" w:w="2045"/>
            <w:shd w:val="clear" w:color="auto" w:fill="1F4E79"/>
          </w:tcPr>
          <w:p>
            <w:pPr>
              <w:spacing w:after="20" w:before="20" w:line="252" w:lineRule="auto"/>
              <w:jc w:val="center"/>
            </w:pPr>
            <w:r>
              <w:rPr>
                <w:rFonts w:ascii="Calibri" w:hAnsi="Calibri" w:eastAsia="Microsoft YaHei" w:cs="Calibri"/>
                <w:b/>
                <w:color w:val="FFFFFF"/>
                <w:sz w:val="17"/>
              </w:rPr>
              <w:t>Steepener long +100</w:t>
            </w:r>
          </w:p>
        </w:tc>
        <w:tc>
          <w:tcPr>
            <w:tcW w:type="dxa" w:w="2131"/>
            <w:shd w:val="clear" w:color="auto" w:fill="1F4E79"/>
          </w:tcPr>
          <w:p>
            <w:pPr>
              <w:spacing w:after="20" w:before="20" w:line="252" w:lineRule="auto"/>
              <w:jc w:val="center"/>
            </w:pPr>
            <w:r>
              <w:rPr>
                <w:rFonts w:ascii="Calibri" w:hAnsi="Calibri" w:eastAsia="Microsoft YaHei" w:cs="Calibri"/>
                <w:b/>
                <w:color w:val="FFFFFF"/>
                <w:sz w:val="17"/>
              </w:rPr>
              <w:t>Flattener short +100</w:t>
            </w:r>
          </w:p>
        </w:tc>
      </w:tr>
      <w:tr>
        <w:trPr>
          <w:cantSplit/>
        </w:trPr>
        <w:tc>
          <w:tcPr>
            <w:tcW w:type="dxa" w:w="588"/>
          </w:tcPr>
          <w:p>
            <w:pPr>
              <w:spacing w:after="20" w:before="20" w:line="252" w:lineRule="auto"/>
              <w:jc w:val="left"/>
            </w:pPr>
            <w:r>
              <w:rPr>
                <w:rFonts w:ascii="Calibri" w:hAnsi="Calibri" w:eastAsia="Microsoft YaHei" w:cs="Calibri"/>
                <w:sz w:val="17"/>
              </w:rPr>
              <w:t>JPM</w:t>
            </w:r>
          </w:p>
        </w:tc>
        <w:tc>
          <w:tcPr>
            <w:tcW w:type="dxa" w:w="1602"/>
          </w:tcPr>
          <w:p>
            <w:pPr>
              <w:spacing w:after="20" w:before="20" w:line="252" w:lineRule="auto"/>
              <w:jc w:val="center"/>
            </w:pPr>
            <w:r>
              <w:rPr>
                <w:rFonts w:ascii="Calibri" w:hAnsi="Calibri" w:eastAsia="Microsoft YaHei" w:cs="Calibri"/>
                <w:sz w:val="17"/>
              </w:rPr>
              <w:t>-2.3</w:t>
            </w:r>
          </w:p>
        </w:tc>
        <w:tc>
          <w:tcPr>
            <w:tcW w:type="dxa" w:w="1693"/>
          </w:tcPr>
          <w:p>
            <w:pPr>
              <w:spacing w:after="20" w:before="20" w:line="252" w:lineRule="auto"/>
              <w:jc w:val="center"/>
            </w:pPr>
            <w:r>
              <w:rPr>
                <w:rFonts w:ascii="Calibri" w:hAnsi="Calibri" w:eastAsia="Microsoft YaHei" w:cs="Calibri"/>
                <w:sz w:val="17"/>
              </w:rPr>
              <w:t>-4.7</w:t>
            </w:r>
          </w:p>
        </w:tc>
        <w:tc>
          <w:tcPr>
            <w:tcW w:type="dxa" w:w="1693"/>
          </w:tcPr>
          <w:p>
            <w:pPr>
              <w:spacing w:after="20" w:before="20" w:line="252" w:lineRule="auto"/>
              <w:jc w:val="center"/>
            </w:pPr>
            <w:r>
              <w:rPr>
                <w:rFonts w:ascii="Calibri" w:hAnsi="Calibri" w:eastAsia="Microsoft YaHei" w:cs="Calibri"/>
                <w:sz w:val="17"/>
              </w:rPr>
              <w:t>-9.5</w:t>
            </w:r>
          </w:p>
        </w:tc>
        <w:tc>
          <w:tcPr>
            <w:tcW w:type="dxa" w:w="2045"/>
          </w:tcPr>
          <w:p>
            <w:pPr>
              <w:spacing w:after="20" w:before="20" w:line="252" w:lineRule="auto"/>
              <w:jc w:val="center"/>
            </w:pPr>
            <w:r>
              <w:rPr>
                <w:rFonts w:ascii="Calibri" w:hAnsi="Calibri" w:eastAsia="Microsoft YaHei" w:cs="Calibri"/>
                <w:sz w:val="17"/>
              </w:rPr>
              <w:t>-4.8</w:t>
            </w:r>
          </w:p>
        </w:tc>
        <w:tc>
          <w:tcPr>
            <w:tcW w:type="dxa" w:w="2131"/>
          </w:tcPr>
          <w:p>
            <w:pPr>
              <w:spacing w:after="20" w:before="20" w:line="252" w:lineRule="auto"/>
              <w:jc w:val="center"/>
            </w:pPr>
            <w:r>
              <w:rPr>
                <w:rFonts w:ascii="Calibri" w:hAnsi="Calibri" w:eastAsia="Microsoft YaHei" w:cs="Calibri"/>
                <w:sz w:val="17"/>
              </w:rPr>
              <w:t>+0.2</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BAC</w:t>
            </w:r>
          </w:p>
        </w:tc>
        <w:tc>
          <w:tcPr>
            <w:tcW w:type="dxa" w:w="1602"/>
            <w:shd w:val="clear" w:color="auto" w:fill="F2F5F9"/>
          </w:tcPr>
          <w:p>
            <w:pPr>
              <w:spacing w:after="20" w:before="20" w:line="252" w:lineRule="auto"/>
              <w:jc w:val="center"/>
            </w:pPr>
            <w:r>
              <w:rPr>
                <w:rFonts w:ascii="Calibri" w:hAnsi="Calibri" w:eastAsia="Microsoft YaHei" w:cs="Calibri"/>
                <w:sz w:val="17"/>
              </w:rPr>
              <w:t>-5.2</w:t>
            </w:r>
          </w:p>
        </w:tc>
        <w:tc>
          <w:tcPr>
            <w:tcW w:type="dxa" w:w="1693"/>
            <w:shd w:val="clear" w:color="auto" w:fill="F2F5F9"/>
          </w:tcPr>
          <w:p>
            <w:pPr>
              <w:spacing w:after="20" w:before="20" w:line="252" w:lineRule="auto"/>
              <w:jc w:val="center"/>
            </w:pPr>
            <w:r>
              <w:rPr>
                <w:rFonts w:ascii="Calibri" w:hAnsi="Calibri" w:eastAsia="Microsoft YaHei" w:cs="Calibri"/>
                <w:sz w:val="17"/>
              </w:rPr>
              <w:t>-10.3</w:t>
            </w:r>
          </w:p>
        </w:tc>
        <w:tc>
          <w:tcPr>
            <w:tcW w:type="dxa" w:w="1693"/>
            <w:shd w:val="clear" w:color="auto" w:fill="F2F5F9"/>
          </w:tcPr>
          <w:p>
            <w:pPr>
              <w:spacing w:after="20" w:before="20" w:line="252" w:lineRule="auto"/>
              <w:jc w:val="center"/>
            </w:pPr>
            <w:r>
              <w:rPr>
                <w:rFonts w:ascii="Calibri" w:hAnsi="Calibri" w:eastAsia="Microsoft YaHei" w:cs="Calibri"/>
                <w:sz w:val="17"/>
              </w:rPr>
              <w:t>-20.7</w:t>
            </w:r>
          </w:p>
        </w:tc>
        <w:tc>
          <w:tcPr>
            <w:tcW w:type="dxa" w:w="2045"/>
            <w:shd w:val="clear" w:color="auto" w:fill="F2F5F9"/>
          </w:tcPr>
          <w:p>
            <w:pPr>
              <w:spacing w:after="20" w:before="20" w:line="252" w:lineRule="auto"/>
              <w:jc w:val="center"/>
            </w:pPr>
            <w:r>
              <w:rPr>
                <w:rFonts w:ascii="Calibri" w:hAnsi="Calibri" w:eastAsia="Microsoft YaHei" w:cs="Calibri"/>
                <w:sz w:val="17"/>
              </w:rPr>
              <w:t>-10.6</w:t>
            </w:r>
          </w:p>
        </w:tc>
        <w:tc>
          <w:tcPr>
            <w:tcW w:type="dxa" w:w="2131"/>
            <w:shd w:val="clear" w:color="auto" w:fill="F2F5F9"/>
          </w:tcPr>
          <w:p>
            <w:pPr>
              <w:spacing w:after="20" w:before="20" w:line="252" w:lineRule="auto"/>
              <w:jc w:val="center"/>
            </w:pPr>
            <w:r>
              <w:rPr>
                <w:rFonts w:ascii="Calibri" w:hAnsi="Calibri" w:eastAsia="Microsoft YaHei" w:cs="Calibri"/>
                <w:sz w:val="17"/>
              </w:rPr>
              <w:t>+0.3</w:t>
            </w:r>
          </w:p>
        </w:tc>
      </w:tr>
      <w:tr>
        <w:trPr>
          <w:cantSplit/>
        </w:trPr>
        <w:tc>
          <w:tcPr>
            <w:tcW w:type="dxa" w:w="588"/>
          </w:tcPr>
          <w:p>
            <w:pPr>
              <w:spacing w:after="20" w:before="20" w:line="252" w:lineRule="auto"/>
              <w:jc w:val="left"/>
            </w:pPr>
            <w:r>
              <w:rPr>
                <w:rFonts w:ascii="Calibri" w:hAnsi="Calibri" w:eastAsia="Microsoft YaHei" w:cs="Calibri"/>
                <w:sz w:val="17"/>
              </w:rPr>
              <w:t>C</w:t>
            </w:r>
          </w:p>
        </w:tc>
        <w:tc>
          <w:tcPr>
            <w:tcW w:type="dxa" w:w="1602"/>
          </w:tcPr>
          <w:p>
            <w:pPr>
              <w:spacing w:after="20" w:before="20" w:line="252" w:lineRule="auto"/>
              <w:jc w:val="center"/>
            </w:pPr>
            <w:r>
              <w:rPr>
                <w:rFonts w:ascii="Calibri" w:hAnsi="Calibri" w:eastAsia="Microsoft YaHei" w:cs="Calibri"/>
                <w:sz w:val="17"/>
              </w:rPr>
              <w:t>-2.3</w:t>
            </w:r>
          </w:p>
        </w:tc>
        <w:tc>
          <w:tcPr>
            <w:tcW w:type="dxa" w:w="1693"/>
          </w:tcPr>
          <w:p>
            <w:pPr>
              <w:spacing w:after="20" w:before="20" w:line="252" w:lineRule="auto"/>
              <w:jc w:val="center"/>
            </w:pPr>
            <w:r>
              <w:rPr>
                <w:rFonts w:ascii="Calibri" w:hAnsi="Calibri" w:eastAsia="Microsoft YaHei" w:cs="Calibri"/>
                <w:sz w:val="17"/>
              </w:rPr>
              <w:t>-4.7</w:t>
            </w:r>
          </w:p>
        </w:tc>
        <w:tc>
          <w:tcPr>
            <w:tcW w:type="dxa" w:w="1693"/>
          </w:tcPr>
          <w:p>
            <w:pPr>
              <w:spacing w:after="20" w:before="20" w:line="252" w:lineRule="auto"/>
              <w:jc w:val="center"/>
            </w:pPr>
            <w:r>
              <w:rPr>
                <w:rFonts w:ascii="Calibri" w:hAnsi="Calibri" w:eastAsia="Microsoft YaHei" w:cs="Calibri"/>
                <w:sz w:val="17"/>
              </w:rPr>
              <w:t>-9.5</w:t>
            </w:r>
          </w:p>
        </w:tc>
        <w:tc>
          <w:tcPr>
            <w:tcW w:type="dxa" w:w="2045"/>
          </w:tcPr>
          <w:p>
            <w:pPr>
              <w:spacing w:after="20" w:before="20" w:line="252" w:lineRule="auto"/>
              <w:jc w:val="center"/>
            </w:pPr>
            <w:r>
              <w:rPr>
                <w:rFonts w:ascii="Calibri" w:hAnsi="Calibri" w:eastAsia="Microsoft YaHei" w:cs="Calibri"/>
                <w:sz w:val="17"/>
              </w:rPr>
              <w:t>-3.8</w:t>
            </w:r>
          </w:p>
        </w:tc>
        <w:tc>
          <w:tcPr>
            <w:tcW w:type="dxa" w:w="2131"/>
          </w:tcPr>
          <w:p>
            <w:pPr>
              <w:spacing w:after="20" w:before="20" w:line="252" w:lineRule="auto"/>
              <w:jc w:val="center"/>
            </w:pPr>
            <w:r>
              <w:rPr>
                <w:rFonts w:ascii="Calibri" w:hAnsi="Calibri" w:eastAsia="Microsoft YaHei" w:cs="Calibri"/>
                <w:sz w:val="17"/>
              </w:rPr>
              <w:t>-0.9</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WFC</w:t>
            </w:r>
          </w:p>
        </w:tc>
        <w:tc>
          <w:tcPr>
            <w:tcW w:type="dxa" w:w="1602"/>
            <w:shd w:val="clear" w:color="auto" w:fill="F2F5F9"/>
          </w:tcPr>
          <w:p>
            <w:pPr>
              <w:spacing w:after="20" w:before="20" w:line="252" w:lineRule="auto"/>
              <w:jc w:val="center"/>
            </w:pPr>
            <w:r>
              <w:rPr>
                <w:rFonts w:ascii="Calibri" w:hAnsi="Calibri" w:eastAsia="Microsoft YaHei" w:cs="Calibri"/>
                <w:sz w:val="17"/>
              </w:rPr>
              <w:t>-4.1</w:t>
            </w:r>
          </w:p>
        </w:tc>
        <w:tc>
          <w:tcPr>
            <w:tcW w:type="dxa" w:w="1693"/>
            <w:shd w:val="clear" w:color="auto" w:fill="F2F5F9"/>
          </w:tcPr>
          <w:p>
            <w:pPr>
              <w:spacing w:after="20" w:before="20" w:line="252" w:lineRule="auto"/>
              <w:jc w:val="center"/>
            </w:pPr>
            <w:r>
              <w:rPr>
                <w:rFonts w:ascii="Calibri" w:hAnsi="Calibri" w:eastAsia="Microsoft YaHei" w:cs="Calibri"/>
                <w:sz w:val="17"/>
              </w:rPr>
              <w:t>-8.1</w:t>
            </w:r>
          </w:p>
        </w:tc>
        <w:tc>
          <w:tcPr>
            <w:tcW w:type="dxa" w:w="1693"/>
            <w:shd w:val="clear" w:color="auto" w:fill="F2F5F9"/>
          </w:tcPr>
          <w:p>
            <w:pPr>
              <w:spacing w:after="20" w:before="20" w:line="252" w:lineRule="auto"/>
              <w:jc w:val="center"/>
            </w:pPr>
            <w:r>
              <w:rPr>
                <w:rFonts w:ascii="Calibri" w:hAnsi="Calibri" w:eastAsia="Microsoft YaHei" w:cs="Calibri"/>
                <w:sz w:val="17"/>
              </w:rPr>
              <w:t>-16.3</w:t>
            </w:r>
          </w:p>
        </w:tc>
        <w:tc>
          <w:tcPr>
            <w:tcW w:type="dxa" w:w="2045"/>
            <w:shd w:val="clear" w:color="auto" w:fill="F2F5F9"/>
          </w:tcPr>
          <w:p>
            <w:pPr>
              <w:spacing w:after="20" w:before="20" w:line="252" w:lineRule="auto"/>
              <w:jc w:val="center"/>
            </w:pPr>
            <w:r>
              <w:rPr>
                <w:rFonts w:ascii="Calibri" w:hAnsi="Calibri" w:eastAsia="Microsoft YaHei" w:cs="Calibri"/>
                <w:sz w:val="17"/>
              </w:rPr>
              <w:t>-8.6</w:t>
            </w:r>
          </w:p>
        </w:tc>
        <w:tc>
          <w:tcPr>
            <w:tcW w:type="dxa" w:w="2131"/>
            <w:shd w:val="clear" w:color="auto" w:fill="F2F5F9"/>
          </w:tcPr>
          <w:p>
            <w:pPr>
              <w:spacing w:after="20" w:before="20" w:line="252" w:lineRule="auto"/>
              <w:jc w:val="center"/>
            </w:pPr>
            <w:r>
              <w:rPr>
                <w:rFonts w:ascii="Calibri" w:hAnsi="Calibri" w:eastAsia="Microsoft YaHei" w:cs="Calibri"/>
                <w:sz w:val="17"/>
              </w:rPr>
              <w:t>+0.5</w:t>
            </w:r>
          </w:p>
        </w:tc>
      </w:tr>
      <w:tr>
        <w:trPr>
          <w:cantSplit/>
        </w:trPr>
        <w:tc>
          <w:tcPr>
            <w:tcW w:type="dxa" w:w="588"/>
          </w:tcPr>
          <w:p>
            <w:pPr>
              <w:spacing w:after="20" w:before="20" w:line="252" w:lineRule="auto"/>
              <w:jc w:val="left"/>
            </w:pPr>
            <w:r>
              <w:rPr>
                <w:rFonts w:ascii="Calibri" w:hAnsi="Calibri" w:eastAsia="Microsoft YaHei" w:cs="Calibri"/>
                <w:sz w:val="17"/>
              </w:rPr>
              <w:t>GS</w:t>
            </w:r>
          </w:p>
        </w:tc>
        <w:tc>
          <w:tcPr>
            <w:tcW w:type="dxa" w:w="1602"/>
          </w:tcPr>
          <w:p>
            <w:pPr>
              <w:spacing w:after="20" w:before="20" w:line="252" w:lineRule="auto"/>
              <w:jc w:val="center"/>
            </w:pPr>
            <w:r>
              <w:rPr>
                <w:rFonts w:ascii="Calibri" w:hAnsi="Calibri" w:eastAsia="Microsoft YaHei" w:cs="Calibri"/>
                <w:sz w:val="17"/>
              </w:rPr>
              <w:t>-2.3</w:t>
            </w:r>
          </w:p>
        </w:tc>
        <w:tc>
          <w:tcPr>
            <w:tcW w:type="dxa" w:w="1693"/>
          </w:tcPr>
          <w:p>
            <w:pPr>
              <w:spacing w:after="20" w:before="20" w:line="252" w:lineRule="auto"/>
              <w:jc w:val="center"/>
            </w:pPr>
            <w:r>
              <w:rPr>
                <w:rFonts w:ascii="Calibri" w:hAnsi="Calibri" w:eastAsia="Microsoft YaHei" w:cs="Calibri"/>
                <w:sz w:val="17"/>
              </w:rPr>
              <w:t>-4.6</w:t>
            </w:r>
          </w:p>
        </w:tc>
        <w:tc>
          <w:tcPr>
            <w:tcW w:type="dxa" w:w="1693"/>
          </w:tcPr>
          <w:p>
            <w:pPr>
              <w:spacing w:after="20" w:before="20" w:line="252" w:lineRule="auto"/>
              <w:jc w:val="center"/>
            </w:pPr>
            <w:r>
              <w:rPr>
                <w:rFonts w:ascii="Calibri" w:hAnsi="Calibri" w:eastAsia="Microsoft YaHei" w:cs="Calibri"/>
                <w:sz w:val="17"/>
              </w:rPr>
              <w:t>-9.2</w:t>
            </w:r>
          </w:p>
        </w:tc>
        <w:tc>
          <w:tcPr>
            <w:tcW w:type="dxa" w:w="2045"/>
          </w:tcPr>
          <w:p>
            <w:pPr>
              <w:spacing w:after="20" w:before="20" w:line="252" w:lineRule="auto"/>
              <w:jc w:val="center"/>
            </w:pPr>
            <w:r>
              <w:rPr>
                <w:rFonts w:ascii="Calibri" w:hAnsi="Calibri" w:eastAsia="Microsoft YaHei" w:cs="Calibri"/>
                <w:sz w:val="17"/>
              </w:rPr>
              <w:t>n/a</w:t>
            </w:r>
          </w:p>
        </w:tc>
        <w:tc>
          <w:tcPr>
            <w:tcW w:type="dxa" w:w="2131"/>
          </w:tcPr>
          <w:p>
            <w:pPr>
              <w:spacing w:after="20" w:before="20" w:line="252" w:lineRule="auto"/>
              <w:jc w:val="center"/>
            </w:pPr>
            <w:r>
              <w:rPr>
                <w:rFonts w:ascii="Calibri" w:hAnsi="Calibri" w:eastAsia="Microsoft YaHei" w:cs="Calibri"/>
                <w:sz w:val="17"/>
              </w:rPr>
              <w:t>n/a</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MS</w:t>
            </w:r>
          </w:p>
        </w:tc>
        <w:tc>
          <w:tcPr>
            <w:tcW w:type="dxa" w:w="1602"/>
            <w:shd w:val="clear" w:color="auto" w:fill="F2F5F9"/>
          </w:tcPr>
          <w:p>
            <w:pPr>
              <w:spacing w:after="20" w:before="20" w:line="252" w:lineRule="auto"/>
              <w:jc w:val="center"/>
            </w:pPr>
            <w:r>
              <w:rPr>
                <w:rFonts w:ascii="Calibri" w:hAnsi="Calibri" w:eastAsia="Microsoft YaHei" w:cs="Calibri"/>
                <w:sz w:val="17"/>
              </w:rPr>
              <w:t>-2.1</w:t>
            </w:r>
          </w:p>
        </w:tc>
        <w:tc>
          <w:tcPr>
            <w:tcW w:type="dxa" w:w="1693"/>
            <w:shd w:val="clear" w:color="auto" w:fill="F2F5F9"/>
          </w:tcPr>
          <w:p>
            <w:pPr>
              <w:spacing w:after="20" w:before="20" w:line="252" w:lineRule="auto"/>
              <w:jc w:val="center"/>
            </w:pPr>
            <w:r>
              <w:rPr>
                <w:rFonts w:ascii="Calibri" w:hAnsi="Calibri" w:eastAsia="Microsoft YaHei" w:cs="Calibri"/>
                <w:sz w:val="17"/>
              </w:rPr>
              <w:t>-4.1</w:t>
            </w:r>
          </w:p>
        </w:tc>
        <w:tc>
          <w:tcPr>
            <w:tcW w:type="dxa" w:w="1693"/>
            <w:shd w:val="clear" w:color="auto" w:fill="F2F5F9"/>
          </w:tcPr>
          <w:p>
            <w:pPr>
              <w:spacing w:after="20" w:before="20" w:line="252" w:lineRule="auto"/>
              <w:jc w:val="center"/>
            </w:pPr>
            <w:r>
              <w:rPr>
                <w:rFonts w:ascii="Calibri" w:hAnsi="Calibri" w:eastAsia="Microsoft YaHei" w:cs="Calibri"/>
                <w:sz w:val="17"/>
              </w:rPr>
              <w:t>-8.2</w:t>
            </w:r>
          </w:p>
        </w:tc>
        <w:tc>
          <w:tcPr>
            <w:tcW w:type="dxa" w:w="2045"/>
            <w:shd w:val="clear" w:color="auto" w:fill="F2F5F9"/>
          </w:tcPr>
          <w:p>
            <w:pPr>
              <w:spacing w:after="20" w:before="20" w:line="252" w:lineRule="auto"/>
              <w:jc w:val="center"/>
            </w:pPr>
            <w:r>
              <w:rPr>
                <w:rFonts w:ascii="Calibri" w:hAnsi="Calibri" w:eastAsia="Microsoft YaHei" w:cs="Calibri"/>
                <w:sz w:val="17"/>
              </w:rPr>
              <w:t>n/a</w:t>
            </w:r>
          </w:p>
        </w:tc>
        <w:tc>
          <w:tcPr>
            <w:tcW w:type="dxa" w:w="2131"/>
            <w:shd w:val="clear" w:color="auto" w:fill="F2F5F9"/>
          </w:tcPr>
          <w:p>
            <w:pPr>
              <w:spacing w:after="20" w:before="20" w:line="252" w:lineRule="auto"/>
              <w:jc w:val="center"/>
            </w:pPr>
            <w:r>
              <w:rPr>
                <w:rFonts w:ascii="Calibri" w:hAnsi="Calibri" w:eastAsia="Microsoft YaHei" w:cs="Calibri"/>
                <w:sz w:val="17"/>
              </w:rPr>
              <w:t>n/a</w:t>
            </w:r>
          </w:p>
        </w:tc>
      </w:tr>
    </w:tbl>
    <w:p>
      <w:pPr>
        <w:spacing w:after="40"/>
      </w:pPr>
    </w:p>
    <w:p>
      <w:pPr>
        <w:pStyle w:val="Heading3"/>
      </w:pPr>
      <w:r>
        <w:rPr>
          <w:rFonts w:ascii="Calibri" w:hAnsi="Calibri" w:eastAsia="Microsoft YaHei" w:cs="Calibri"/>
          <w:b/>
          <w:color w:val="1F4E79"/>
          <w:sz w:val="24"/>
        </w:rPr>
        <w:t>Net economic effect as % of annualised Q3E earnings</w:t>
      </w:r>
    </w:p>
    <w:tbl>
      <w:tblPr>
        <w:tblStyle w:val="TableGrid"/>
        <w:tblW w:type="auto" w:w="0"/>
        <w:jc w:val="center"/>
        <w:tblLayout w:type="fixed"/>
        <w:tblLook w:firstColumn="1" w:firstRow="1" w:lastColumn="0" w:lastRow="0" w:noHBand="0" w:noVBand="1" w:val="04A0"/>
      </w:tblPr>
      <w:tblGrid>
        <w:gridCol w:w="588"/>
        <w:gridCol w:w="1602"/>
        <w:gridCol w:w="1693"/>
        <w:gridCol w:w="1693"/>
        <w:gridCol w:w="2045"/>
        <w:gridCol w:w="2131"/>
      </w:tblGrid>
      <w:tr>
        <w:trPr>
          <w:tblHeader w:val="true"/>
          <w:cantSplit/>
        </w:trPr>
        <w:tc>
          <w:tcPr>
            <w:tcW w:type="dxa" w:w="588"/>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1602"/>
            <w:shd w:val="clear" w:color="auto" w:fill="1F4E79"/>
          </w:tcPr>
          <w:p>
            <w:pPr>
              <w:spacing w:after="20" w:before="20" w:line="252" w:lineRule="auto"/>
              <w:jc w:val="center"/>
            </w:pPr>
            <w:r>
              <w:rPr>
                <w:rFonts w:ascii="Calibri" w:hAnsi="Calibri" w:eastAsia="Microsoft YaHei" w:cs="Calibri"/>
                <w:b/>
                <w:color w:val="FFFFFF"/>
                <w:sz w:val="17"/>
              </w:rPr>
              <w:t>+50bp parallel</w:t>
            </w:r>
          </w:p>
        </w:tc>
        <w:tc>
          <w:tcPr>
            <w:tcW w:type="dxa" w:w="1693"/>
            <w:shd w:val="clear" w:color="auto" w:fill="1F4E79"/>
          </w:tcPr>
          <w:p>
            <w:pPr>
              <w:spacing w:after="20" w:before="20" w:line="252" w:lineRule="auto"/>
              <w:jc w:val="center"/>
            </w:pPr>
            <w:r>
              <w:rPr>
                <w:rFonts w:ascii="Calibri" w:hAnsi="Calibri" w:eastAsia="Microsoft YaHei" w:cs="Calibri"/>
                <w:b/>
                <w:color w:val="FFFFFF"/>
                <w:sz w:val="17"/>
              </w:rPr>
              <w:t>+100bp parallel</w:t>
            </w:r>
          </w:p>
        </w:tc>
        <w:tc>
          <w:tcPr>
            <w:tcW w:type="dxa" w:w="1693"/>
            <w:shd w:val="clear" w:color="auto" w:fill="1F4E79"/>
          </w:tcPr>
          <w:p>
            <w:pPr>
              <w:spacing w:after="20" w:before="20" w:line="252" w:lineRule="auto"/>
              <w:jc w:val="center"/>
            </w:pPr>
            <w:r>
              <w:rPr>
                <w:rFonts w:ascii="Calibri" w:hAnsi="Calibri" w:eastAsia="Microsoft YaHei" w:cs="Calibri"/>
                <w:b/>
                <w:color w:val="FFFFFF"/>
                <w:sz w:val="17"/>
              </w:rPr>
              <w:t>+200bp parallel</w:t>
            </w:r>
          </w:p>
        </w:tc>
        <w:tc>
          <w:tcPr>
            <w:tcW w:type="dxa" w:w="2045"/>
            <w:shd w:val="clear" w:color="auto" w:fill="1F4E79"/>
          </w:tcPr>
          <w:p>
            <w:pPr>
              <w:spacing w:after="20" w:before="20" w:line="252" w:lineRule="auto"/>
              <w:jc w:val="center"/>
            </w:pPr>
            <w:r>
              <w:rPr>
                <w:rFonts w:ascii="Calibri" w:hAnsi="Calibri" w:eastAsia="Microsoft YaHei" w:cs="Calibri"/>
                <w:b/>
                <w:color w:val="FFFFFF"/>
                <w:sz w:val="17"/>
              </w:rPr>
              <w:t>Steepener long +100</w:t>
            </w:r>
          </w:p>
        </w:tc>
        <w:tc>
          <w:tcPr>
            <w:tcW w:type="dxa" w:w="2131"/>
            <w:shd w:val="clear" w:color="auto" w:fill="1F4E79"/>
          </w:tcPr>
          <w:p>
            <w:pPr>
              <w:spacing w:after="20" w:before="20" w:line="252" w:lineRule="auto"/>
              <w:jc w:val="center"/>
            </w:pPr>
            <w:r>
              <w:rPr>
                <w:rFonts w:ascii="Calibri" w:hAnsi="Calibri" w:eastAsia="Microsoft YaHei" w:cs="Calibri"/>
                <w:b/>
                <w:color w:val="FFFFFF"/>
                <w:sz w:val="17"/>
              </w:rPr>
              <w:t>Flattener short +100</w:t>
            </w:r>
          </w:p>
        </w:tc>
      </w:tr>
      <w:tr>
        <w:trPr>
          <w:cantSplit/>
        </w:trPr>
        <w:tc>
          <w:tcPr>
            <w:tcW w:type="dxa" w:w="588"/>
          </w:tcPr>
          <w:p>
            <w:pPr>
              <w:spacing w:after="20" w:before="20" w:line="252" w:lineRule="auto"/>
              <w:jc w:val="left"/>
            </w:pPr>
            <w:r>
              <w:rPr>
                <w:rFonts w:ascii="Calibri" w:hAnsi="Calibri" w:eastAsia="Microsoft YaHei" w:cs="Calibri"/>
                <w:sz w:val="17"/>
              </w:rPr>
              <w:t>JPM</w:t>
            </w:r>
          </w:p>
        </w:tc>
        <w:tc>
          <w:tcPr>
            <w:tcW w:type="dxa" w:w="1602"/>
          </w:tcPr>
          <w:p>
            <w:pPr>
              <w:spacing w:after="20" w:before="20" w:line="252" w:lineRule="auto"/>
              <w:jc w:val="center"/>
            </w:pPr>
            <w:r>
              <w:rPr>
                <w:rFonts w:ascii="Calibri" w:hAnsi="Calibri" w:eastAsia="Microsoft YaHei" w:cs="Calibri"/>
                <w:sz w:val="17"/>
              </w:rPr>
              <w:t>-11</w:t>
            </w:r>
          </w:p>
        </w:tc>
        <w:tc>
          <w:tcPr>
            <w:tcW w:type="dxa" w:w="1693"/>
          </w:tcPr>
          <w:p>
            <w:pPr>
              <w:spacing w:after="20" w:before="20" w:line="252" w:lineRule="auto"/>
              <w:jc w:val="center"/>
            </w:pPr>
            <w:r>
              <w:rPr>
                <w:rFonts w:ascii="Calibri" w:hAnsi="Calibri" w:eastAsia="Microsoft YaHei" w:cs="Calibri"/>
                <w:sz w:val="17"/>
              </w:rPr>
              <w:t>-22</w:t>
            </w:r>
          </w:p>
        </w:tc>
        <w:tc>
          <w:tcPr>
            <w:tcW w:type="dxa" w:w="1693"/>
          </w:tcPr>
          <w:p>
            <w:pPr>
              <w:spacing w:after="20" w:before="20" w:line="252" w:lineRule="auto"/>
              <w:jc w:val="center"/>
            </w:pPr>
            <w:r>
              <w:rPr>
                <w:rFonts w:ascii="Calibri" w:hAnsi="Calibri" w:eastAsia="Microsoft YaHei" w:cs="Calibri"/>
                <w:sz w:val="17"/>
              </w:rPr>
              <w:t>-44</w:t>
            </w:r>
          </w:p>
        </w:tc>
        <w:tc>
          <w:tcPr>
            <w:tcW w:type="dxa" w:w="2045"/>
          </w:tcPr>
          <w:p>
            <w:pPr>
              <w:spacing w:after="20" w:before="20" w:line="252" w:lineRule="auto"/>
              <w:jc w:val="center"/>
            </w:pPr>
            <w:r>
              <w:rPr>
                <w:rFonts w:ascii="Calibri" w:hAnsi="Calibri" w:eastAsia="Microsoft YaHei" w:cs="Calibri"/>
                <w:sz w:val="17"/>
              </w:rPr>
              <w:t>-22</w:t>
            </w:r>
          </w:p>
        </w:tc>
        <w:tc>
          <w:tcPr>
            <w:tcW w:type="dxa" w:w="2131"/>
          </w:tcPr>
          <w:p>
            <w:pPr>
              <w:spacing w:after="20" w:before="20" w:line="252" w:lineRule="auto"/>
              <w:jc w:val="center"/>
            </w:pPr>
            <w:r>
              <w:rPr>
                <w:rFonts w:ascii="Calibri" w:hAnsi="Calibri" w:eastAsia="Microsoft YaHei" w:cs="Calibri"/>
                <w:sz w:val="17"/>
              </w:rPr>
              <w:t>+1</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BAC</w:t>
            </w:r>
          </w:p>
        </w:tc>
        <w:tc>
          <w:tcPr>
            <w:tcW w:type="dxa" w:w="1602"/>
            <w:shd w:val="clear" w:color="auto" w:fill="F2F5F9"/>
          </w:tcPr>
          <w:p>
            <w:pPr>
              <w:spacing w:after="20" w:before="20" w:line="252" w:lineRule="auto"/>
              <w:jc w:val="center"/>
            </w:pPr>
            <w:r>
              <w:rPr>
                <w:rFonts w:ascii="Calibri" w:hAnsi="Calibri" w:eastAsia="Microsoft YaHei" w:cs="Calibri"/>
                <w:sz w:val="17"/>
              </w:rPr>
              <w:t>-34</w:t>
            </w:r>
          </w:p>
        </w:tc>
        <w:tc>
          <w:tcPr>
            <w:tcW w:type="dxa" w:w="1693"/>
            <w:shd w:val="clear" w:color="auto" w:fill="F2F5F9"/>
          </w:tcPr>
          <w:p>
            <w:pPr>
              <w:spacing w:after="20" w:before="20" w:line="252" w:lineRule="auto"/>
              <w:jc w:val="center"/>
            </w:pPr>
            <w:r>
              <w:rPr>
                <w:rFonts w:ascii="Calibri" w:hAnsi="Calibri" w:eastAsia="Microsoft YaHei" w:cs="Calibri"/>
                <w:sz w:val="17"/>
              </w:rPr>
              <w:t>-68</w:t>
            </w:r>
          </w:p>
        </w:tc>
        <w:tc>
          <w:tcPr>
            <w:tcW w:type="dxa" w:w="1693"/>
            <w:shd w:val="clear" w:color="auto" w:fill="F2F5F9"/>
          </w:tcPr>
          <w:p>
            <w:pPr>
              <w:spacing w:after="20" w:before="20" w:line="252" w:lineRule="auto"/>
              <w:jc w:val="center"/>
            </w:pPr>
            <w:r>
              <w:rPr>
                <w:rFonts w:ascii="Calibri" w:hAnsi="Calibri" w:eastAsia="Microsoft YaHei" w:cs="Calibri"/>
                <w:sz w:val="17"/>
              </w:rPr>
              <w:t>-136</w:t>
            </w:r>
          </w:p>
        </w:tc>
        <w:tc>
          <w:tcPr>
            <w:tcW w:type="dxa" w:w="2045"/>
            <w:shd w:val="clear" w:color="auto" w:fill="F2F5F9"/>
          </w:tcPr>
          <w:p>
            <w:pPr>
              <w:spacing w:after="20" w:before="20" w:line="252" w:lineRule="auto"/>
              <w:jc w:val="center"/>
            </w:pPr>
            <w:r>
              <w:rPr>
                <w:rFonts w:ascii="Calibri" w:hAnsi="Calibri" w:eastAsia="Microsoft YaHei" w:cs="Calibri"/>
                <w:sz w:val="17"/>
              </w:rPr>
              <w:t>-70</w:t>
            </w:r>
          </w:p>
        </w:tc>
        <w:tc>
          <w:tcPr>
            <w:tcW w:type="dxa" w:w="2131"/>
            <w:shd w:val="clear" w:color="auto" w:fill="F2F5F9"/>
          </w:tcPr>
          <w:p>
            <w:pPr>
              <w:spacing w:after="20" w:before="20" w:line="252" w:lineRule="auto"/>
              <w:jc w:val="center"/>
            </w:pPr>
            <w:r>
              <w:rPr>
                <w:rFonts w:ascii="Calibri" w:hAnsi="Calibri" w:eastAsia="Microsoft YaHei" w:cs="Calibri"/>
                <w:sz w:val="17"/>
              </w:rPr>
              <w:t>+2</w:t>
            </w:r>
          </w:p>
        </w:tc>
      </w:tr>
      <w:tr>
        <w:trPr>
          <w:cantSplit/>
        </w:trPr>
        <w:tc>
          <w:tcPr>
            <w:tcW w:type="dxa" w:w="588"/>
          </w:tcPr>
          <w:p>
            <w:pPr>
              <w:spacing w:after="20" w:before="20" w:line="252" w:lineRule="auto"/>
              <w:jc w:val="left"/>
            </w:pPr>
            <w:r>
              <w:rPr>
                <w:rFonts w:ascii="Calibri" w:hAnsi="Calibri" w:eastAsia="Microsoft YaHei" w:cs="Calibri"/>
                <w:sz w:val="17"/>
              </w:rPr>
              <w:t>C</w:t>
            </w:r>
          </w:p>
        </w:tc>
        <w:tc>
          <w:tcPr>
            <w:tcW w:type="dxa" w:w="1602"/>
          </w:tcPr>
          <w:p>
            <w:pPr>
              <w:spacing w:after="20" w:before="20" w:line="252" w:lineRule="auto"/>
              <w:jc w:val="center"/>
            </w:pPr>
            <w:r>
              <w:rPr>
                <w:rFonts w:ascii="Calibri" w:hAnsi="Calibri" w:eastAsia="Microsoft YaHei" w:cs="Calibri"/>
                <w:sz w:val="17"/>
              </w:rPr>
              <w:t>-19</w:t>
            </w:r>
          </w:p>
        </w:tc>
        <w:tc>
          <w:tcPr>
            <w:tcW w:type="dxa" w:w="1693"/>
          </w:tcPr>
          <w:p>
            <w:pPr>
              <w:spacing w:after="20" w:before="20" w:line="252" w:lineRule="auto"/>
              <w:jc w:val="center"/>
            </w:pPr>
            <w:r>
              <w:rPr>
                <w:rFonts w:ascii="Calibri" w:hAnsi="Calibri" w:eastAsia="Microsoft YaHei" w:cs="Calibri"/>
                <w:sz w:val="17"/>
              </w:rPr>
              <w:t>-39</w:t>
            </w:r>
          </w:p>
        </w:tc>
        <w:tc>
          <w:tcPr>
            <w:tcW w:type="dxa" w:w="1693"/>
          </w:tcPr>
          <w:p>
            <w:pPr>
              <w:spacing w:after="20" w:before="20" w:line="252" w:lineRule="auto"/>
              <w:jc w:val="center"/>
            </w:pPr>
            <w:r>
              <w:rPr>
                <w:rFonts w:ascii="Calibri" w:hAnsi="Calibri" w:eastAsia="Microsoft YaHei" w:cs="Calibri"/>
                <w:sz w:val="17"/>
              </w:rPr>
              <w:t>-79</w:t>
            </w:r>
          </w:p>
        </w:tc>
        <w:tc>
          <w:tcPr>
            <w:tcW w:type="dxa" w:w="2045"/>
          </w:tcPr>
          <w:p>
            <w:pPr>
              <w:spacing w:after="20" w:before="20" w:line="252" w:lineRule="auto"/>
              <w:jc w:val="center"/>
            </w:pPr>
            <w:r>
              <w:rPr>
                <w:rFonts w:ascii="Calibri" w:hAnsi="Calibri" w:eastAsia="Microsoft YaHei" w:cs="Calibri"/>
                <w:sz w:val="17"/>
              </w:rPr>
              <w:t>-32</w:t>
            </w:r>
          </w:p>
        </w:tc>
        <w:tc>
          <w:tcPr>
            <w:tcW w:type="dxa" w:w="2131"/>
          </w:tcPr>
          <w:p>
            <w:pPr>
              <w:spacing w:after="20" w:before="20" w:line="252" w:lineRule="auto"/>
              <w:jc w:val="center"/>
            </w:pPr>
            <w:r>
              <w:rPr>
                <w:rFonts w:ascii="Calibri" w:hAnsi="Calibri" w:eastAsia="Microsoft YaHei" w:cs="Calibri"/>
                <w:sz w:val="17"/>
              </w:rPr>
              <w:t>-8</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WFC</w:t>
            </w:r>
          </w:p>
        </w:tc>
        <w:tc>
          <w:tcPr>
            <w:tcW w:type="dxa" w:w="1602"/>
            <w:shd w:val="clear" w:color="auto" w:fill="F2F5F9"/>
          </w:tcPr>
          <w:p>
            <w:pPr>
              <w:spacing w:after="20" w:before="20" w:line="252" w:lineRule="auto"/>
              <w:jc w:val="center"/>
            </w:pPr>
            <w:r>
              <w:rPr>
                <w:rFonts w:ascii="Calibri" w:hAnsi="Calibri" w:eastAsia="Microsoft YaHei" w:cs="Calibri"/>
                <w:sz w:val="17"/>
              </w:rPr>
              <w:t>-25</w:t>
            </w:r>
          </w:p>
        </w:tc>
        <w:tc>
          <w:tcPr>
            <w:tcW w:type="dxa" w:w="1693"/>
            <w:shd w:val="clear" w:color="auto" w:fill="F2F5F9"/>
          </w:tcPr>
          <w:p>
            <w:pPr>
              <w:spacing w:after="20" w:before="20" w:line="252" w:lineRule="auto"/>
              <w:jc w:val="center"/>
            </w:pPr>
            <w:r>
              <w:rPr>
                <w:rFonts w:ascii="Calibri" w:hAnsi="Calibri" w:eastAsia="Microsoft YaHei" w:cs="Calibri"/>
                <w:sz w:val="17"/>
              </w:rPr>
              <w:t>-51</w:t>
            </w:r>
          </w:p>
        </w:tc>
        <w:tc>
          <w:tcPr>
            <w:tcW w:type="dxa" w:w="1693"/>
            <w:shd w:val="clear" w:color="auto" w:fill="F2F5F9"/>
          </w:tcPr>
          <w:p>
            <w:pPr>
              <w:spacing w:after="20" w:before="20" w:line="252" w:lineRule="auto"/>
              <w:jc w:val="center"/>
            </w:pPr>
            <w:r>
              <w:rPr>
                <w:rFonts w:ascii="Calibri" w:hAnsi="Calibri" w:eastAsia="Microsoft YaHei" w:cs="Calibri"/>
                <w:sz w:val="17"/>
              </w:rPr>
              <w:t>-102</w:t>
            </w:r>
          </w:p>
        </w:tc>
        <w:tc>
          <w:tcPr>
            <w:tcW w:type="dxa" w:w="2045"/>
            <w:shd w:val="clear" w:color="auto" w:fill="F2F5F9"/>
          </w:tcPr>
          <w:p>
            <w:pPr>
              <w:spacing w:after="20" w:before="20" w:line="252" w:lineRule="auto"/>
              <w:jc w:val="center"/>
            </w:pPr>
            <w:r>
              <w:rPr>
                <w:rFonts w:ascii="Calibri" w:hAnsi="Calibri" w:eastAsia="Microsoft YaHei" w:cs="Calibri"/>
                <w:sz w:val="17"/>
              </w:rPr>
              <w:t>-54</w:t>
            </w:r>
          </w:p>
        </w:tc>
        <w:tc>
          <w:tcPr>
            <w:tcW w:type="dxa" w:w="2131"/>
            <w:shd w:val="clear" w:color="auto" w:fill="F2F5F9"/>
          </w:tcPr>
          <w:p>
            <w:pPr>
              <w:spacing w:after="20" w:before="20" w:line="252" w:lineRule="auto"/>
              <w:jc w:val="center"/>
            </w:pPr>
            <w:r>
              <w:rPr>
                <w:rFonts w:ascii="Calibri" w:hAnsi="Calibri" w:eastAsia="Microsoft YaHei" w:cs="Calibri"/>
                <w:sz w:val="17"/>
              </w:rPr>
              <w:t>+3</w:t>
            </w:r>
          </w:p>
        </w:tc>
      </w:tr>
      <w:tr>
        <w:trPr>
          <w:cantSplit/>
        </w:trPr>
        <w:tc>
          <w:tcPr>
            <w:tcW w:type="dxa" w:w="588"/>
          </w:tcPr>
          <w:p>
            <w:pPr>
              <w:spacing w:after="20" w:before="20" w:line="252" w:lineRule="auto"/>
              <w:jc w:val="left"/>
            </w:pPr>
            <w:r>
              <w:rPr>
                <w:rFonts w:ascii="Calibri" w:hAnsi="Calibri" w:eastAsia="Microsoft YaHei" w:cs="Calibri"/>
                <w:sz w:val="17"/>
              </w:rPr>
              <w:t>GS</w:t>
            </w:r>
          </w:p>
        </w:tc>
        <w:tc>
          <w:tcPr>
            <w:tcW w:type="dxa" w:w="1602"/>
          </w:tcPr>
          <w:p>
            <w:pPr>
              <w:spacing w:after="20" w:before="20" w:line="252" w:lineRule="auto"/>
              <w:jc w:val="center"/>
            </w:pPr>
            <w:r>
              <w:rPr>
                <w:rFonts w:ascii="Calibri" w:hAnsi="Calibri" w:eastAsia="Microsoft YaHei" w:cs="Calibri"/>
                <w:sz w:val="17"/>
              </w:rPr>
              <w:t>-13</w:t>
            </w:r>
          </w:p>
        </w:tc>
        <w:tc>
          <w:tcPr>
            <w:tcW w:type="dxa" w:w="1693"/>
          </w:tcPr>
          <w:p>
            <w:pPr>
              <w:spacing w:after="20" w:before="20" w:line="252" w:lineRule="auto"/>
              <w:jc w:val="center"/>
            </w:pPr>
            <w:r>
              <w:rPr>
                <w:rFonts w:ascii="Calibri" w:hAnsi="Calibri" w:eastAsia="Microsoft YaHei" w:cs="Calibri"/>
                <w:sz w:val="17"/>
              </w:rPr>
              <w:t>-27</w:t>
            </w:r>
          </w:p>
        </w:tc>
        <w:tc>
          <w:tcPr>
            <w:tcW w:type="dxa" w:w="1693"/>
          </w:tcPr>
          <w:p>
            <w:pPr>
              <w:spacing w:after="20" w:before="20" w:line="252" w:lineRule="auto"/>
              <w:jc w:val="center"/>
            </w:pPr>
            <w:r>
              <w:rPr>
                <w:rFonts w:ascii="Calibri" w:hAnsi="Calibri" w:eastAsia="Microsoft YaHei" w:cs="Calibri"/>
                <w:sz w:val="17"/>
              </w:rPr>
              <w:t>-54</w:t>
            </w:r>
          </w:p>
        </w:tc>
        <w:tc>
          <w:tcPr>
            <w:tcW w:type="dxa" w:w="2045"/>
          </w:tcPr>
          <w:p>
            <w:pPr>
              <w:spacing w:after="20" w:before="20" w:line="252" w:lineRule="auto"/>
              <w:jc w:val="center"/>
            </w:pPr>
            <w:r>
              <w:rPr>
                <w:rFonts w:ascii="Calibri" w:hAnsi="Calibri" w:eastAsia="Microsoft YaHei" w:cs="Calibri"/>
                <w:sz w:val="17"/>
              </w:rPr>
              <w:t>n/a</w:t>
            </w:r>
          </w:p>
        </w:tc>
        <w:tc>
          <w:tcPr>
            <w:tcW w:type="dxa" w:w="2131"/>
          </w:tcPr>
          <w:p>
            <w:pPr>
              <w:spacing w:after="20" w:before="20" w:line="252" w:lineRule="auto"/>
              <w:jc w:val="center"/>
            </w:pPr>
            <w:r>
              <w:rPr>
                <w:rFonts w:ascii="Calibri" w:hAnsi="Calibri" w:eastAsia="Microsoft YaHei" w:cs="Calibri"/>
                <w:sz w:val="17"/>
              </w:rPr>
              <w:t>n/a</w:t>
            </w:r>
          </w:p>
        </w:tc>
      </w:tr>
      <w:tr>
        <w:trPr>
          <w:cantSplit/>
        </w:trPr>
        <w:tc>
          <w:tcPr>
            <w:tcW w:type="dxa" w:w="588"/>
            <w:shd w:val="clear" w:color="auto" w:fill="F2F5F9"/>
          </w:tcPr>
          <w:p>
            <w:pPr>
              <w:spacing w:after="20" w:before="20" w:line="252" w:lineRule="auto"/>
              <w:jc w:val="left"/>
            </w:pPr>
            <w:r>
              <w:rPr>
                <w:rFonts w:ascii="Calibri" w:hAnsi="Calibri" w:eastAsia="Microsoft YaHei" w:cs="Calibri"/>
                <w:sz w:val="17"/>
              </w:rPr>
              <w:t>MS</w:t>
            </w:r>
          </w:p>
        </w:tc>
        <w:tc>
          <w:tcPr>
            <w:tcW w:type="dxa" w:w="1602"/>
            <w:shd w:val="clear" w:color="auto" w:fill="F2F5F9"/>
          </w:tcPr>
          <w:p>
            <w:pPr>
              <w:spacing w:after="20" w:before="20" w:line="252" w:lineRule="auto"/>
              <w:jc w:val="center"/>
            </w:pPr>
            <w:r>
              <w:rPr>
                <w:rFonts w:ascii="Calibri" w:hAnsi="Calibri" w:eastAsia="Microsoft YaHei" w:cs="Calibri"/>
                <w:sz w:val="17"/>
              </w:rPr>
              <w:t>-8</w:t>
            </w:r>
          </w:p>
        </w:tc>
        <w:tc>
          <w:tcPr>
            <w:tcW w:type="dxa" w:w="1693"/>
            <w:shd w:val="clear" w:color="auto" w:fill="F2F5F9"/>
          </w:tcPr>
          <w:p>
            <w:pPr>
              <w:spacing w:after="20" w:before="20" w:line="252" w:lineRule="auto"/>
              <w:jc w:val="center"/>
            </w:pPr>
            <w:r>
              <w:rPr>
                <w:rFonts w:ascii="Calibri" w:hAnsi="Calibri" w:eastAsia="Microsoft YaHei" w:cs="Calibri"/>
                <w:sz w:val="17"/>
              </w:rPr>
              <w:t>-17</w:t>
            </w:r>
          </w:p>
        </w:tc>
        <w:tc>
          <w:tcPr>
            <w:tcW w:type="dxa" w:w="1693"/>
            <w:shd w:val="clear" w:color="auto" w:fill="F2F5F9"/>
          </w:tcPr>
          <w:p>
            <w:pPr>
              <w:spacing w:after="20" w:before="20" w:line="252" w:lineRule="auto"/>
              <w:jc w:val="center"/>
            </w:pPr>
            <w:r>
              <w:rPr>
                <w:rFonts w:ascii="Calibri" w:hAnsi="Calibri" w:eastAsia="Microsoft YaHei" w:cs="Calibri"/>
                <w:sz w:val="17"/>
              </w:rPr>
              <w:t>-34</w:t>
            </w:r>
          </w:p>
        </w:tc>
        <w:tc>
          <w:tcPr>
            <w:tcW w:type="dxa" w:w="2045"/>
            <w:shd w:val="clear" w:color="auto" w:fill="F2F5F9"/>
          </w:tcPr>
          <w:p>
            <w:pPr>
              <w:spacing w:after="20" w:before="20" w:line="252" w:lineRule="auto"/>
              <w:jc w:val="center"/>
            </w:pPr>
            <w:r>
              <w:rPr>
                <w:rFonts w:ascii="Calibri" w:hAnsi="Calibri" w:eastAsia="Microsoft YaHei" w:cs="Calibri"/>
                <w:sz w:val="17"/>
              </w:rPr>
              <w:t>n/a</w:t>
            </w:r>
          </w:p>
        </w:tc>
        <w:tc>
          <w:tcPr>
            <w:tcW w:type="dxa" w:w="2131"/>
            <w:shd w:val="clear" w:color="auto" w:fill="F2F5F9"/>
          </w:tcPr>
          <w:p>
            <w:pPr>
              <w:spacing w:after="20" w:before="20" w:line="252" w:lineRule="auto"/>
              <w:jc w:val="center"/>
            </w:pPr>
            <w:r>
              <w:rPr>
                <w:rFonts w:ascii="Calibri" w:hAnsi="Calibri" w:eastAsia="Microsoft YaHei" w:cs="Calibri"/>
                <w:sz w:val="17"/>
              </w:rPr>
              <w:t>n/a</w:t>
            </w:r>
          </w:p>
        </w:tc>
      </w:tr>
    </w:tbl>
    <w:p>
      <w:pPr>
        <w:spacing w:after="40"/>
      </w:pPr>
    </w:p>
    <w:p>
      <w:pPr>
        <w:pStyle w:val="Heading3"/>
      </w:pPr>
      <w:r>
        <w:rPr>
          <w:rFonts w:ascii="Calibri" w:hAnsi="Calibri" w:eastAsia="Microsoft YaHei" w:cs="Calibri"/>
          <w:b/>
          <w:color w:val="1F4E79"/>
          <w:sz w:val="24"/>
        </w:rPr>
        <w:t>Composition of the +100bp parallel scenario ($bn)</w:t>
      </w:r>
    </w:p>
    <w:tbl>
      <w:tblPr>
        <w:tblStyle w:val="TableGrid"/>
        <w:tblW w:type="auto" w:w="0"/>
        <w:jc w:val="center"/>
        <w:tblLayout w:type="fixed"/>
        <w:tblLook w:firstColumn="1" w:firstRow="1" w:lastColumn="0" w:lastRow="0" w:noHBand="0" w:noVBand="1" w:val="04A0"/>
      </w:tblPr>
      <w:tblGrid>
        <w:gridCol w:w="586"/>
        <w:gridCol w:w="2037"/>
        <w:gridCol w:w="1020"/>
        <w:gridCol w:w="2122"/>
        <w:gridCol w:w="1951"/>
        <w:gridCol w:w="2037"/>
      </w:tblGrid>
      <w:tr>
        <w:trPr>
          <w:tblHeader w:val="true"/>
          <w:cantSplit/>
        </w:trPr>
        <w:tc>
          <w:tcPr>
            <w:tcW w:type="dxa" w:w="586"/>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2037"/>
            <w:shd w:val="clear" w:color="auto" w:fill="1F4E79"/>
          </w:tcPr>
          <w:p>
            <w:pPr>
              <w:spacing w:after="20" w:before="20" w:line="252" w:lineRule="auto"/>
              <w:jc w:val="center"/>
            </w:pPr>
            <w:r>
              <w:rPr>
                <w:rFonts w:ascii="Calibri" w:hAnsi="Calibri" w:eastAsia="Microsoft YaHei" w:cs="Calibri"/>
                <w:b/>
                <w:color w:val="FFFFFF"/>
                <w:sz w:val="17"/>
              </w:rPr>
              <w:t>12M NII (after tax)</w:t>
            </w:r>
          </w:p>
        </w:tc>
        <w:tc>
          <w:tcPr>
            <w:tcW w:type="dxa" w:w="1020"/>
            <w:shd w:val="clear" w:color="auto" w:fill="1F4E79"/>
          </w:tcPr>
          <w:p>
            <w:pPr>
              <w:spacing w:after="20" w:before="20" w:line="252" w:lineRule="auto"/>
              <w:jc w:val="center"/>
            </w:pPr>
            <w:r>
              <w:rPr>
                <w:rFonts w:ascii="Calibri" w:hAnsi="Calibri" w:eastAsia="Microsoft YaHei" w:cs="Calibri"/>
                <w:b/>
                <w:color w:val="FFFFFF"/>
                <w:sz w:val="17"/>
              </w:rPr>
              <w:t>AFS→AOCI</w:t>
            </w:r>
          </w:p>
        </w:tc>
        <w:tc>
          <w:tcPr>
            <w:tcW w:type="dxa" w:w="2122"/>
            <w:shd w:val="clear" w:color="auto" w:fill="1F4E79"/>
          </w:tcPr>
          <w:p>
            <w:pPr>
              <w:spacing w:after="20" w:before="20" w:line="252" w:lineRule="auto"/>
              <w:jc w:val="center"/>
            </w:pPr>
            <w:r>
              <w:rPr>
                <w:rFonts w:ascii="Calibri" w:hAnsi="Calibri" w:eastAsia="Microsoft YaHei" w:cs="Calibri"/>
                <w:b/>
                <w:color w:val="FFFFFF"/>
                <w:sz w:val="17"/>
              </w:rPr>
              <w:t>HTM mark (after tax)</w:t>
            </w:r>
          </w:p>
        </w:tc>
        <w:tc>
          <w:tcPr>
            <w:tcW w:type="dxa" w:w="1951"/>
            <w:shd w:val="clear" w:color="auto" w:fill="1F4E79"/>
          </w:tcPr>
          <w:p>
            <w:pPr>
              <w:spacing w:after="20" w:before="20" w:line="252" w:lineRule="auto"/>
              <w:jc w:val="center"/>
            </w:pPr>
            <w:r>
              <w:rPr>
                <w:rFonts w:ascii="Calibri" w:hAnsi="Calibri" w:eastAsia="Microsoft YaHei" w:cs="Calibri"/>
                <w:b/>
                <w:color w:val="FFFFFF"/>
                <w:sz w:val="17"/>
              </w:rPr>
              <w:t>Net capital effect</w:t>
            </w:r>
          </w:p>
        </w:tc>
        <w:tc>
          <w:tcPr>
            <w:tcW w:type="dxa" w:w="2037"/>
            <w:shd w:val="clear" w:color="auto" w:fill="1F4E79"/>
          </w:tcPr>
          <w:p>
            <w:pPr>
              <w:spacing w:after="20" w:before="20" w:line="252" w:lineRule="auto"/>
              <w:jc w:val="center"/>
            </w:pPr>
            <w:r>
              <w:rPr>
                <w:rFonts w:ascii="Calibri" w:hAnsi="Calibri" w:eastAsia="Microsoft YaHei" w:cs="Calibri"/>
                <w:b/>
                <w:color w:val="FFFFFF"/>
                <w:sz w:val="17"/>
              </w:rPr>
              <w:t>Net economic effect</w:t>
            </w:r>
          </w:p>
        </w:tc>
      </w:tr>
      <w:tr>
        <w:trPr>
          <w:cantSplit/>
        </w:trPr>
        <w:tc>
          <w:tcPr>
            <w:tcW w:type="dxa" w:w="586"/>
          </w:tcPr>
          <w:p>
            <w:pPr>
              <w:spacing w:after="20" w:before="20" w:line="252" w:lineRule="auto"/>
              <w:jc w:val="left"/>
            </w:pPr>
            <w:r>
              <w:rPr>
                <w:rFonts w:ascii="Calibri" w:hAnsi="Calibri" w:eastAsia="Microsoft YaHei" w:cs="Calibri"/>
                <w:sz w:val="17"/>
              </w:rPr>
              <w:t>JPM</w:t>
            </w:r>
          </w:p>
        </w:tc>
        <w:tc>
          <w:tcPr>
            <w:tcW w:type="dxa" w:w="2037"/>
          </w:tcPr>
          <w:p>
            <w:pPr>
              <w:spacing w:after="20" w:before="20" w:line="252" w:lineRule="auto"/>
              <w:jc w:val="center"/>
            </w:pPr>
            <w:r>
              <w:rPr>
                <w:rFonts w:ascii="Calibri" w:hAnsi="Calibri" w:eastAsia="Microsoft YaHei" w:cs="Calibri"/>
                <w:sz w:val="17"/>
              </w:rPr>
              <w:t>+1.37</w:t>
            </w:r>
          </w:p>
        </w:tc>
        <w:tc>
          <w:tcPr>
            <w:tcW w:type="dxa" w:w="1020"/>
          </w:tcPr>
          <w:p>
            <w:pPr>
              <w:spacing w:after="20" w:before="20" w:line="252" w:lineRule="auto"/>
              <w:jc w:val="center"/>
            </w:pPr>
            <w:r>
              <w:rPr>
                <w:rFonts w:ascii="Calibri" w:hAnsi="Calibri" w:eastAsia="Microsoft YaHei" w:cs="Calibri"/>
                <w:sz w:val="17"/>
              </w:rPr>
              <w:t>-9.38</w:t>
            </w:r>
          </w:p>
        </w:tc>
        <w:tc>
          <w:tcPr>
            <w:tcW w:type="dxa" w:w="2122"/>
          </w:tcPr>
          <w:p>
            <w:pPr>
              <w:spacing w:after="20" w:before="20" w:line="252" w:lineRule="auto"/>
              <w:jc w:val="center"/>
            </w:pPr>
            <w:r>
              <w:rPr>
                <w:rFonts w:ascii="Calibri" w:hAnsi="Calibri" w:eastAsia="Microsoft YaHei" w:cs="Calibri"/>
                <w:sz w:val="17"/>
              </w:rPr>
              <w:t>-6.04</w:t>
            </w:r>
          </w:p>
        </w:tc>
        <w:tc>
          <w:tcPr>
            <w:tcW w:type="dxa" w:w="1951"/>
          </w:tcPr>
          <w:p>
            <w:pPr>
              <w:spacing w:after="20" w:before="20" w:line="252" w:lineRule="auto"/>
              <w:jc w:val="center"/>
            </w:pPr>
            <w:r>
              <w:rPr>
                <w:rFonts w:ascii="Calibri" w:hAnsi="Calibri" w:eastAsia="Microsoft YaHei" w:cs="Calibri"/>
                <w:sz w:val="17"/>
              </w:rPr>
              <w:t>-8.01</w:t>
            </w:r>
          </w:p>
        </w:tc>
        <w:tc>
          <w:tcPr>
            <w:tcW w:type="dxa" w:w="2037"/>
          </w:tcPr>
          <w:p>
            <w:pPr>
              <w:spacing w:after="20" w:before="20" w:line="252" w:lineRule="auto"/>
              <w:jc w:val="center"/>
            </w:pPr>
            <w:r>
              <w:rPr>
                <w:rFonts w:ascii="Calibri" w:hAnsi="Calibri" w:eastAsia="Microsoft YaHei" w:cs="Calibri"/>
                <w:sz w:val="17"/>
              </w:rPr>
              <w:t>-14.05</w:t>
            </w:r>
          </w:p>
        </w:tc>
      </w:tr>
      <w:tr>
        <w:trPr>
          <w:cantSplit/>
        </w:trPr>
        <w:tc>
          <w:tcPr>
            <w:tcW w:type="dxa" w:w="586"/>
            <w:shd w:val="clear" w:color="auto" w:fill="F2F5F9"/>
          </w:tcPr>
          <w:p>
            <w:pPr>
              <w:spacing w:after="20" w:before="20" w:line="252" w:lineRule="auto"/>
              <w:jc w:val="left"/>
            </w:pPr>
            <w:r>
              <w:rPr>
                <w:rFonts w:ascii="Calibri" w:hAnsi="Calibri" w:eastAsia="Microsoft YaHei" w:cs="Calibri"/>
                <w:sz w:val="17"/>
              </w:rPr>
              <w:t>BAC</w:t>
            </w:r>
          </w:p>
        </w:tc>
        <w:tc>
          <w:tcPr>
            <w:tcW w:type="dxa" w:w="2037"/>
            <w:shd w:val="clear" w:color="auto" w:fill="F2F5F9"/>
          </w:tcPr>
          <w:p>
            <w:pPr>
              <w:spacing w:after="20" w:before="20" w:line="252" w:lineRule="auto"/>
              <w:jc w:val="center"/>
            </w:pPr>
            <w:r>
              <w:rPr>
                <w:rFonts w:ascii="Calibri" w:hAnsi="Calibri" w:eastAsia="Microsoft YaHei" w:cs="Calibri"/>
                <w:sz w:val="17"/>
              </w:rPr>
              <w:t>+0.76</w:t>
            </w:r>
          </w:p>
        </w:tc>
        <w:tc>
          <w:tcPr>
            <w:tcW w:type="dxa" w:w="1020"/>
            <w:shd w:val="clear" w:color="auto" w:fill="F2F5F9"/>
          </w:tcPr>
          <w:p>
            <w:pPr>
              <w:spacing w:after="20" w:before="20" w:line="252" w:lineRule="auto"/>
              <w:jc w:val="center"/>
            </w:pPr>
            <w:r>
              <w:rPr>
                <w:rFonts w:ascii="Calibri" w:hAnsi="Calibri" w:eastAsia="Microsoft YaHei" w:cs="Calibri"/>
                <w:sz w:val="17"/>
              </w:rPr>
              <w:t>-2.77</w:t>
            </w:r>
          </w:p>
        </w:tc>
        <w:tc>
          <w:tcPr>
            <w:tcW w:type="dxa" w:w="2122"/>
            <w:shd w:val="clear" w:color="auto" w:fill="F2F5F9"/>
          </w:tcPr>
          <w:p>
            <w:pPr>
              <w:spacing w:after="20" w:before="20" w:line="252" w:lineRule="auto"/>
              <w:jc w:val="center"/>
            </w:pPr>
            <w:r>
              <w:rPr>
                <w:rFonts w:ascii="Calibri" w:hAnsi="Calibri" w:eastAsia="Microsoft YaHei" w:cs="Calibri"/>
                <w:sz w:val="17"/>
              </w:rPr>
              <w:t>-19.30</w:t>
            </w:r>
          </w:p>
        </w:tc>
        <w:tc>
          <w:tcPr>
            <w:tcW w:type="dxa" w:w="1951"/>
            <w:shd w:val="clear" w:color="auto" w:fill="F2F5F9"/>
          </w:tcPr>
          <w:p>
            <w:pPr>
              <w:spacing w:after="20" w:before="20" w:line="252" w:lineRule="auto"/>
              <w:jc w:val="center"/>
            </w:pPr>
            <w:r>
              <w:rPr>
                <w:rFonts w:ascii="Calibri" w:hAnsi="Calibri" w:eastAsia="Microsoft YaHei" w:cs="Calibri"/>
                <w:sz w:val="17"/>
              </w:rPr>
              <w:t>-2.01</w:t>
            </w:r>
          </w:p>
        </w:tc>
        <w:tc>
          <w:tcPr>
            <w:tcW w:type="dxa" w:w="2037"/>
            <w:shd w:val="clear" w:color="auto" w:fill="F2F5F9"/>
          </w:tcPr>
          <w:p>
            <w:pPr>
              <w:spacing w:after="20" w:before="20" w:line="252" w:lineRule="auto"/>
              <w:jc w:val="center"/>
            </w:pPr>
            <w:r>
              <w:rPr>
                <w:rFonts w:ascii="Calibri" w:hAnsi="Calibri" w:eastAsia="Microsoft YaHei" w:cs="Calibri"/>
                <w:sz w:val="17"/>
              </w:rPr>
              <w:t>-21.31</w:t>
            </w:r>
          </w:p>
        </w:tc>
      </w:tr>
      <w:tr>
        <w:trPr>
          <w:cantSplit/>
        </w:trPr>
        <w:tc>
          <w:tcPr>
            <w:tcW w:type="dxa" w:w="586"/>
          </w:tcPr>
          <w:p>
            <w:pPr>
              <w:spacing w:after="20" w:before="20" w:line="252" w:lineRule="auto"/>
              <w:jc w:val="left"/>
            </w:pPr>
            <w:r>
              <w:rPr>
                <w:rFonts w:ascii="Calibri" w:hAnsi="Calibri" w:eastAsia="Microsoft YaHei" w:cs="Calibri"/>
                <w:sz w:val="17"/>
              </w:rPr>
              <w:t>C</w:t>
            </w:r>
          </w:p>
        </w:tc>
        <w:tc>
          <w:tcPr>
            <w:tcW w:type="dxa" w:w="2037"/>
          </w:tcPr>
          <w:p>
            <w:pPr>
              <w:spacing w:after="20" w:before="20" w:line="252" w:lineRule="auto"/>
              <w:jc w:val="center"/>
            </w:pPr>
            <w:r>
              <w:rPr>
                <w:rFonts w:ascii="Calibri" w:hAnsi="Calibri" w:eastAsia="Microsoft YaHei" w:cs="Calibri"/>
                <w:sz w:val="17"/>
              </w:rPr>
              <w:t>+0.94</w:t>
            </w:r>
          </w:p>
        </w:tc>
        <w:tc>
          <w:tcPr>
            <w:tcW w:type="dxa" w:w="1020"/>
          </w:tcPr>
          <w:p>
            <w:pPr>
              <w:spacing w:after="20" w:before="20" w:line="252" w:lineRule="auto"/>
              <w:jc w:val="center"/>
            </w:pPr>
            <w:r>
              <w:rPr>
                <w:rFonts w:ascii="Calibri" w:hAnsi="Calibri" w:eastAsia="Microsoft YaHei" w:cs="Calibri"/>
                <w:sz w:val="17"/>
              </w:rPr>
              <w:t>-3.05</w:t>
            </w:r>
          </w:p>
        </w:tc>
        <w:tc>
          <w:tcPr>
            <w:tcW w:type="dxa" w:w="2122"/>
          </w:tcPr>
          <w:p>
            <w:pPr>
              <w:spacing w:after="20" w:before="20" w:line="252" w:lineRule="auto"/>
              <w:jc w:val="center"/>
            </w:pPr>
            <w:r>
              <w:rPr>
                <w:rFonts w:ascii="Calibri" w:hAnsi="Calibri" w:eastAsia="Microsoft YaHei" w:cs="Calibri"/>
                <w:sz w:val="17"/>
              </w:rPr>
              <w:t>-5.74</w:t>
            </w:r>
          </w:p>
        </w:tc>
        <w:tc>
          <w:tcPr>
            <w:tcW w:type="dxa" w:w="1951"/>
          </w:tcPr>
          <w:p>
            <w:pPr>
              <w:spacing w:after="20" w:before="20" w:line="252" w:lineRule="auto"/>
              <w:jc w:val="center"/>
            </w:pPr>
            <w:r>
              <w:rPr>
                <w:rFonts w:ascii="Calibri" w:hAnsi="Calibri" w:eastAsia="Microsoft YaHei" w:cs="Calibri"/>
                <w:sz w:val="17"/>
              </w:rPr>
              <w:t>-2.11</w:t>
            </w:r>
          </w:p>
        </w:tc>
        <w:tc>
          <w:tcPr>
            <w:tcW w:type="dxa" w:w="2037"/>
          </w:tcPr>
          <w:p>
            <w:pPr>
              <w:spacing w:after="20" w:before="20" w:line="252" w:lineRule="auto"/>
              <w:jc w:val="center"/>
            </w:pPr>
            <w:r>
              <w:rPr>
                <w:rFonts w:ascii="Calibri" w:hAnsi="Calibri" w:eastAsia="Microsoft YaHei" w:cs="Calibri"/>
                <w:sz w:val="17"/>
              </w:rPr>
              <w:t>-7.85</w:t>
            </w:r>
          </w:p>
        </w:tc>
      </w:tr>
      <w:tr>
        <w:trPr>
          <w:cantSplit/>
        </w:trPr>
        <w:tc>
          <w:tcPr>
            <w:tcW w:type="dxa" w:w="586"/>
            <w:shd w:val="clear" w:color="auto" w:fill="F2F5F9"/>
          </w:tcPr>
          <w:p>
            <w:pPr>
              <w:spacing w:after="20" w:before="20" w:line="252" w:lineRule="auto"/>
              <w:jc w:val="left"/>
            </w:pPr>
            <w:r>
              <w:rPr>
                <w:rFonts w:ascii="Calibri" w:hAnsi="Calibri" w:eastAsia="Microsoft YaHei" w:cs="Calibri"/>
                <w:sz w:val="17"/>
              </w:rPr>
              <w:t>WFC</w:t>
            </w:r>
          </w:p>
        </w:tc>
        <w:tc>
          <w:tcPr>
            <w:tcW w:type="dxa" w:w="2037"/>
            <w:shd w:val="clear" w:color="auto" w:fill="F2F5F9"/>
          </w:tcPr>
          <w:p>
            <w:pPr>
              <w:spacing w:after="20" w:before="20" w:line="252" w:lineRule="auto"/>
              <w:jc w:val="center"/>
            </w:pPr>
            <w:r>
              <w:rPr>
                <w:rFonts w:ascii="Calibri" w:hAnsi="Calibri" w:eastAsia="Microsoft YaHei" w:cs="Calibri"/>
                <w:sz w:val="17"/>
              </w:rPr>
              <w:t>+0.99</w:t>
            </w:r>
          </w:p>
        </w:tc>
        <w:tc>
          <w:tcPr>
            <w:tcW w:type="dxa" w:w="1020"/>
            <w:shd w:val="clear" w:color="auto" w:fill="F2F5F9"/>
          </w:tcPr>
          <w:p>
            <w:pPr>
              <w:spacing w:after="20" w:before="20" w:line="252" w:lineRule="auto"/>
              <w:jc w:val="center"/>
            </w:pPr>
            <w:r>
              <w:rPr>
                <w:rFonts w:ascii="Calibri" w:hAnsi="Calibri" w:eastAsia="Microsoft YaHei" w:cs="Calibri"/>
                <w:sz w:val="17"/>
              </w:rPr>
              <w:t>-5.71</w:t>
            </w:r>
          </w:p>
        </w:tc>
        <w:tc>
          <w:tcPr>
            <w:tcW w:type="dxa" w:w="2122"/>
            <w:shd w:val="clear" w:color="auto" w:fill="F2F5F9"/>
          </w:tcPr>
          <w:p>
            <w:pPr>
              <w:spacing w:after="20" w:before="20" w:line="252" w:lineRule="auto"/>
              <w:jc w:val="center"/>
            </w:pPr>
            <w:r>
              <w:rPr>
                <w:rFonts w:ascii="Calibri" w:hAnsi="Calibri" w:eastAsia="Microsoft YaHei" w:cs="Calibri"/>
                <w:sz w:val="17"/>
              </w:rPr>
              <w:t>-6.66</w:t>
            </w:r>
          </w:p>
        </w:tc>
        <w:tc>
          <w:tcPr>
            <w:tcW w:type="dxa" w:w="1951"/>
            <w:shd w:val="clear" w:color="auto" w:fill="F2F5F9"/>
          </w:tcPr>
          <w:p>
            <w:pPr>
              <w:spacing w:after="20" w:before="20" w:line="252" w:lineRule="auto"/>
              <w:jc w:val="center"/>
            </w:pPr>
            <w:r>
              <w:rPr>
                <w:rFonts w:ascii="Calibri" w:hAnsi="Calibri" w:eastAsia="Microsoft YaHei" w:cs="Calibri"/>
                <w:sz w:val="17"/>
              </w:rPr>
              <w:t>-4.72</w:t>
            </w:r>
          </w:p>
        </w:tc>
        <w:tc>
          <w:tcPr>
            <w:tcW w:type="dxa" w:w="2037"/>
            <w:shd w:val="clear" w:color="auto" w:fill="F2F5F9"/>
          </w:tcPr>
          <w:p>
            <w:pPr>
              <w:spacing w:after="20" w:before="20" w:line="252" w:lineRule="auto"/>
              <w:jc w:val="center"/>
            </w:pPr>
            <w:r>
              <w:rPr>
                <w:rFonts w:ascii="Calibri" w:hAnsi="Calibri" w:eastAsia="Microsoft YaHei" w:cs="Calibri"/>
                <w:sz w:val="17"/>
              </w:rPr>
              <w:t>-11.37</w:t>
            </w:r>
          </w:p>
        </w:tc>
      </w:tr>
      <w:tr>
        <w:trPr>
          <w:cantSplit/>
        </w:trPr>
        <w:tc>
          <w:tcPr>
            <w:tcW w:type="dxa" w:w="586"/>
          </w:tcPr>
          <w:p>
            <w:pPr>
              <w:spacing w:after="20" w:before="20" w:line="252" w:lineRule="auto"/>
              <w:jc w:val="left"/>
            </w:pPr>
            <w:r>
              <w:rPr>
                <w:rFonts w:ascii="Calibri" w:hAnsi="Calibri" w:eastAsia="Microsoft YaHei" w:cs="Calibri"/>
                <w:sz w:val="17"/>
              </w:rPr>
              <w:t>GS</w:t>
            </w:r>
          </w:p>
        </w:tc>
        <w:tc>
          <w:tcPr>
            <w:tcW w:type="dxa" w:w="2037"/>
          </w:tcPr>
          <w:p>
            <w:pPr>
              <w:spacing w:after="20" w:before="20" w:line="252" w:lineRule="auto"/>
              <w:jc w:val="center"/>
            </w:pPr>
            <w:r>
              <w:rPr>
                <w:rFonts w:ascii="Calibri" w:hAnsi="Calibri" w:eastAsia="Microsoft YaHei" w:cs="Calibri"/>
                <w:sz w:val="17"/>
              </w:rPr>
              <w:t>+0.04</w:t>
            </w:r>
          </w:p>
        </w:tc>
        <w:tc>
          <w:tcPr>
            <w:tcW w:type="dxa" w:w="1020"/>
          </w:tcPr>
          <w:p>
            <w:pPr>
              <w:spacing w:after="20" w:before="20" w:line="252" w:lineRule="auto"/>
              <w:jc w:val="center"/>
            </w:pPr>
            <w:r>
              <w:rPr>
                <w:rFonts w:ascii="Calibri" w:hAnsi="Calibri" w:eastAsia="Microsoft YaHei" w:cs="Calibri"/>
                <w:sz w:val="17"/>
              </w:rPr>
              <w:t>-2.13</w:t>
            </w:r>
          </w:p>
        </w:tc>
        <w:tc>
          <w:tcPr>
            <w:tcW w:type="dxa" w:w="2122"/>
          </w:tcPr>
          <w:p>
            <w:pPr>
              <w:spacing w:after="20" w:before="20" w:line="252" w:lineRule="auto"/>
              <w:jc w:val="center"/>
            </w:pPr>
            <w:r>
              <w:rPr>
                <w:rFonts w:ascii="Calibri" w:hAnsi="Calibri" w:eastAsia="Microsoft YaHei" w:cs="Calibri"/>
                <w:sz w:val="17"/>
              </w:rPr>
              <w:t>-2.55</w:t>
            </w:r>
          </w:p>
        </w:tc>
        <w:tc>
          <w:tcPr>
            <w:tcW w:type="dxa" w:w="1951"/>
          </w:tcPr>
          <w:p>
            <w:pPr>
              <w:spacing w:after="20" w:before="20" w:line="252" w:lineRule="auto"/>
              <w:jc w:val="center"/>
            </w:pPr>
            <w:r>
              <w:rPr>
                <w:rFonts w:ascii="Calibri" w:hAnsi="Calibri" w:eastAsia="Microsoft YaHei" w:cs="Calibri"/>
                <w:sz w:val="17"/>
              </w:rPr>
              <w:t>-2.09</w:t>
            </w:r>
          </w:p>
        </w:tc>
        <w:tc>
          <w:tcPr>
            <w:tcW w:type="dxa" w:w="2037"/>
          </w:tcPr>
          <w:p>
            <w:pPr>
              <w:spacing w:after="20" w:before="20" w:line="252" w:lineRule="auto"/>
              <w:jc w:val="center"/>
            </w:pPr>
            <w:r>
              <w:rPr>
                <w:rFonts w:ascii="Calibri" w:hAnsi="Calibri" w:eastAsia="Microsoft YaHei" w:cs="Calibri"/>
                <w:sz w:val="17"/>
              </w:rPr>
              <w:t>-4.64</w:t>
            </w:r>
          </w:p>
        </w:tc>
      </w:tr>
      <w:tr>
        <w:trPr>
          <w:cantSplit/>
        </w:trPr>
        <w:tc>
          <w:tcPr>
            <w:tcW w:type="dxa" w:w="586"/>
            <w:shd w:val="clear" w:color="auto" w:fill="F2F5F9"/>
          </w:tcPr>
          <w:p>
            <w:pPr>
              <w:spacing w:after="20" w:before="20" w:line="252" w:lineRule="auto"/>
              <w:jc w:val="left"/>
            </w:pPr>
            <w:r>
              <w:rPr>
                <w:rFonts w:ascii="Calibri" w:hAnsi="Calibri" w:eastAsia="Microsoft YaHei" w:cs="Calibri"/>
                <w:sz w:val="17"/>
              </w:rPr>
              <w:t>MS</w:t>
            </w:r>
          </w:p>
        </w:tc>
        <w:tc>
          <w:tcPr>
            <w:tcW w:type="dxa" w:w="2037"/>
            <w:shd w:val="clear" w:color="auto" w:fill="F2F5F9"/>
          </w:tcPr>
          <w:p>
            <w:pPr>
              <w:spacing w:after="20" w:before="20" w:line="252" w:lineRule="auto"/>
              <w:jc w:val="center"/>
            </w:pPr>
            <w:r>
              <w:rPr>
                <w:rFonts w:ascii="Calibri" w:hAnsi="Calibri" w:eastAsia="Microsoft YaHei" w:cs="Calibri"/>
                <w:sz w:val="17"/>
              </w:rPr>
              <w:t>+0.15</w:t>
            </w:r>
          </w:p>
        </w:tc>
        <w:tc>
          <w:tcPr>
            <w:tcW w:type="dxa" w:w="1020"/>
            <w:shd w:val="clear" w:color="auto" w:fill="F2F5F9"/>
          </w:tcPr>
          <w:p>
            <w:pPr>
              <w:spacing w:after="20" w:before="20" w:line="252" w:lineRule="auto"/>
              <w:jc w:val="center"/>
            </w:pPr>
            <w:r>
              <w:rPr>
                <w:rFonts w:ascii="Calibri" w:hAnsi="Calibri" w:eastAsia="Microsoft YaHei" w:cs="Calibri"/>
                <w:sz w:val="17"/>
              </w:rPr>
              <w:t>-1.99</w:t>
            </w:r>
          </w:p>
        </w:tc>
        <w:tc>
          <w:tcPr>
            <w:tcW w:type="dxa" w:w="2122"/>
            <w:shd w:val="clear" w:color="auto" w:fill="F2F5F9"/>
          </w:tcPr>
          <w:p>
            <w:pPr>
              <w:spacing w:after="20" w:before="20" w:line="252" w:lineRule="auto"/>
              <w:jc w:val="center"/>
            </w:pPr>
            <w:r>
              <w:rPr>
                <w:rFonts w:ascii="Calibri" w:hAnsi="Calibri" w:eastAsia="Microsoft YaHei" w:cs="Calibri"/>
                <w:sz w:val="17"/>
              </w:rPr>
              <w:t>-1.63</w:t>
            </w:r>
          </w:p>
        </w:tc>
        <w:tc>
          <w:tcPr>
            <w:tcW w:type="dxa" w:w="1951"/>
            <w:shd w:val="clear" w:color="auto" w:fill="F2F5F9"/>
          </w:tcPr>
          <w:p>
            <w:pPr>
              <w:spacing w:after="20" w:before="20" w:line="252" w:lineRule="auto"/>
              <w:jc w:val="center"/>
            </w:pPr>
            <w:r>
              <w:rPr>
                <w:rFonts w:ascii="Calibri" w:hAnsi="Calibri" w:eastAsia="Microsoft YaHei" w:cs="Calibri"/>
                <w:sz w:val="17"/>
              </w:rPr>
              <w:t>-1.84</w:t>
            </w:r>
          </w:p>
        </w:tc>
        <w:tc>
          <w:tcPr>
            <w:tcW w:type="dxa" w:w="2037"/>
            <w:shd w:val="clear" w:color="auto" w:fill="F2F5F9"/>
          </w:tcPr>
          <w:p>
            <w:pPr>
              <w:spacing w:after="20" w:before="20" w:line="252" w:lineRule="auto"/>
              <w:jc w:val="center"/>
            </w:pPr>
            <w:r>
              <w:rPr>
                <w:rFonts w:ascii="Calibri" w:hAnsi="Calibri" w:eastAsia="Microsoft YaHei" w:cs="Calibri"/>
                <w:sz w:val="17"/>
              </w:rPr>
              <w:t>-3.47</w:t>
            </w:r>
          </w:p>
        </w:tc>
      </w:tr>
    </w:tbl>
    <w:p>
      <w:pPr>
        <w:spacing w:after="40"/>
      </w:pPr>
    </w:p>
    <w:p>
      <w:pPr>
        <w:keepNext/>
        <w:spacing w:before="120"/>
        <w:jc w:val="center"/>
      </w:pPr>
      <w:r>
        <w:drawing>
          <wp:inline xmlns:a="http://schemas.openxmlformats.org/drawingml/2006/main" xmlns:pic="http://schemas.openxmlformats.org/drawingml/2006/picture">
            <wp:extent cx="6048000" cy="2123409"/>
            <wp:docPr id="14" name="Picture 14"/>
            <wp:cNvGraphicFramePr>
              <a:graphicFrameLocks noChangeAspect="1"/>
            </wp:cNvGraphicFramePr>
            <a:graphic>
              <a:graphicData uri="http://schemas.openxmlformats.org/drawingml/2006/picture">
                <pic:pic>
                  <pic:nvPicPr>
                    <pic:cNvPr id="0" name="f13_stress_heat.png"/>
                    <pic:cNvPicPr/>
                  </pic:nvPicPr>
                  <pic:blipFill>
                    <a:blip r:embed="rId24"/>
                    <a:stretch>
                      <a:fillRect/>
                    </a:stretch>
                  </pic:blipFill>
                  <pic:spPr>
                    <a:xfrm>
                      <a:off x="0" y="0"/>
                      <a:ext cx="6048000" cy="2123409"/>
                    </a:xfrm>
                    <a:prstGeom prst="rect"/>
                  </pic:spPr>
                </pic:pic>
              </a:graphicData>
            </a:graphic>
          </wp:inline>
        </w:drawing>
      </w:r>
    </w:p>
    <w:p>
      <w:pPr>
        <w:spacing w:after="200"/>
        <w:jc w:val="center"/>
      </w:pPr>
      <w:r>
        <w:rPr>
          <w:rFonts w:ascii="Calibri" w:hAnsi="Calibri" w:eastAsia="Microsoft YaHei" w:cs="Calibri"/>
          <w:i/>
          <w:color w:val="555555"/>
          <w:sz w:val="18"/>
        </w:rPr>
        <w:t>Figure 14. Stress-test heat map: net economic effect as % of TCE (left) and of annualised Q3E earnings (right)</w:t>
      </w:r>
    </w:p>
    <w:p>
      <w:pPr>
        <w:pStyle w:val="Heading3"/>
      </w:pPr>
      <w:r>
        <w:rPr>
          <w:rFonts w:ascii="Calibri" w:hAnsi="Calibri" w:eastAsia="Microsoft YaHei" w:cs="Calibri"/>
          <w:b/>
          <w:color w:val="1F4E79"/>
          <w:sz w:val="24"/>
        </w:rPr>
        <w:t>How to read it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BAC is the most fragile, almost entirely through HTM</w:t>
      </w:r>
      <w:r>
        <w:rPr>
          <w:rFonts w:ascii="Calibri" w:hAnsi="Calibri" w:eastAsia="Microsoft YaHei" w:cs="Calibri"/>
          <w:sz w:val="21"/>
        </w:rPr>
        <w:t>: +100bp gives a net economic effect of -$21.3B (-10.3% of TCE, -68% of annualised earnings), of which HTM is -$19.3B; the part that enters capital (NII + AOCI) is only -$2.0B. At +200bp the net economic effect exceeds a full year of earnings.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WFC is next</w:t>
      </w:r>
      <w:r>
        <w:rPr>
          <w:rFonts w:ascii="Calibri" w:hAnsi="Calibri" w:eastAsia="Microsoft YaHei" w:cs="Calibri"/>
          <w:sz w:val="21"/>
        </w:rPr>
        <w:t>: -$11.4B (-8.1% of TCE); unlike BAC, WFC's AFS is also sensitive (AOCI -$5.7B), so the part that enters capital is also sizeable (-$4.7B).</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JPM has the largest NII tailwind</w:t>
      </w:r>
      <w:r>
        <w:rPr>
          <w:rFonts w:ascii="Calibri" w:hAnsi="Calibri" w:eastAsia="Microsoft YaHei" w:cs="Calibri"/>
          <w:sz w:val="21"/>
        </w:rPr>
        <w:t xml:space="preserve"> (+$1.4B after tax at +100bp, the highest of the six), which offsets part of the valuation loss; net economic effect -$14.0B, 22% of annualised earnings.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Steepener vs. flattener</w:t>
      </w:r>
      <w:r>
        <w:rPr>
          <w:rFonts w:ascii="Calibri" w:hAnsi="Calibri" w:eastAsia="Microsoft YaHei" w:cs="Calibri"/>
          <w:sz w:val="21"/>
        </w:rPr>
        <w:t xml:space="preserve">: a long-end shock (steepener) is net negative for all four commercial banks because the AOCI and HTM valuation losses exceed the added NII; a short-end shock (flattener) is slightly net positive for JPM, BAC and WFC (NII rises, valuations unchanged) and slightly negative for C (its disclosed short-end AOCI hit is larger). </w:t>
      </w:r>
      <w:r>
        <w:rPr>
          <w:rFonts w:ascii="Calibri" w:hAnsi="Calibri" w:eastAsia="Microsoft YaHei" w:cs="Calibri"/>
          <w:b/>
          <w:sz w:val="21"/>
        </w:rPr>
        <w:t>The risk is in the long end, not in the policy rate.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GS and MS</w:t>
      </w:r>
      <w:r>
        <w:rPr>
          <w:rFonts w:ascii="Calibri" w:hAnsi="Calibri" w:eastAsia="Microsoft YaHei" w:cs="Calibri"/>
          <w:sz w:val="21"/>
        </w:rPr>
        <w:t xml:space="preserve"> NII sensitivities are not comparable (GS reports earnings-at-risk on net revenue, MS covers Wealth Management only), so their NII is understated and net effects overstated; steepener/flattener sensitivities are not disclosed (n/a).</w:t>
      </w:r>
    </w:p>
    <w:p>
      <w:pPr>
        <w:pStyle w:val="Heading3"/>
      </w:pPr>
      <w:r>
        <w:rPr>
          <w:rFonts w:ascii="Calibri" w:hAnsi="Calibri" w:eastAsia="Microsoft YaHei" w:cs="Calibri"/>
          <w:b/>
          <w:color w:val="1F4E79"/>
          <w:sz w:val="24"/>
        </w:rPr>
        <w:t>Limits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Linear duration with no convexity; AFS/HTM durations are regression or fallback values (AFS 3.0 years, HTM 4.5 years), not disclosures.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Based on the 6/30 balance sheet and 6/30 10-Q sensitivities, not updated to quarter-end; the Q3 rise that has already happened is in Section 15 and is additive to, not included in, the stress test.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No credit costs, loan-demand changes, deposit outflows or changes in reinvestment strategy, which are usually the larger uncertainties in a hiking cycle.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The net economic effect adds NII earned gradually over a year to instantaneous valuation losses and is a ranking aid, not a capital-ratio forecast. HTM losses are realised only on sale or reclassification.</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WFC's +200bp NII is not disclosed and is extrapolated linearly.</w:t>
      </w:r>
    </w:p>
    <w:p>
      <w:pPr>
        <w:pStyle w:val="Heading2"/>
      </w:pPr>
      <w:r>
        <w:rPr>
          <w:rFonts w:ascii="Calibri" w:hAnsi="Calibri" w:eastAsia="Microsoft YaHei" w:cs="Calibri"/>
          <w:b/>
          <w:color w:val="1F4E79"/>
          <w:sz w:val="28"/>
        </w:rPr>
        <w:t>17. IPOs: what was done in Q3, what is still coming in Q4, and the fees</w:t>
      </w:r>
    </w:p>
    <w:p>
      <w:r>
        <w:rPr>
          <w:rFonts w:ascii="Calibri" w:hAnsi="Calibri" w:eastAsia="Microsoft YaHei" w:cs="Calibri"/>
          <w:b/>
          <w:sz w:val="21"/>
        </w:rPr>
        <w:t>The big picture</w:t>
      </w:r>
      <w:r>
        <w:rPr>
          <w:rFonts w:ascii="Calibri" w:hAnsi="Calibri" w:eastAsia="Microsoft YaHei" w:cs="Calibri"/>
          <w:sz w:val="21"/>
        </w:rPr>
        <w:t xml:space="preserve">: Q3 US IPOs were about 31 deals raising about $34.9B, of which SK hynix alone was about $26.5B; excluding it, only about $8.4B. We reviewed 18 deals one by one (about $32.6B in total, about $6.1B excluding SK hynix, roughly 73% of the ex-mega total). Fees are </w:t>
      </w:r>
      <w:r>
        <w:rPr>
          <w:rFonts w:ascii="Calibri" w:hAnsi="Calibri" w:eastAsia="Microsoft YaHei" w:cs="Calibri"/>
          <w:b/>
          <w:sz w:val="21"/>
        </w:rPr>
        <w:t>disclosed</w:t>
      </w:r>
      <w:r>
        <w:rPr>
          <w:rFonts w:ascii="Calibri" w:hAnsi="Calibri" w:eastAsia="Microsoft YaHei" w:cs="Calibri"/>
          <w:sz w:val="21"/>
        </w:rPr>
        <w:t xml:space="preserve"> or </w:t>
      </w:r>
      <w:r>
        <w:rPr>
          <w:rFonts w:ascii="Calibri" w:hAnsi="Calibri" w:eastAsia="Microsoft YaHei" w:cs="Calibri"/>
          <w:b/>
          <w:sz w:val="21"/>
        </w:rPr>
        <w:t>spread x size estimates</w:t>
      </w:r>
      <w:r>
        <w:rPr>
          <w:rFonts w:ascii="Calibri" w:hAnsi="Calibri" w:eastAsia="Microsoft YaHei" w:cs="Calibri"/>
          <w:sz w:val="21"/>
        </w:rPr>
        <w:t>; per-bank splits are role-weighted estimates.</w:t>
      </w:r>
    </w:p>
    <w:p>
      <w:pPr>
        <w:pStyle w:val="Heading3"/>
      </w:pPr>
      <w:r>
        <w:rPr>
          <w:rFonts w:ascii="Calibri" w:hAnsi="Calibri" w:eastAsia="Microsoft YaHei" w:cs="Calibri"/>
          <w:b/>
          <w:color w:val="1F4E79"/>
          <w:sz w:val="24"/>
        </w:rPr>
        <w:t>17.1 Q3 deals and underwriting fees</w:t>
      </w:r>
    </w:p>
    <w:tbl>
      <w:tblPr>
        <w:tblStyle w:val="TableGrid"/>
        <w:tblW w:type="auto" w:w="0"/>
        <w:jc w:val="center"/>
        <w:tblLayout w:type="fixed"/>
        <w:tblLook w:firstColumn="1" w:firstRow="1" w:lastColumn="0" w:lastRow="0" w:noHBand="0" w:noVBand="1" w:val="04A0"/>
      </w:tblPr>
      <w:tblGrid>
        <w:gridCol w:w="1823"/>
        <w:gridCol w:w="849"/>
        <w:gridCol w:w="1236"/>
        <w:gridCol w:w="982"/>
        <w:gridCol w:w="638"/>
        <w:gridCol w:w="564"/>
        <w:gridCol w:w="780"/>
        <w:gridCol w:w="2878"/>
      </w:tblGrid>
      <w:tr>
        <w:trPr>
          <w:tblHeader w:val="true"/>
          <w:cantSplit/>
        </w:trPr>
        <w:tc>
          <w:tcPr>
            <w:tcW w:type="dxa" w:w="1823"/>
            <w:shd w:val="clear" w:color="auto" w:fill="1F4E79"/>
          </w:tcPr>
          <w:p>
            <w:pPr>
              <w:spacing w:after="20" w:before="20" w:line="252" w:lineRule="auto"/>
              <w:jc w:val="center"/>
            </w:pPr>
            <w:r>
              <w:rPr>
                <w:rFonts w:ascii="Calibri" w:hAnsi="Calibri" w:eastAsia="Microsoft YaHei" w:cs="Calibri"/>
                <w:b/>
                <w:color w:val="FFFFFF"/>
                <w:sz w:val="16"/>
              </w:rPr>
              <w:t>Deal</w:t>
            </w:r>
          </w:p>
        </w:tc>
        <w:tc>
          <w:tcPr>
            <w:tcW w:type="dxa" w:w="849"/>
            <w:shd w:val="clear" w:color="auto" w:fill="1F4E79"/>
          </w:tcPr>
          <w:p>
            <w:pPr>
              <w:spacing w:after="20" w:before="20" w:line="252" w:lineRule="auto"/>
              <w:jc w:val="center"/>
            </w:pPr>
            <w:r>
              <w:rPr>
                <w:rFonts w:ascii="Calibri" w:hAnsi="Calibri" w:eastAsia="Microsoft YaHei" w:cs="Calibri"/>
                <w:b/>
                <w:color w:val="FFFFFF"/>
                <w:sz w:val="16"/>
              </w:rPr>
              <w:t>Date</w:t>
            </w:r>
          </w:p>
        </w:tc>
        <w:tc>
          <w:tcPr>
            <w:tcW w:type="dxa" w:w="1236"/>
            <w:shd w:val="clear" w:color="auto" w:fill="1F4E79"/>
          </w:tcPr>
          <w:p>
            <w:pPr>
              <w:spacing w:after="20" w:before="20" w:line="252" w:lineRule="auto"/>
              <w:jc w:val="center"/>
            </w:pPr>
            <w:r>
              <w:rPr>
                <w:rFonts w:ascii="Calibri" w:hAnsi="Calibri" w:eastAsia="Microsoft YaHei" w:cs="Calibri"/>
                <w:b/>
                <w:color w:val="FFFFFF"/>
                <w:sz w:val="16"/>
              </w:rPr>
              <w:t>Sector</w:t>
            </w:r>
          </w:p>
        </w:tc>
        <w:tc>
          <w:tcPr>
            <w:tcW w:type="dxa" w:w="982"/>
            <w:shd w:val="clear" w:color="auto" w:fill="1F4E79"/>
          </w:tcPr>
          <w:p>
            <w:pPr>
              <w:spacing w:after="20" w:before="20" w:line="252" w:lineRule="auto"/>
              <w:jc w:val="center"/>
            </w:pPr>
            <w:r>
              <w:rPr>
                <w:rFonts w:ascii="Calibri" w:hAnsi="Calibri" w:eastAsia="Microsoft YaHei" w:cs="Calibri"/>
                <w:b/>
                <w:color w:val="FFFFFF"/>
                <w:sz w:val="16"/>
              </w:rPr>
              <w:t>Proceeds ($M)</w:t>
            </w:r>
          </w:p>
        </w:tc>
        <w:tc>
          <w:tcPr>
            <w:tcW w:type="dxa" w:w="638"/>
            <w:shd w:val="clear" w:color="auto" w:fill="1F4E79"/>
          </w:tcPr>
          <w:p>
            <w:pPr>
              <w:spacing w:after="20" w:before="20" w:line="252" w:lineRule="auto"/>
              <w:jc w:val="center"/>
            </w:pPr>
            <w:r>
              <w:rPr>
                <w:rFonts w:ascii="Calibri" w:hAnsi="Calibri" w:eastAsia="Microsoft YaHei" w:cs="Calibri"/>
                <w:b/>
                <w:color w:val="FFFFFF"/>
                <w:sz w:val="16"/>
              </w:rPr>
              <w:t>Fee ($M)</w:t>
            </w:r>
          </w:p>
        </w:tc>
        <w:tc>
          <w:tcPr>
            <w:tcW w:type="dxa" w:w="564"/>
            <w:shd w:val="clear" w:color="auto" w:fill="1F4E79"/>
          </w:tcPr>
          <w:p>
            <w:pPr>
              <w:spacing w:after="20" w:before="20" w:line="252" w:lineRule="auto"/>
              <w:jc w:val="center"/>
            </w:pPr>
            <w:r>
              <w:rPr>
                <w:rFonts w:ascii="Calibri" w:hAnsi="Calibri" w:eastAsia="Microsoft YaHei" w:cs="Calibri"/>
                <w:b/>
                <w:color w:val="FFFFFF"/>
                <w:sz w:val="16"/>
              </w:rPr>
              <w:t>Spread</w:t>
            </w:r>
          </w:p>
        </w:tc>
        <w:tc>
          <w:tcPr>
            <w:tcW w:type="dxa" w:w="780"/>
            <w:shd w:val="clear" w:color="auto" w:fill="1F4E79"/>
          </w:tcPr>
          <w:p>
            <w:pPr>
              <w:spacing w:after="20" w:before="20" w:line="252" w:lineRule="auto"/>
              <w:jc w:val="center"/>
            </w:pPr>
            <w:r>
              <w:rPr>
                <w:rFonts w:ascii="Calibri" w:hAnsi="Calibri" w:eastAsia="Microsoft YaHei" w:cs="Calibri"/>
                <w:b/>
                <w:color w:val="FFFFFF"/>
                <w:sz w:val="16"/>
              </w:rPr>
              <w:t>Basis</w:t>
            </w:r>
          </w:p>
        </w:tc>
        <w:tc>
          <w:tcPr>
            <w:tcW w:type="dxa" w:w="2878"/>
            <w:shd w:val="clear" w:color="auto" w:fill="1F4E79"/>
          </w:tcPr>
          <w:p>
            <w:pPr>
              <w:spacing w:after="20" w:before="20" w:line="252" w:lineRule="auto"/>
              <w:jc w:val="center"/>
            </w:pPr>
            <w:r>
              <w:rPr>
                <w:rFonts w:ascii="Calibri" w:hAnsi="Calibri" w:eastAsia="Microsoft YaHei" w:cs="Calibri"/>
                <w:b/>
                <w:color w:val="FFFFFF"/>
                <w:sz w:val="16"/>
              </w:rPr>
              <w:t>Lead / joint banks (selected)</w:t>
            </w:r>
          </w:p>
        </w:tc>
      </w:tr>
      <w:tr>
        <w:trPr>
          <w:cantSplit/>
        </w:trPr>
        <w:tc>
          <w:tcPr>
            <w:tcW w:type="dxa" w:w="1823"/>
          </w:tcPr>
          <w:p>
            <w:pPr>
              <w:spacing w:after="20" w:before="20" w:line="252" w:lineRule="auto"/>
              <w:jc w:val="left"/>
            </w:pPr>
            <w:r>
              <w:rPr>
                <w:rFonts w:ascii="Calibri" w:hAnsi="Calibri" w:eastAsia="Microsoft YaHei" w:cs="Calibri"/>
                <w:sz w:val="16"/>
              </w:rPr>
              <w:t>SK hynix</w:t>
            </w:r>
          </w:p>
        </w:tc>
        <w:tc>
          <w:tcPr>
            <w:tcW w:type="dxa" w:w="849"/>
          </w:tcPr>
          <w:p>
            <w:pPr>
              <w:spacing w:after="20" w:before="20" w:line="252" w:lineRule="auto"/>
              <w:jc w:val="center"/>
            </w:pPr>
            <w:r>
              <w:rPr>
                <w:rFonts w:ascii="Calibri" w:hAnsi="Calibri" w:eastAsia="Microsoft YaHei" w:cs="Calibri"/>
                <w:sz w:val="16"/>
              </w:rPr>
              <w:t>2026-07-09</w:t>
            </w:r>
          </w:p>
        </w:tc>
        <w:tc>
          <w:tcPr>
            <w:tcW w:type="dxa" w:w="1236"/>
          </w:tcPr>
          <w:p>
            <w:pPr>
              <w:spacing w:after="20" w:before="20" w:line="252" w:lineRule="auto"/>
              <w:jc w:val="center"/>
            </w:pPr>
            <w:r>
              <w:rPr>
                <w:rFonts w:ascii="Calibri" w:hAnsi="Calibri" w:eastAsia="Microsoft YaHei" w:cs="Calibri"/>
                <w:sz w:val="16"/>
              </w:rPr>
              <w:t>Semis / ADR</w:t>
            </w:r>
          </w:p>
        </w:tc>
        <w:tc>
          <w:tcPr>
            <w:tcW w:type="dxa" w:w="982"/>
          </w:tcPr>
          <w:p>
            <w:pPr>
              <w:spacing w:after="20" w:before="20" w:line="252" w:lineRule="auto"/>
              <w:jc w:val="center"/>
            </w:pPr>
            <w:r>
              <w:rPr>
                <w:rFonts w:ascii="Calibri" w:hAnsi="Calibri" w:eastAsia="Microsoft YaHei" w:cs="Calibri"/>
                <w:sz w:val="16"/>
              </w:rPr>
              <w:t>26,507</w:t>
            </w:r>
          </w:p>
        </w:tc>
        <w:tc>
          <w:tcPr>
            <w:tcW w:type="dxa" w:w="638"/>
          </w:tcPr>
          <w:p>
            <w:pPr>
              <w:spacing w:after="20" w:before="20" w:line="252" w:lineRule="auto"/>
              <w:jc w:val="center"/>
            </w:pPr>
            <w:r>
              <w:rPr>
                <w:rFonts w:ascii="Calibri" w:hAnsi="Calibri" w:eastAsia="Microsoft YaHei" w:cs="Calibri"/>
                <w:sz w:val="16"/>
              </w:rPr>
              <w:t>257.5</w:t>
            </w:r>
          </w:p>
        </w:tc>
        <w:tc>
          <w:tcPr>
            <w:tcW w:type="dxa" w:w="564"/>
          </w:tcPr>
          <w:p>
            <w:pPr>
              <w:spacing w:after="20" w:before="20" w:line="252" w:lineRule="auto"/>
              <w:jc w:val="center"/>
            </w:pPr>
            <w:r>
              <w:rPr>
                <w:rFonts w:ascii="Calibri" w:hAnsi="Calibri" w:eastAsia="Microsoft YaHei" w:cs="Calibri"/>
                <w:sz w:val="16"/>
              </w:rPr>
              <w:t>0.97%</w:t>
            </w:r>
          </w:p>
        </w:tc>
        <w:tc>
          <w:tcPr>
            <w:tcW w:type="dxa" w:w="780"/>
          </w:tcPr>
          <w:p>
            <w:pPr>
              <w:spacing w:after="20" w:before="20" w:line="252" w:lineRule="auto"/>
              <w:jc w:val="center"/>
            </w:pPr>
            <w:r>
              <w:rPr>
                <w:rFonts w:ascii="Calibri" w:hAnsi="Calibri" w:eastAsia="Microsoft YaHei" w:cs="Calibri"/>
                <w:sz w:val="16"/>
              </w:rPr>
              <w:t>disclosed</w:t>
            </w:r>
          </w:p>
        </w:tc>
        <w:tc>
          <w:tcPr>
            <w:tcW w:type="dxa" w:w="2878"/>
          </w:tcPr>
          <w:p>
            <w:pPr>
              <w:spacing w:after="20" w:before="20" w:line="252" w:lineRule="auto"/>
              <w:jc w:val="left"/>
            </w:pPr>
            <w:r>
              <w:rPr>
                <w:rFonts w:ascii="Calibri" w:hAnsi="Calibri" w:eastAsia="Microsoft YaHei" w:cs="Calibri"/>
                <w:sz w:val="16"/>
              </w:rPr>
              <w:t>BofA / Citi / GS / JPM (global coordinators)</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Jersey Mike's</w:t>
            </w:r>
          </w:p>
        </w:tc>
        <w:tc>
          <w:tcPr>
            <w:tcW w:type="dxa" w:w="849"/>
            <w:shd w:val="clear" w:color="auto" w:fill="F2F5F9"/>
          </w:tcPr>
          <w:p>
            <w:pPr>
              <w:spacing w:after="20" w:before="20" w:line="252" w:lineRule="auto"/>
              <w:jc w:val="center"/>
            </w:pPr>
            <w:r>
              <w:rPr>
                <w:rFonts w:ascii="Calibri" w:hAnsi="Calibri" w:eastAsia="Microsoft YaHei" w:cs="Calibri"/>
                <w:sz w:val="16"/>
              </w:rPr>
              <w:t>2026-07-29</w:t>
            </w:r>
          </w:p>
        </w:tc>
        <w:tc>
          <w:tcPr>
            <w:tcW w:type="dxa" w:w="1236"/>
            <w:shd w:val="clear" w:color="auto" w:fill="F2F5F9"/>
          </w:tcPr>
          <w:p>
            <w:pPr>
              <w:spacing w:after="20" w:before="20" w:line="252" w:lineRule="auto"/>
              <w:jc w:val="center"/>
            </w:pPr>
            <w:r>
              <w:rPr>
                <w:rFonts w:ascii="Calibri" w:hAnsi="Calibri" w:eastAsia="Microsoft YaHei" w:cs="Calibri"/>
                <w:sz w:val="16"/>
              </w:rPr>
              <w:t>Consumer</w:t>
            </w:r>
          </w:p>
        </w:tc>
        <w:tc>
          <w:tcPr>
            <w:tcW w:type="dxa" w:w="982"/>
            <w:shd w:val="clear" w:color="auto" w:fill="F2F5F9"/>
          </w:tcPr>
          <w:p>
            <w:pPr>
              <w:spacing w:after="20" w:before="20" w:line="252" w:lineRule="auto"/>
              <w:jc w:val="center"/>
            </w:pPr>
            <w:r>
              <w:rPr>
                <w:rFonts w:ascii="Calibri" w:hAnsi="Calibri" w:eastAsia="Microsoft YaHei" w:cs="Calibri"/>
                <w:sz w:val="16"/>
              </w:rPr>
              <w:t>1,000</w:t>
            </w:r>
          </w:p>
        </w:tc>
        <w:tc>
          <w:tcPr>
            <w:tcW w:type="dxa" w:w="638"/>
            <w:shd w:val="clear" w:color="auto" w:fill="F2F5F9"/>
          </w:tcPr>
          <w:p>
            <w:pPr>
              <w:spacing w:after="20" w:before="20" w:line="252" w:lineRule="auto"/>
              <w:jc w:val="center"/>
            </w:pPr>
            <w:r>
              <w:rPr>
                <w:rFonts w:ascii="Calibri" w:hAnsi="Calibri" w:eastAsia="Microsoft YaHei" w:cs="Calibri"/>
                <w:sz w:val="16"/>
              </w:rPr>
              <w:t>50.0</w:t>
            </w:r>
          </w:p>
        </w:tc>
        <w:tc>
          <w:tcPr>
            <w:tcW w:type="dxa" w:w="564"/>
            <w:shd w:val="clear" w:color="auto" w:fill="F2F5F9"/>
          </w:tcPr>
          <w:p>
            <w:pPr>
              <w:spacing w:after="20" w:before="20" w:line="252" w:lineRule="auto"/>
              <w:jc w:val="center"/>
            </w:pPr>
            <w:r>
              <w:rPr>
                <w:rFonts w:ascii="Calibri" w:hAnsi="Calibri" w:eastAsia="Microsoft YaHei" w:cs="Calibri"/>
                <w:sz w:val="16"/>
              </w:rPr>
              <w:t>5.00%</w:t>
            </w:r>
          </w:p>
        </w:tc>
        <w:tc>
          <w:tcPr>
            <w:tcW w:type="dxa" w:w="780"/>
            <w:shd w:val="clear" w:color="auto" w:fill="F2F5F9"/>
          </w:tcPr>
          <w:p>
            <w:pPr>
              <w:spacing w:after="20" w:before="20" w:line="252" w:lineRule="auto"/>
              <w:jc w:val="center"/>
            </w:pPr>
            <w:r>
              <w:rPr>
                <w:rFonts w:ascii="Calibri" w:hAnsi="Calibri" w:eastAsia="Microsoft YaHei" w:cs="Calibri"/>
                <w:sz w:val="16"/>
              </w:rPr>
              <w:t>disclosed</w:t>
            </w:r>
          </w:p>
        </w:tc>
        <w:tc>
          <w:tcPr>
            <w:tcW w:type="dxa" w:w="2878"/>
            <w:shd w:val="clear" w:color="auto" w:fill="F2F5F9"/>
          </w:tcPr>
          <w:p>
            <w:pPr>
              <w:spacing w:after="20" w:before="20" w:line="252" w:lineRule="auto"/>
              <w:jc w:val="left"/>
            </w:pPr>
            <w:r>
              <w:rPr>
                <w:rFonts w:ascii="Calibri" w:hAnsi="Calibri" w:eastAsia="Microsoft YaHei" w:cs="Calibri"/>
                <w:sz w:val="16"/>
              </w:rPr>
              <w:t>MS / Jefferies / JPM (global coordinators); Barclays, Guggenheim</w:t>
            </w:r>
          </w:p>
        </w:tc>
      </w:tr>
      <w:tr>
        <w:trPr>
          <w:cantSplit/>
        </w:trPr>
        <w:tc>
          <w:tcPr>
            <w:tcW w:type="dxa" w:w="1823"/>
          </w:tcPr>
          <w:p>
            <w:pPr>
              <w:spacing w:after="20" w:before="20" w:line="252" w:lineRule="auto"/>
              <w:jc w:val="left"/>
            </w:pPr>
            <w:r>
              <w:rPr>
                <w:rFonts w:ascii="Calibri" w:hAnsi="Calibri" w:eastAsia="Microsoft YaHei" w:cs="Calibri"/>
                <w:sz w:val="16"/>
              </w:rPr>
              <w:t>Csquare</w:t>
            </w:r>
          </w:p>
        </w:tc>
        <w:tc>
          <w:tcPr>
            <w:tcW w:type="dxa" w:w="849"/>
          </w:tcPr>
          <w:p>
            <w:pPr>
              <w:spacing w:after="20" w:before="20" w:line="252" w:lineRule="auto"/>
              <w:jc w:val="center"/>
            </w:pPr>
            <w:r>
              <w:rPr>
                <w:rFonts w:ascii="Calibri" w:hAnsi="Calibri" w:eastAsia="Microsoft YaHei" w:cs="Calibri"/>
                <w:sz w:val="16"/>
              </w:rPr>
              <w:t>2026-07-16</w:t>
            </w:r>
          </w:p>
        </w:tc>
        <w:tc>
          <w:tcPr>
            <w:tcW w:type="dxa" w:w="1236"/>
          </w:tcPr>
          <w:p>
            <w:pPr>
              <w:spacing w:after="20" w:before="20" w:line="252" w:lineRule="auto"/>
              <w:jc w:val="center"/>
            </w:pPr>
            <w:r>
              <w:rPr>
                <w:rFonts w:ascii="Calibri" w:hAnsi="Calibri" w:eastAsia="Microsoft YaHei" w:cs="Calibri"/>
                <w:sz w:val="16"/>
              </w:rPr>
              <w:t>Telecom svcs</w:t>
            </w:r>
          </w:p>
        </w:tc>
        <w:tc>
          <w:tcPr>
            <w:tcW w:type="dxa" w:w="982"/>
          </w:tcPr>
          <w:p>
            <w:pPr>
              <w:spacing w:after="20" w:before="20" w:line="252" w:lineRule="auto"/>
              <w:jc w:val="center"/>
            </w:pPr>
            <w:r>
              <w:rPr>
                <w:rFonts w:ascii="Calibri" w:hAnsi="Calibri" w:eastAsia="Microsoft YaHei" w:cs="Calibri"/>
                <w:sz w:val="16"/>
              </w:rPr>
              <w:t>1,050</w:t>
            </w:r>
          </w:p>
        </w:tc>
        <w:tc>
          <w:tcPr>
            <w:tcW w:type="dxa" w:w="638"/>
          </w:tcPr>
          <w:p>
            <w:pPr>
              <w:spacing w:after="20" w:before="20" w:line="252" w:lineRule="auto"/>
              <w:jc w:val="center"/>
            </w:pPr>
            <w:r>
              <w:rPr>
                <w:rFonts w:ascii="Calibri" w:hAnsi="Calibri" w:eastAsia="Microsoft YaHei" w:cs="Calibri"/>
                <w:sz w:val="16"/>
              </w:rPr>
              <w:t>40.0</w:t>
            </w:r>
          </w:p>
        </w:tc>
        <w:tc>
          <w:tcPr>
            <w:tcW w:type="dxa" w:w="564"/>
          </w:tcPr>
          <w:p>
            <w:pPr>
              <w:spacing w:after="20" w:before="20" w:line="252" w:lineRule="auto"/>
              <w:jc w:val="center"/>
            </w:pPr>
            <w:r>
              <w:rPr>
                <w:rFonts w:ascii="Calibri" w:hAnsi="Calibri" w:eastAsia="Microsoft YaHei" w:cs="Calibri"/>
                <w:sz w:val="16"/>
              </w:rPr>
              <w:t>3.81%</w:t>
            </w:r>
          </w:p>
        </w:tc>
        <w:tc>
          <w:tcPr>
            <w:tcW w:type="dxa" w:w="780"/>
          </w:tcPr>
          <w:p>
            <w:pPr>
              <w:spacing w:after="20" w:before="20" w:line="252" w:lineRule="auto"/>
              <w:jc w:val="center"/>
            </w:pPr>
            <w:r>
              <w:rPr>
                <w:rFonts w:ascii="Calibri" w:hAnsi="Calibri" w:eastAsia="Microsoft YaHei" w:cs="Calibri"/>
                <w:sz w:val="16"/>
              </w:rPr>
              <w:t>disclosed</w:t>
            </w:r>
          </w:p>
        </w:tc>
        <w:tc>
          <w:tcPr>
            <w:tcW w:type="dxa" w:w="2878"/>
          </w:tcPr>
          <w:p>
            <w:pPr>
              <w:spacing w:after="20" w:before="20" w:line="252" w:lineRule="auto"/>
              <w:jc w:val="left"/>
            </w:pPr>
            <w:r>
              <w:rPr>
                <w:rFonts w:ascii="Calibri" w:hAnsi="Calibri" w:eastAsia="Microsoft YaHei" w:cs="Calibri"/>
                <w:sz w:val="16"/>
              </w:rPr>
              <w:t>MS, TD (reps); Wells, BofA, BMO, Scotia, JPM</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Accelevation</w:t>
            </w:r>
          </w:p>
        </w:tc>
        <w:tc>
          <w:tcPr>
            <w:tcW w:type="dxa" w:w="849"/>
            <w:shd w:val="clear" w:color="auto" w:fill="F2F5F9"/>
          </w:tcPr>
          <w:p>
            <w:pPr>
              <w:spacing w:after="20" w:before="20" w:line="252" w:lineRule="auto"/>
              <w:jc w:val="center"/>
            </w:pPr>
            <w:r>
              <w:rPr>
                <w:rFonts w:ascii="Calibri" w:hAnsi="Calibri" w:eastAsia="Microsoft YaHei" w:cs="Calibri"/>
                <w:sz w:val="16"/>
              </w:rPr>
              <w:t>2026-09-30</w:t>
            </w:r>
          </w:p>
        </w:tc>
        <w:tc>
          <w:tcPr>
            <w:tcW w:type="dxa" w:w="1236"/>
            <w:shd w:val="clear" w:color="auto" w:fill="F2F5F9"/>
          </w:tcPr>
          <w:p>
            <w:pPr>
              <w:spacing w:after="20" w:before="20" w:line="252" w:lineRule="auto"/>
              <w:jc w:val="center"/>
            </w:pPr>
            <w:r>
              <w:rPr>
                <w:rFonts w:ascii="Calibri" w:hAnsi="Calibri" w:eastAsia="Microsoft YaHei" w:cs="Calibri"/>
                <w:sz w:val="16"/>
              </w:rPr>
              <w:t>Industrial</w:t>
            </w:r>
          </w:p>
        </w:tc>
        <w:tc>
          <w:tcPr>
            <w:tcW w:type="dxa" w:w="982"/>
            <w:shd w:val="clear" w:color="auto" w:fill="F2F5F9"/>
          </w:tcPr>
          <w:p>
            <w:pPr>
              <w:spacing w:after="20" w:before="20" w:line="252" w:lineRule="auto"/>
              <w:jc w:val="center"/>
            </w:pPr>
            <w:r>
              <w:rPr>
                <w:rFonts w:ascii="Calibri" w:hAnsi="Calibri" w:eastAsia="Microsoft YaHei" w:cs="Calibri"/>
                <w:sz w:val="16"/>
              </w:rPr>
              <w:t>540</w:t>
            </w:r>
          </w:p>
        </w:tc>
        <w:tc>
          <w:tcPr>
            <w:tcW w:type="dxa" w:w="638"/>
            <w:shd w:val="clear" w:color="auto" w:fill="F2F5F9"/>
          </w:tcPr>
          <w:p>
            <w:pPr>
              <w:spacing w:after="20" w:before="20" w:line="252" w:lineRule="auto"/>
              <w:jc w:val="center"/>
            </w:pPr>
            <w:r>
              <w:rPr>
                <w:rFonts w:ascii="Calibri" w:hAnsi="Calibri" w:eastAsia="Microsoft YaHei" w:cs="Calibri"/>
                <w:sz w:val="16"/>
              </w:rPr>
              <w:t>27.0</w:t>
            </w:r>
          </w:p>
        </w:tc>
        <w:tc>
          <w:tcPr>
            <w:tcW w:type="dxa" w:w="564"/>
            <w:shd w:val="clear" w:color="auto" w:fill="F2F5F9"/>
          </w:tcPr>
          <w:p>
            <w:pPr>
              <w:spacing w:after="20" w:before="20" w:line="252" w:lineRule="auto"/>
              <w:jc w:val="center"/>
            </w:pPr>
            <w:r>
              <w:rPr>
                <w:rFonts w:ascii="Calibri" w:hAnsi="Calibri" w:eastAsia="Microsoft YaHei" w:cs="Calibri"/>
                <w:sz w:val="16"/>
              </w:rPr>
              <w:t>5.00%</w:t>
            </w:r>
          </w:p>
        </w:tc>
        <w:tc>
          <w:tcPr>
            <w:tcW w:type="dxa" w:w="780"/>
            <w:shd w:val="clear" w:color="auto" w:fill="F2F5F9"/>
          </w:tcPr>
          <w:p>
            <w:pPr>
              <w:spacing w:after="20" w:before="20" w:line="252" w:lineRule="auto"/>
              <w:jc w:val="center"/>
            </w:pPr>
            <w:r>
              <w:rPr>
                <w:rFonts w:ascii="Calibri" w:hAnsi="Calibri" w:eastAsia="Microsoft YaHei" w:cs="Calibri"/>
                <w:sz w:val="16"/>
              </w:rPr>
              <w:t>est.</w:t>
            </w:r>
          </w:p>
        </w:tc>
        <w:tc>
          <w:tcPr>
            <w:tcW w:type="dxa" w:w="2878"/>
            <w:shd w:val="clear" w:color="auto" w:fill="F2F5F9"/>
          </w:tcPr>
          <w:p>
            <w:pPr>
              <w:spacing w:after="20" w:before="20" w:line="252" w:lineRule="auto"/>
              <w:jc w:val="left"/>
            </w:pPr>
            <w:r>
              <w:rPr>
                <w:rFonts w:ascii="Calibri" w:hAnsi="Calibri" w:eastAsia="Microsoft YaHei" w:cs="Calibri"/>
                <w:sz w:val="16"/>
              </w:rPr>
              <w:t>MS, JPM, GS, Barclays, BofA</w:t>
            </w:r>
          </w:p>
        </w:tc>
      </w:tr>
      <w:tr>
        <w:trPr>
          <w:cantSplit/>
        </w:trPr>
        <w:tc>
          <w:tcPr>
            <w:tcW w:type="dxa" w:w="1823"/>
          </w:tcPr>
          <w:p>
            <w:pPr>
              <w:spacing w:after="20" w:before="20" w:line="252" w:lineRule="auto"/>
              <w:jc w:val="left"/>
            </w:pPr>
            <w:r>
              <w:rPr>
                <w:rFonts w:ascii="Calibri" w:hAnsi="Calibri" w:eastAsia="Microsoft YaHei" w:cs="Calibri"/>
                <w:sz w:val="16"/>
              </w:rPr>
              <w:t>ADARx</w:t>
            </w:r>
          </w:p>
        </w:tc>
        <w:tc>
          <w:tcPr>
            <w:tcW w:type="dxa" w:w="849"/>
          </w:tcPr>
          <w:p>
            <w:pPr>
              <w:spacing w:after="20" w:before="20" w:line="252" w:lineRule="auto"/>
              <w:jc w:val="center"/>
            </w:pPr>
            <w:r>
              <w:rPr>
                <w:rFonts w:ascii="Calibri" w:hAnsi="Calibri" w:eastAsia="Microsoft YaHei" w:cs="Calibri"/>
                <w:sz w:val="16"/>
              </w:rPr>
              <w:t>2026-09-24</w:t>
            </w:r>
          </w:p>
        </w:tc>
        <w:tc>
          <w:tcPr>
            <w:tcW w:type="dxa" w:w="1236"/>
          </w:tcPr>
          <w:p>
            <w:pPr>
              <w:spacing w:after="20" w:before="20" w:line="252" w:lineRule="auto"/>
              <w:jc w:val="center"/>
            </w:pPr>
            <w:r>
              <w:rPr>
                <w:rFonts w:ascii="Calibri" w:hAnsi="Calibri" w:eastAsia="Microsoft YaHei" w:cs="Calibri"/>
                <w:sz w:val="16"/>
              </w:rPr>
              <w:t>Biotech</w:t>
            </w:r>
          </w:p>
        </w:tc>
        <w:tc>
          <w:tcPr>
            <w:tcW w:type="dxa" w:w="982"/>
          </w:tcPr>
          <w:p>
            <w:pPr>
              <w:spacing w:after="20" w:before="20" w:line="252" w:lineRule="auto"/>
              <w:jc w:val="center"/>
            </w:pPr>
            <w:r>
              <w:rPr>
                <w:rFonts w:ascii="Calibri" w:hAnsi="Calibri" w:eastAsia="Microsoft YaHei" w:cs="Calibri"/>
                <w:sz w:val="16"/>
              </w:rPr>
              <w:t>446</w:t>
            </w:r>
          </w:p>
        </w:tc>
        <w:tc>
          <w:tcPr>
            <w:tcW w:type="dxa" w:w="638"/>
          </w:tcPr>
          <w:p>
            <w:pPr>
              <w:spacing w:after="20" w:before="20" w:line="252" w:lineRule="auto"/>
              <w:jc w:val="center"/>
            </w:pPr>
            <w:r>
              <w:rPr>
                <w:rFonts w:ascii="Calibri" w:hAnsi="Calibri" w:eastAsia="Microsoft YaHei" w:cs="Calibri"/>
                <w:sz w:val="16"/>
              </w:rPr>
              <w:t>31.2</w:t>
            </w:r>
          </w:p>
        </w:tc>
        <w:tc>
          <w:tcPr>
            <w:tcW w:type="dxa" w:w="564"/>
          </w:tcPr>
          <w:p>
            <w:pPr>
              <w:spacing w:after="20" w:before="20" w:line="252" w:lineRule="auto"/>
              <w:jc w:val="center"/>
            </w:pPr>
            <w:r>
              <w:rPr>
                <w:rFonts w:ascii="Calibri" w:hAnsi="Calibri" w:eastAsia="Microsoft YaHei" w:cs="Calibri"/>
                <w:sz w:val="16"/>
              </w:rPr>
              <w:t>7.00%</w:t>
            </w:r>
          </w:p>
        </w:tc>
        <w:tc>
          <w:tcPr>
            <w:tcW w:type="dxa" w:w="780"/>
          </w:tcPr>
          <w:p>
            <w:pPr>
              <w:spacing w:after="20" w:before="20" w:line="252" w:lineRule="auto"/>
              <w:jc w:val="center"/>
            </w:pPr>
            <w:r>
              <w:rPr>
                <w:rFonts w:ascii="Calibri" w:hAnsi="Calibri" w:eastAsia="Microsoft YaHei" w:cs="Calibri"/>
                <w:sz w:val="16"/>
              </w:rPr>
              <w:t>est.</w:t>
            </w:r>
          </w:p>
        </w:tc>
        <w:tc>
          <w:tcPr>
            <w:tcW w:type="dxa" w:w="2878"/>
          </w:tcPr>
          <w:p>
            <w:pPr>
              <w:spacing w:after="20" w:before="20" w:line="252" w:lineRule="auto"/>
              <w:jc w:val="left"/>
            </w:pPr>
            <w:r>
              <w:rPr>
                <w:rFonts w:ascii="Calibri" w:hAnsi="Calibri" w:eastAsia="Microsoft YaHei" w:cs="Calibri"/>
                <w:sz w:val="16"/>
              </w:rPr>
              <w:t>JPM, MS, TD Cowen, UBS</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Braveheart Bio</w:t>
            </w:r>
          </w:p>
        </w:tc>
        <w:tc>
          <w:tcPr>
            <w:tcW w:type="dxa" w:w="849"/>
            <w:shd w:val="clear" w:color="auto" w:fill="F2F5F9"/>
          </w:tcPr>
          <w:p>
            <w:pPr>
              <w:spacing w:after="20" w:before="20" w:line="252" w:lineRule="auto"/>
              <w:jc w:val="center"/>
            </w:pPr>
            <w:r>
              <w:rPr>
                <w:rFonts w:ascii="Calibri" w:hAnsi="Calibri" w:eastAsia="Microsoft YaHei" w:cs="Calibri"/>
                <w:sz w:val="16"/>
              </w:rPr>
              <w:t>2026-08-05</w:t>
            </w:r>
          </w:p>
        </w:tc>
        <w:tc>
          <w:tcPr>
            <w:tcW w:type="dxa" w:w="1236"/>
            <w:shd w:val="clear" w:color="auto" w:fill="F2F5F9"/>
          </w:tcPr>
          <w:p>
            <w:pPr>
              <w:spacing w:after="20" w:before="20" w:line="252" w:lineRule="auto"/>
              <w:jc w:val="center"/>
            </w:pPr>
            <w:r>
              <w:rPr>
                <w:rFonts w:ascii="Calibri" w:hAnsi="Calibri" w:eastAsia="Microsoft YaHei" w:cs="Calibri"/>
                <w:sz w:val="16"/>
              </w:rPr>
              <w:t>Biotech</w:t>
            </w:r>
          </w:p>
        </w:tc>
        <w:tc>
          <w:tcPr>
            <w:tcW w:type="dxa" w:w="982"/>
            <w:shd w:val="clear" w:color="auto" w:fill="F2F5F9"/>
          </w:tcPr>
          <w:p>
            <w:pPr>
              <w:spacing w:after="20" w:before="20" w:line="252" w:lineRule="auto"/>
              <w:jc w:val="center"/>
            </w:pPr>
            <w:r>
              <w:rPr>
                <w:rFonts w:ascii="Calibri" w:hAnsi="Calibri" w:eastAsia="Microsoft YaHei" w:cs="Calibri"/>
                <w:sz w:val="16"/>
              </w:rPr>
              <w:t>383</w:t>
            </w:r>
          </w:p>
        </w:tc>
        <w:tc>
          <w:tcPr>
            <w:tcW w:type="dxa" w:w="638"/>
            <w:shd w:val="clear" w:color="auto" w:fill="F2F5F9"/>
          </w:tcPr>
          <w:p>
            <w:pPr>
              <w:spacing w:after="20" w:before="20" w:line="252" w:lineRule="auto"/>
              <w:jc w:val="center"/>
            </w:pPr>
            <w:r>
              <w:rPr>
                <w:rFonts w:ascii="Calibri" w:hAnsi="Calibri" w:eastAsia="Microsoft YaHei" w:cs="Calibri"/>
                <w:sz w:val="16"/>
              </w:rPr>
              <w:t>26.8</w:t>
            </w:r>
          </w:p>
        </w:tc>
        <w:tc>
          <w:tcPr>
            <w:tcW w:type="dxa" w:w="564"/>
            <w:shd w:val="clear" w:color="auto" w:fill="F2F5F9"/>
          </w:tcPr>
          <w:p>
            <w:pPr>
              <w:spacing w:after="20" w:before="20" w:line="252" w:lineRule="auto"/>
              <w:jc w:val="center"/>
            </w:pPr>
            <w:r>
              <w:rPr>
                <w:rFonts w:ascii="Calibri" w:hAnsi="Calibri" w:eastAsia="Microsoft YaHei" w:cs="Calibri"/>
                <w:sz w:val="16"/>
              </w:rPr>
              <w:t>7.00%</w:t>
            </w:r>
          </w:p>
        </w:tc>
        <w:tc>
          <w:tcPr>
            <w:tcW w:type="dxa" w:w="780"/>
            <w:shd w:val="clear" w:color="auto" w:fill="F2F5F9"/>
          </w:tcPr>
          <w:p>
            <w:pPr>
              <w:spacing w:after="20" w:before="20" w:line="252" w:lineRule="auto"/>
              <w:jc w:val="center"/>
            </w:pPr>
            <w:r>
              <w:rPr>
                <w:rFonts w:ascii="Calibri" w:hAnsi="Calibri" w:eastAsia="Microsoft YaHei" w:cs="Calibri"/>
                <w:sz w:val="16"/>
              </w:rPr>
              <w:t>est.</w:t>
            </w:r>
          </w:p>
        </w:tc>
        <w:tc>
          <w:tcPr>
            <w:tcW w:type="dxa" w:w="2878"/>
            <w:shd w:val="clear" w:color="auto" w:fill="F2F5F9"/>
          </w:tcPr>
          <w:p>
            <w:pPr>
              <w:spacing w:after="20" w:before="20" w:line="252" w:lineRule="auto"/>
              <w:jc w:val="left"/>
            </w:pPr>
            <w:r>
              <w:rPr>
                <w:rFonts w:ascii="Calibri" w:hAnsi="Calibri" w:eastAsia="Microsoft YaHei" w:cs="Calibri"/>
                <w:sz w:val="16"/>
              </w:rPr>
              <w:t>GS, Jefferies, TD Cowen, Stifel, Cantor</w:t>
            </w:r>
          </w:p>
        </w:tc>
      </w:tr>
      <w:tr>
        <w:trPr>
          <w:cantSplit/>
        </w:trPr>
        <w:tc>
          <w:tcPr>
            <w:tcW w:type="dxa" w:w="1823"/>
          </w:tcPr>
          <w:p>
            <w:pPr>
              <w:spacing w:after="20" w:before="20" w:line="252" w:lineRule="auto"/>
              <w:jc w:val="left"/>
            </w:pPr>
            <w:r>
              <w:rPr>
                <w:rFonts w:ascii="Calibri" w:hAnsi="Calibri" w:eastAsia="Microsoft YaHei" w:cs="Calibri"/>
                <w:sz w:val="16"/>
              </w:rPr>
              <w:t>Electra</w:t>
            </w:r>
          </w:p>
        </w:tc>
        <w:tc>
          <w:tcPr>
            <w:tcW w:type="dxa" w:w="849"/>
          </w:tcPr>
          <w:p>
            <w:pPr>
              <w:spacing w:after="20" w:before="20" w:line="252" w:lineRule="auto"/>
              <w:jc w:val="center"/>
            </w:pPr>
            <w:r>
              <w:rPr>
                <w:rFonts w:ascii="Calibri" w:hAnsi="Calibri" w:eastAsia="Microsoft YaHei" w:cs="Calibri"/>
                <w:sz w:val="16"/>
              </w:rPr>
              <w:t>2026-09-17</w:t>
            </w:r>
          </w:p>
        </w:tc>
        <w:tc>
          <w:tcPr>
            <w:tcW w:type="dxa" w:w="1236"/>
          </w:tcPr>
          <w:p>
            <w:pPr>
              <w:spacing w:after="20" w:before="20" w:line="252" w:lineRule="auto"/>
              <w:jc w:val="center"/>
            </w:pPr>
            <w:r>
              <w:rPr>
                <w:rFonts w:ascii="Calibri" w:hAnsi="Calibri" w:eastAsia="Microsoft YaHei" w:cs="Calibri"/>
                <w:sz w:val="16"/>
              </w:rPr>
              <w:t>Biotech</w:t>
            </w:r>
          </w:p>
        </w:tc>
        <w:tc>
          <w:tcPr>
            <w:tcW w:type="dxa" w:w="982"/>
          </w:tcPr>
          <w:p>
            <w:pPr>
              <w:spacing w:after="20" w:before="20" w:line="252" w:lineRule="auto"/>
              <w:jc w:val="center"/>
            </w:pPr>
            <w:r>
              <w:rPr>
                <w:rFonts w:ascii="Calibri" w:hAnsi="Calibri" w:eastAsia="Microsoft YaHei" w:cs="Calibri"/>
                <w:sz w:val="16"/>
              </w:rPr>
              <w:t>350</w:t>
            </w:r>
          </w:p>
        </w:tc>
        <w:tc>
          <w:tcPr>
            <w:tcW w:type="dxa" w:w="638"/>
          </w:tcPr>
          <w:p>
            <w:pPr>
              <w:spacing w:after="20" w:before="20" w:line="252" w:lineRule="auto"/>
              <w:jc w:val="center"/>
            </w:pPr>
            <w:r>
              <w:rPr>
                <w:rFonts w:ascii="Calibri" w:hAnsi="Calibri" w:eastAsia="Microsoft YaHei" w:cs="Calibri"/>
                <w:sz w:val="16"/>
              </w:rPr>
              <w:t>24.5</w:t>
            </w:r>
          </w:p>
        </w:tc>
        <w:tc>
          <w:tcPr>
            <w:tcW w:type="dxa" w:w="564"/>
          </w:tcPr>
          <w:p>
            <w:pPr>
              <w:spacing w:after="20" w:before="20" w:line="252" w:lineRule="auto"/>
              <w:jc w:val="center"/>
            </w:pPr>
            <w:r>
              <w:rPr>
                <w:rFonts w:ascii="Calibri" w:hAnsi="Calibri" w:eastAsia="Microsoft YaHei" w:cs="Calibri"/>
                <w:sz w:val="16"/>
              </w:rPr>
              <w:t>7.00%</w:t>
            </w:r>
          </w:p>
        </w:tc>
        <w:tc>
          <w:tcPr>
            <w:tcW w:type="dxa" w:w="780"/>
          </w:tcPr>
          <w:p>
            <w:pPr>
              <w:spacing w:after="20" w:before="20" w:line="252" w:lineRule="auto"/>
              <w:jc w:val="center"/>
            </w:pPr>
            <w:r>
              <w:rPr>
                <w:rFonts w:ascii="Calibri" w:hAnsi="Calibri" w:eastAsia="Microsoft YaHei" w:cs="Calibri"/>
                <w:sz w:val="16"/>
              </w:rPr>
              <w:t>est.</w:t>
            </w:r>
          </w:p>
        </w:tc>
        <w:tc>
          <w:tcPr>
            <w:tcW w:type="dxa" w:w="2878"/>
          </w:tcPr>
          <w:p>
            <w:pPr>
              <w:spacing w:after="20" w:before="20" w:line="252" w:lineRule="auto"/>
              <w:jc w:val="left"/>
            </w:pPr>
            <w:r>
              <w:rPr>
                <w:rFonts w:ascii="Calibri" w:hAnsi="Calibri" w:eastAsia="Microsoft YaHei" w:cs="Calibri"/>
                <w:sz w:val="16"/>
              </w:rPr>
              <w:t>Jefferies, TD Cowen, Evercore, Cantor</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Latigo</w:t>
            </w:r>
          </w:p>
        </w:tc>
        <w:tc>
          <w:tcPr>
            <w:tcW w:type="dxa" w:w="849"/>
            <w:shd w:val="clear" w:color="auto" w:fill="F2F5F9"/>
          </w:tcPr>
          <w:p>
            <w:pPr>
              <w:spacing w:after="20" w:before="20" w:line="252" w:lineRule="auto"/>
              <w:jc w:val="center"/>
            </w:pPr>
            <w:r>
              <w:rPr>
                <w:rFonts w:ascii="Calibri" w:hAnsi="Calibri" w:eastAsia="Microsoft YaHei" w:cs="Calibri"/>
                <w:sz w:val="16"/>
              </w:rPr>
              <w:t>2026-08-06</w:t>
            </w:r>
          </w:p>
        </w:tc>
        <w:tc>
          <w:tcPr>
            <w:tcW w:type="dxa" w:w="1236"/>
            <w:shd w:val="clear" w:color="auto" w:fill="F2F5F9"/>
          </w:tcPr>
          <w:p>
            <w:pPr>
              <w:spacing w:after="20" w:before="20" w:line="252" w:lineRule="auto"/>
              <w:jc w:val="center"/>
            </w:pPr>
            <w:r>
              <w:rPr>
                <w:rFonts w:ascii="Calibri" w:hAnsi="Calibri" w:eastAsia="Microsoft YaHei" w:cs="Calibri"/>
                <w:sz w:val="16"/>
              </w:rPr>
              <w:t>Biotech</w:t>
            </w:r>
          </w:p>
        </w:tc>
        <w:tc>
          <w:tcPr>
            <w:tcW w:type="dxa" w:w="982"/>
            <w:shd w:val="clear" w:color="auto" w:fill="F2F5F9"/>
          </w:tcPr>
          <w:p>
            <w:pPr>
              <w:spacing w:after="20" w:before="20" w:line="252" w:lineRule="auto"/>
              <w:jc w:val="center"/>
            </w:pPr>
            <w:r>
              <w:rPr>
                <w:rFonts w:ascii="Calibri" w:hAnsi="Calibri" w:eastAsia="Microsoft YaHei" w:cs="Calibri"/>
                <w:sz w:val="16"/>
              </w:rPr>
              <w:t>346</w:t>
            </w:r>
          </w:p>
        </w:tc>
        <w:tc>
          <w:tcPr>
            <w:tcW w:type="dxa" w:w="638"/>
            <w:shd w:val="clear" w:color="auto" w:fill="F2F5F9"/>
          </w:tcPr>
          <w:p>
            <w:pPr>
              <w:spacing w:after="20" w:before="20" w:line="252" w:lineRule="auto"/>
              <w:jc w:val="center"/>
            </w:pPr>
            <w:r>
              <w:rPr>
                <w:rFonts w:ascii="Calibri" w:hAnsi="Calibri" w:eastAsia="Microsoft YaHei" w:cs="Calibri"/>
                <w:sz w:val="16"/>
              </w:rPr>
              <w:t>24.2</w:t>
            </w:r>
          </w:p>
        </w:tc>
        <w:tc>
          <w:tcPr>
            <w:tcW w:type="dxa" w:w="564"/>
            <w:shd w:val="clear" w:color="auto" w:fill="F2F5F9"/>
          </w:tcPr>
          <w:p>
            <w:pPr>
              <w:spacing w:after="20" w:before="20" w:line="252" w:lineRule="auto"/>
              <w:jc w:val="center"/>
            </w:pPr>
            <w:r>
              <w:rPr>
                <w:rFonts w:ascii="Calibri" w:hAnsi="Calibri" w:eastAsia="Microsoft YaHei" w:cs="Calibri"/>
                <w:sz w:val="16"/>
              </w:rPr>
              <w:t>7.00%</w:t>
            </w:r>
          </w:p>
        </w:tc>
        <w:tc>
          <w:tcPr>
            <w:tcW w:type="dxa" w:w="780"/>
            <w:shd w:val="clear" w:color="auto" w:fill="F2F5F9"/>
          </w:tcPr>
          <w:p>
            <w:pPr>
              <w:spacing w:after="20" w:before="20" w:line="252" w:lineRule="auto"/>
              <w:jc w:val="center"/>
            </w:pPr>
            <w:r>
              <w:rPr>
                <w:rFonts w:ascii="Calibri" w:hAnsi="Calibri" w:eastAsia="Microsoft YaHei" w:cs="Calibri"/>
                <w:sz w:val="16"/>
              </w:rPr>
              <w:t>est.</w:t>
            </w:r>
          </w:p>
        </w:tc>
        <w:tc>
          <w:tcPr>
            <w:tcW w:type="dxa" w:w="2878"/>
            <w:shd w:val="clear" w:color="auto" w:fill="F2F5F9"/>
          </w:tcPr>
          <w:p>
            <w:pPr>
              <w:spacing w:after="20" w:before="20" w:line="252" w:lineRule="auto"/>
              <w:jc w:val="left"/>
            </w:pPr>
            <w:r>
              <w:rPr>
                <w:rFonts w:ascii="Calibri" w:hAnsi="Calibri" w:eastAsia="Microsoft YaHei" w:cs="Calibri"/>
                <w:sz w:val="16"/>
              </w:rPr>
              <w:t>GS, Jefferies, Leerink, Guggenheim</w:t>
            </w:r>
          </w:p>
        </w:tc>
      </w:tr>
      <w:tr>
        <w:trPr>
          <w:cantSplit/>
        </w:trPr>
        <w:tc>
          <w:tcPr>
            <w:tcW w:type="dxa" w:w="1823"/>
          </w:tcPr>
          <w:p>
            <w:pPr>
              <w:spacing w:after="20" w:before="20" w:line="252" w:lineRule="auto"/>
              <w:jc w:val="left"/>
            </w:pPr>
            <w:r>
              <w:rPr>
                <w:rFonts w:ascii="Calibri" w:hAnsi="Calibri" w:eastAsia="Microsoft YaHei" w:cs="Calibri"/>
                <w:sz w:val="16"/>
              </w:rPr>
              <w:t>Lyntris</w:t>
            </w:r>
          </w:p>
        </w:tc>
        <w:tc>
          <w:tcPr>
            <w:tcW w:type="dxa" w:w="849"/>
          </w:tcPr>
          <w:p>
            <w:pPr>
              <w:spacing w:after="20" w:before="20" w:line="252" w:lineRule="auto"/>
              <w:jc w:val="center"/>
            </w:pPr>
            <w:r>
              <w:rPr>
                <w:rFonts w:ascii="Calibri" w:hAnsi="Calibri" w:eastAsia="Microsoft YaHei" w:cs="Calibri"/>
                <w:sz w:val="16"/>
              </w:rPr>
              <w:t>2026-08-18</w:t>
            </w:r>
          </w:p>
        </w:tc>
        <w:tc>
          <w:tcPr>
            <w:tcW w:type="dxa" w:w="1236"/>
          </w:tcPr>
          <w:p>
            <w:pPr>
              <w:spacing w:after="20" w:before="20" w:line="252" w:lineRule="auto"/>
              <w:jc w:val="center"/>
            </w:pPr>
            <w:r>
              <w:rPr>
                <w:rFonts w:ascii="Calibri" w:hAnsi="Calibri" w:eastAsia="Microsoft YaHei" w:cs="Calibri"/>
                <w:sz w:val="16"/>
              </w:rPr>
              <w:t>Tech</w:t>
            </w:r>
          </w:p>
        </w:tc>
        <w:tc>
          <w:tcPr>
            <w:tcW w:type="dxa" w:w="982"/>
          </w:tcPr>
          <w:p>
            <w:pPr>
              <w:spacing w:after="20" w:before="20" w:line="252" w:lineRule="auto"/>
              <w:jc w:val="center"/>
            </w:pPr>
            <w:r>
              <w:rPr>
                <w:rFonts w:ascii="Calibri" w:hAnsi="Calibri" w:eastAsia="Microsoft YaHei" w:cs="Calibri"/>
                <w:sz w:val="16"/>
              </w:rPr>
              <w:t>298</w:t>
            </w:r>
          </w:p>
        </w:tc>
        <w:tc>
          <w:tcPr>
            <w:tcW w:type="dxa" w:w="638"/>
          </w:tcPr>
          <w:p>
            <w:pPr>
              <w:spacing w:after="20" w:before="20" w:line="252" w:lineRule="auto"/>
              <w:jc w:val="center"/>
            </w:pPr>
            <w:r>
              <w:rPr>
                <w:rFonts w:ascii="Calibri" w:hAnsi="Calibri" w:eastAsia="Microsoft YaHei" w:cs="Calibri"/>
                <w:sz w:val="16"/>
              </w:rPr>
              <w:t>20.9</w:t>
            </w:r>
          </w:p>
        </w:tc>
        <w:tc>
          <w:tcPr>
            <w:tcW w:type="dxa" w:w="564"/>
          </w:tcPr>
          <w:p>
            <w:pPr>
              <w:spacing w:after="20" w:before="20" w:line="252" w:lineRule="auto"/>
              <w:jc w:val="center"/>
            </w:pPr>
            <w:r>
              <w:rPr>
                <w:rFonts w:ascii="Calibri" w:hAnsi="Calibri" w:eastAsia="Microsoft YaHei" w:cs="Calibri"/>
                <w:sz w:val="16"/>
              </w:rPr>
              <w:t>7.00%</w:t>
            </w:r>
          </w:p>
        </w:tc>
        <w:tc>
          <w:tcPr>
            <w:tcW w:type="dxa" w:w="780"/>
          </w:tcPr>
          <w:p>
            <w:pPr>
              <w:spacing w:after="20" w:before="20" w:line="252" w:lineRule="auto"/>
              <w:jc w:val="center"/>
            </w:pPr>
            <w:r>
              <w:rPr>
                <w:rFonts w:ascii="Calibri" w:hAnsi="Calibri" w:eastAsia="Microsoft YaHei" w:cs="Calibri"/>
                <w:sz w:val="16"/>
              </w:rPr>
              <w:t>est.</w:t>
            </w:r>
          </w:p>
        </w:tc>
        <w:tc>
          <w:tcPr>
            <w:tcW w:type="dxa" w:w="2878"/>
          </w:tcPr>
          <w:p>
            <w:pPr>
              <w:spacing w:after="20" w:before="20" w:line="252" w:lineRule="auto"/>
              <w:jc w:val="left"/>
            </w:pPr>
            <w:r>
              <w:rPr>
                <w:rFonts w:ascii="Calibri" w:hAnsi="Calibri" w:eastAsia="Microsoft YaHei" w:cs="Calibri"/>
                <w:sz w:val="16"/>
              </w:rPr>
              <w:t>Evercore, Citi, Guggenheim; BofA</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Attovia</w:t>
            </w:r>
          </w:p>
        </w:tc>
        <w:tc>
          <w:tcPr>
            <w:tcW w:type="dxa" w:w="849"/>
            <w:shd w:val="clear" w:color="auto" w:fill="F2F5F9"/>
          </w:tcPr>
          <w:p>
            <w:pPr>
              <w:spacing w:after="20" w:before="20" w:line="252" w:lineRule="auto"/>
              <w:jc w:val="center"/>
            </w:pPr>
            <w:r>
              <w:rPr>
                <w:rFonts w:ascii="Calibri" w:hAnsi="Calibri" w:eastAsia="Microsoft YaHei" w:cs="Calibri"/>
                <w:sz w:val="16"/>
              </w:rPr>
              <w:t>2026-08-04</w:t>
            </w:r>
          </w:p>
        </w:tc>
        <w:tc>
          <w:tcPr>
            <w:tcW w:type="dxa" w:w="1236"/>
            <w:shd w:val="clear" w:color="auto" w:fill="F2F5F9"/>
          </w:tcPr>
          <w:p>
            <w:pPr>
              <w:spacing w:after="20" w:before="20" w:line="252" w:lineRule="auto"/>
              <w:jc w:val="center"/>
            </w:pPr>
            <w:r>
              <w:rPr>
                <w:rFonts w:ascii="Calibri" w:hAnsi="Calibri" w:eastAsia="Microsoft YaHei" w:cs="Calibri"/>
                <w:sz w:val="16"/>
              </w:rPr>
              <w:t>Biotech</w:t>
            </w:r>
          </w:p>
        </w:tc>
        <w:tc>
          <w:tcPr>
            <w:tcW w:type="dxa" w:w="982"/>
            <w:shd w:val="clear" w:color="auto" w:fill="F2F5F9"/>
          </w:tcPr>
          <w:p>
            <w:pPr>
              <w:spacing w:after="20" w:before="20" w:line="252" w:lineRule="auto"/>
              <w:jc w:val="center"/>
            </w:pPr>
            <w:r>
              <w:rPr>
                <w:rFonts w:ascii="Calibri" w:hAnsi="Calibri" w:eastAsia="Microsoft YaHei" w:cs="Calibri"/>
                <w:sz w:val="16"/>
              </w:rPr>
              <w:t>289</w:t>
            </w:r>
          </w:p>
        </w:tc>
        <w:tc>
          <w:tcPr>
            <w:tcW w:type="dxa" w:w="638"/>
            <w:shd w:val="clear" w:color="auto" w:fill="F2F5F9"/>
          </w:tcPr>
          <w:p>
            <w:pPr>
              <w:spacing w:after="20" w:before="20" w:line="252" w:lineRule="auto"/>
              <w:jc w:val="center"/>
            </w:pPr>
            <w:r>
              <w:rPr>
                <w:rFonts w:ascii="Calibri" w:hAnsi="Calibri" w:eastAsia="Microsoft YaHei" w:cs="Calibri"/>
                <w:sz w:val="16"/>
              </w:rPr>
              <w:t>20.2</w:t>
            </w:r>
          </w:p>
        </w:tc>
        <w:tc>
          <w:tcPr>
            <w:tcW w:type="dxa" w:w="564"/>
            <w:shd w:val="clear" w:color="auto" w:fill="F2F5F9"/>
          </w:tcPr>
          <w:p>
            <w:pPr>
              <w:spacing w:after="20" w:before="20" w:line="252" w:lineRule="auto"/>
              <w:jc w:val="center"/>
            </w:pPr>
            <w:r>
              <w:rPr>
                <w:rFonts w:ascii="Calibri" w:hAnsi="Calibri" w:eastAsia="Microsoft YaHei" w:cs="Calibri"/>
                <w:sz w:val="16"/>
              </w:rPr>
              <w:t>7.00%</w:t>
            </w:r>
          </w:p>
        </w:tc>
        <w:tc>
          <w:tcPr>
            <w:tcW w:type="dxa" w:w="780"/>
            <w:shd w:val="clear" w:color="auto" w:fill="F2F5F9"/>
          </w:tcPr>
          <w:p>
            <w:pPr>
              <w:spacing w:after="20" w:before="20" w:line="252" w:lineRule="auto"/>
              <w:jc w:val="center"/>
            </w:pPr>
            <w:r>
              <w:rPr>
                <w:rFonts w:ascii="Calibri" w:hAnsi="Calibri" w:eastAsia="Microsoft YaHei" w:cs="Calibri"/>
                <w:sz w:val="16"/>
              </w:rPr>
              <w:t>disclosed</w:t>
            </w:r>
          </w:p>
        </w:tc>
        <w:tc>
          <w:tcPr>
            <w:tcW w:type="dxa" w:w="2878"/>
            <w:shd w:val="clear" w:color="auto" w:fill="F2F5F9"/>
          </w:tcPr>
          <w:p>
            <w:pPr>
              <w:spacing w:after="20" w:before="20" w:line="252" w:lineRule="auto"/>
              <w:jc w:val="left"/>
            </w:pPr>
            <w:r>
              <w:rPr>
                <w:rFonts w:ascii="Calibri" w:hAnsi="Calibri" w:eastAsia="Microsoft YaHei" w:cs="Calibri"/>
                <w:sz w:val="16"/>
              </w:rPr>
              <w:t>MS, Leerink, Citi, RBC</w:t>
            </w:r>
          </w:p>
        </w:tc>
      </w:tr>
      <w:tr>
        <w:trPr>
          <w:cantSplit/>
        </w:trPr>
        <w:tc>
          <w:tcPr>
            <w:tcW w:type="dxa" w:w="1823"/>
          </w:tcPr>
          <w:p>
            <w:pPr>
              <w:spacing w:after="20" w:before="20" w:line="252" w:lineRule="auto"/>
              <w:jc w:val="left"/>
            </w:pPr>
            <w:r>
              <w:rPr>
                <w:rFonts w:ascii="Calibri" w:hAnsi="Calibri" w:eastAsia="Microsoft YaHei" w:cs="Calibri"/>
                <w:sz w:val="16"/>
              </w:rPr>
              <w:t>Orion180</w:t>
            </w:r>
          </w:p>
        </w:tc>
        <w:tc>
          <w:tcPr>
            <w:tcW w:type="dxa" w:w="849"/>
          </w:tcPr>
          <w:p>
            <w:pPr>
              <w:spacing w:after="20" w:before="20" w:line="252" w:lineRule="auto"/>
              <w:jc w:val="center"/>
            </w:pPr>
            <w:r>
              <w:rPr>
                <w:rFonts w:ascii="Calibri" w:hAnsi="Calibri" w:eastAsia="Microsoft YaHei" w:cs="Calibri"/>
                <w:sz w:val="16"/>
              </w:rPr>
              <w:t>2026-09-17</w:t>
            </w:r>
          </w:p>
        </w:tc>
        <w:tc>
          <w:tcPr>
            <w:tcW w:type="dxa" w:w="1236"/>
          </w:tcPr>
          <w:p>
            <w:pPr>
              <w:spacing w:after="20" w:before="20" w:line="252" w:lineRule="auto"/>
              <w:jc w:val="center"/>
            </w:pPr>
            <w:r>
              <w:rPr>
                <w:rFonts w:ascii="Calibri" w:hAnsi="Calibri" w:eastAsia="Microsoft YaHei" w:cs="Calibri"/>
                <w:sz w:val="16"/>
              </w:rPr>
              <w:t>Biotech</w:t>
            </w:r>
          </w:p>
        </w:tc>
        <w:tc>
          <w:tcPr>
            <w:tcW w:type="dxa" w:w="982"/>
          </w:tcPr>
          <w:p>
            <w:pPr>
              <w:spacing w:after="20" w:before="20" w:line="252" w:lineRule="auto"/>
              <w:jc w:val="center"/>
            </w:pPr>
            <w:r>
              <w:rPr>
                <w:rFonts w:ascii="Calibri" w:hAnsi="Calibri" w:eastAsia="Microsoft YaHei" w:cs="Calibri"/>
                <w:sz w:val="16"/>
              </w:rPr>
              <w:t>240</w:t>
            </w:r>
          </w:p>
        </w:tc>
        <w:tc>
          <w:tcPr>
            <w:tcW w:type="dxa" w:w="638"/>
          </w:tcPr>
          <w:p>
            <w:pPr>
              <w:spacing w:after="20" w:before="20" w:line="252" w:lineRule="auto"/>
              <w:jc w:val="center"/>
            </w:pPr>
            <w:r>
              <w:rPr>
                <w:rFonts w:ascii="Calibri" w:hAnsi="Calibri" w:eastAsia="Microsoft YaHei" w:cs="Calibri"/>
                <w:sz w:val="16"/>
              </w:rPr>
              <w:t>16.8</w:t>
            </w:r>
          </w:p>
        </w:tc>
        <w:tc>
          <w:tcPr>
            <w:tcW w:type="dxa" w:w="564"/>
          </w:tcPr>
          <w:p>
            <w:pPr>
              <w:spacing w:after="20" w:before="20" w:line="252" w:lineRule="auto"/>
              <w:jc w:val="center"/>
            </w:pPr>
            <w:r>
              <w:rPr>
                <w:rFonts w:ascii="Calibri" w:hAnsi="Calibri" w:eastAsia="Microsoft YaHei" w:cs="Calibri"/>
                <w:sz w:val="16"/>
              </w:rPr>
              <w:t>7.00%</w:t>
            </w:r>
          </w:p>
        </w:tc>
        <w:tc>
          <w:tcPr>
            <w:tcW w:type="dxa" w:w="780"/>
          </w:tcPr>
          <w:p>
            <w:pPr>
              <w:spacing w:after="20" w:before="20" w:line="252" w:lineRule="auto"/>
              <w:jc w:val="center"/>
            </w:pPr>
            <w:r>
              <w:rPr>
                <w:rFonts w:ascii="Calibri" w:hAnsi="Calibri" w:eastAsia="Microsoft YaHei" w:cs="Calibri"/>
                <w:sz w:val="16"/>
              </w:rPr>
              <w:t>est.</w:t>
            </w:r>
          </w:p>
        </w:tc>
        <w:tc>
          <w:tcPr>
            <w:tcW w:type="dxa" w:w="2878"/>
          </w:tcPr>
          <w:p>
            <w:pPr>
              <w:spacing w:after="20" w:before="20" w:line="252" w:lineRule="auto"/>
              <w:jc w:val="left"/>
            </w:pPr>
            <w:r>
              <w:rPr>
                <w:rFonts w:ascii="Calibri" w:hAnsi="Calibri" w:eastAsia="Microsoft YaHei" w:cs="Calibri"/>
                <w:sz w:val="16"/>
              </w:rPr>
              <w:t>RBC, UBS, Raymond James; GS</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Reformation</w:t>
            </w:r>
          </w:p>
        </w:tc>
        <w:tc>
          <w:tcPr>
            <w:tcW w:type="dxa" w:w="849"/>
            <w:shd w:val="clear" w:color="auto" w:fill="F2F5F9"/>
          </w:tcPr>
          <w:p>
            <w:pPr>
              <w:spacing w:after="20" w:before="20" w:line="252" w:lineRule="auto"/>
              <w:jc w:val="center"/>
            </w:pPr>
            <w:r>
              <w:rPr>
                <w:rFonts w:ascii="Calibri" w:hAnsi="Calibri" w:eastAsia="Microsoft YaHei" w:cs="Calibri"/>
                <w:sz w:val="16"/>
              </w:rPr>
              <w:t>2026-07-29</w:t>
            </w:r>
          </w:p>
        </w:tc>
        <w:tc>
          <w:tcPr>
            <w:tcW w:type="dxa" w:w="1236"/>
            <w:shd w:val="clear" w:color="auto" w:fill="F2F5F9"/>
          </w:tcPr>
          <w:p>
            <w:pPr>
              <w:spacing w:after="20" w:before="20" w:line="252" w:lineRule="auto"/>
              <w:jc w:val="center"/>
            </w:pPr>
            <w:r>
              <w:rPr>
                <w:rFonts w:ascii="Calibri" w:hAnsi="Calibri" w:eastAsia="Microsoft YaHei" w:cs="Calibri"/>
                <w:sz w:val="16"/>
              </w:rPr>
              <w:t>Consumer</w:t>
            </w:r>
          </w:p>
        </w:tc>
        <w:tc>
          <w:tcPr>
            <w:tcW w:type="dxa" w:w="982"/>
            <w:shd w:val="clear" w:color="auto" w:fill="F2F5F9"/>
          </w:tcPr>
          <w:p>
            <w:pPr>
              <w:spacing w:after="20" w:before="20" w:line="252" w:lineRule="auto"/>
              <w:jc w:val="center"/>
            </w:pPr>
            <w:r>
              <w:rPr>
                <w:rFonts w:ascii="Calibri" w:hAnsi="Calibri" w:eastAsia="Microsoft YaHei" w:cs="Calibri"/>
                <w:sz w:val="16"/>
              </w:rPr>
              <w:t>211</w:t>
            </w:r>
          </w:p>
        </w:tc>
        <w:tc>
          <w:tcPr>
            <w:tcW w:type="dxa" w:w="638"/>
            <w:shd w:val="clear" w:color="auto" w:fill="F2F5F9"/>
          </w:tcPr>
          <w:p>
            <w:pPr>
              <w:spacing w:after="20" w:before="20" w:line="252" w:lineRule="auto"/>
              <w:jc w:val="center"/>
            </w:pPr>
            <w:r>
              <w:rPr>
                <w:rFonts w:ascii="Calibri" w:hAnsi="Calibri" w:eastAsia="Microsoft YaHei" w:cs="Calibri"/>
                <w:sz w:val="16"/>
              </w:rPr>
              <w:t>14.8</w:t>
            </w:r>
          </w:p>
        </w:tc>
        <w:tc>
          <w:tcPr>
            <w:tcW w:type="dxa" w:w="564"/>
            <w:shd w:val="clear" w:color="auto" w:fill="F2F5F9"/>
          </w:tcPr>
          <w:p>
            <w:pPr>
              <w:spacing w:after="20" w:before="20" w:line="252" w:lineRule="auto"/>
              <w:jc w:val="center"/>
            </w:pPr>
            <w:r>
              <w:rPr>
                <w:rFonts w:ascii="Calibri" w:hAnsi="Calibri" w:eastAsia="Microsoft YaHei" w:cs="Calibri"/>
                <w:sz w:val="16"/>
              </w:rPr>
              <w:t>7.00%</w:t>
            </w:r>
          </w:p>
        </w:tc>
        <w:tc>
          <w:tcPr>
            <w:tcW w:type="dxa" w:w="780"/>
            <w:shd w:val="clear" w:color="auto" w:fill="F2F5F9"/>
          </w:tcPr>
          <w:p>
            <w:pPr>
              <w:spacing w:after="20" w:before="20" w:line="252" w:lineRule="auto"/>
              <w:jc w:val="center"/>
            </w:pPr>
            <w:r>
              <w:rPr>
                <w:rFonts w:ascii="Calibri" w:hAnsi="Calibri" w:eastAsia="Microsoft YaHei" w:cs="Calibri"/>
                <w:sz w:val="16"/>
              </w:rPr>
              <w:t>est.</w:t>
            </w:r>
          </w:p>
        </w:tc>
        <w:tc>
          <w:tcPr>
            <w:tcW w:type="dxa" w:w="2878"/>
            <w:shd w:val="clear" w:color="auto" w:fill="F2F5F9"/>
          </w:tcPr>
          <w:p>
            <w:pPr>
              <w:spacing w:after="20" w:before="20" w:line="252" w:lineRule="auto"/>
              <w:jc w:val="left"/>
            </w:pPr>
            <w:r>
              <w:rPr>
                <w:rFonts w:ascii="Calibri" w:hAnsi="Calibri" w:eastAsia="Microsoft YaHei" w:cs="Calibri"/>
                <w:sz w:val="16"/>
              </w:rPr>
              <w:t>JPM, MS; Citi, RBC</w:t>
            </w:r>
          </w:p>
        </w:tc>
      </w:tr>
      <w:tr>
        <w:trPr>
          <w:cantSplit/>
        </w:trPr>
        <w:tc>
          <w:tcPr>
            <w:tcW w:type="dxa" w:w="1823"/>
          </w:tcPr>
          <w:p>
            <w:pPr>
              <w:spacing w:after="20" w:before="20" w:line="252" w:lineRule="auto"/>
              <w:jc w:val="left"/>
            </w:pPr>
            <w:r>
              <w:rPr>
                <w:rFonts w:ascii="Calibri" w:hAnsi="Calibri" w:eastAsia="Microsoft YaHei" w:cs="Calibri"/>
                <w:sz w:val="16"/>
              </w:rPr>
              <w:t>Apnimed</w:t>
            </w:r>
          </w:p>
        </w:tc>
        <w:tc>
          <w:tcPr>
            <w:tcW w:type="dxa" w:w="849"/>
          </w:tcPr>
          <w:p>
            <w:pPr>
              <w:spacing w:after="20" w:before="20" w:line="252" w:lineRule="auto"/>
              <w:jc w:val="center"/>
            </w:pPr>
            <w:r>
              <w:rPr>
                <w:rFonts w:ascii="Calibri" w:hAnsi="Calibri" w:eastAsia="Microsoft YaHei" w:cs="Calibri"/>
                <w:sz w:val="16"/>
              </w:rPr>
              <w:t>2026-07-30</w:t>
            </w:r>
          </w:p>
        </w:tc>
        <w:tc>
          <w:tcPr>
            <w:tcW w:type="dxa" w:w="1236"/>
          </w:tcPr>
          <w:p>
            <w:pPr>
              <w:spacing w:after="20" w:before="20" w:line="252" w:lineRule="auto"/>
              <w:jc w:val="center"/>
            </w:pPr>
            <w:r>
              <w:rPr>
                <w:rFonts w:ascii="Calibri" w:hAnsi="Calibri" w:eastAsia="Microsoft YaHei" w:cs="Calibri"/>
                <w:sz w:val="16"/>
              </w:rPr>
              <w:t>Biotech</w:t>
            </w:r>
          </w:p>
        </w:tc>
        <w:tc>
          <w:tcPr>
            <w:tcW w:type="dxa" w:w="982"/>
          </w:tcPr>
          <w:p>
            <w:pPr>
              <w:spacing w:after="20" w:before="20" w:line="252" w:lineRule="auto"/>
              <w:jc w:val="center"/>
            </w:pPr>
            <w:r>
              <w:rPr>
                <w:rFonts w:ascii="Calibri" w:hAnsi="Calibri" w:eastAsia="Microsoft YaHei" w:cs="Calibri"/>
                <w:sz w:val="16"/>
              </w:rPr>
              <w:t>192</w:t>
            </w:r>
          </w:p>
        </w:tc>
        <w:tc>
          <w:tcPr>
            <w:tcW w:type="dxa" w:w="638"/>
          </w:tcPr>
          <w:p>
            <w:pPr>
              <w:spacing w:after="20" w:before="20" w:line="252" w:lineRule="auto"/>
              <w:jc w:val="center"/>
            </w:pPr>
            <w:r>
              <w:rPr>
                <w:rFonts w:ascii="Calibri" w:hAnsi="Calibri" w:eastAsia="Microsoft YaHei" w:cs="Calibri"/>
                <w:sz w:val="16"/>
              </w:rPr>
              <w:t>13.4</w:t>
            </w:r>
          </w:p>
        </w:tc>
        <w:tc>
          <w:tcPr>
            <w:tcW w:type="dxa" w:w="564"/>
          </w:tcPr>
          <w:p>
            <w:pPr>
              <w:spacing w:after="20" w:before="20" w:line="252" w:lineRule="auto"/>
              <w:jc w:val="center"/>
            </w:pPr>
            <w:r>
              <w:rPr>
                <w:rFonts w:ascii="Calibri" w:hAnsi="Calibri" w:eastAsia="Microsoft YaHei" w:cs="Calibri"/>
                <w:sz w:val="16"/>
              </w:rPr>
              <w:t>7.00%</w:t>
            </w:r>
          </w:p>
        </w:tc>
        <w:tc>
          <w:tcPr>
            <w:tcW w:type="dxa" w:w="780"/>
          </w:tcPr>
          <w:p>
            <w:pPr>
              <w:spacing w:after="20" w:before="20" w:line="252" w:lineRule="auto"/>
              <w:jc w:val="center"/>
            </w:pPr>
            <w:r>
              <w:rPr>
                <w:rFonts w:ascii="Calibri" w:hAnsi="Calibri" w:eastAsia="Microsoft YaHei" w:cs="Calibri"/>
                <w:sz w:val="16"/>
              </w:rPr>
              <w:t>est.</w:t>
            </w:r>
          </w:p>
        </w:tc>
        <w:tc>
          <w:tcPr>
            <w:tcW w:type="dxa" w:w="2878"/>
          </w:tcPr>
          <w:p>
            <w:pPr>
              <w:spacing w:after="20" w:before="20" w:line="252" w:lineRule="auto"/>
              <w:jc w:val="left"/>
            </w:pPr>
            <w:r>
              <w:rPr>
                <w:rFonts w:ascii="Calibri" w:hAnsi="Calibri" w:eastAsia="Microsoft YaHei" w:cs="Calibri"/>
                <w:sz w:val="16"/>
              </w:rPr>
              <w:t>BofA, Evercore, Cantor, LifeSci</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Robinhood Ventures Fund II</w:t>
            </w:r>
          </w:p>
        </w:tc>
        <w:tc>
          <w:tcPr>
            <w:tcW w:type="dxa" w:w="849"/>
            <w:shd w:val="clear" w:color="auto" w:fill="F2F5F9"/>
          </w:tcPr>
          <w:p>
            <w:pPr>
              <w:spacing w:after="20" w:before="20" w:line="252" w:lineRule="auto"/>
              <w:jc w:val="center"/>
            </w:pPr>
            <w:r>
              <w:rPr>
                <w:rFonts w:ascii="Calibri" w:hAnsi="Calibri" w:eastAsia="Microsoft YaHei" w:cs="Calibri"/>
                <w:sz w:val="16"/>
              </w:rPr>
              <w:t>2026-09</w:t>
            </w:r>
          </w:p>
        </w:tc>
        <w:tc>
          <w:tcPr>
            <w:tcW w:type="dxa" w:w="1236"/>
            <w:shd w:val="clear" w:color="auto" w:fill="F2F5F9"/>
          </w:tcPr>
          <w:p>
            <w:pPr>
              <w:spacing w:after="20" w:before="20" w:line="252" w:lineRule="auto"/>
              <w:jc w:val="center"/>
            </w:pPr>
            <w:r>
              <w:rPr>
                <w:rFonts w:ascii="Calibri" w:hAnsi="Calibri" w:eastAsia="Microsoft YaHei" w:cs="Calibri"/>
                <w:sz w:val="16"/>
              </w:rPr>
              <w:t>Closed-end fund</w:t>
            </w:r>
          </w:p>
        </w:tc>
        <w:tc>
          <w:tcPr>
            <w:tcW w:type="dxa" w:w="982"/>
            <w:shd w:val="clear" w:color="auto" w:fill="F2F5F9"/>
          </w:tcPr>
          <w:p>
            <w:pPr>
              <w:spacing w:after="20" w:before="20" w:line="252" w:lineRule="auto"/>
              <w:jc w:val="center"/>
            </w:pPr>
            <w:r>
              <w:rPr>
                <w:rFonts w:ascii="Calibri" w:hAnsi="Calibri" w:eastAsia="Microsoft YaHei" w:cs="Calibri"/>
                <w:sz w:val="16"/>
              </w:rPr>
              <w:t>200</w:t>
            </w:r>
          </w:p>
        </w:tc>
        <w:tc>
          <w:tcPr>
            <w:tcW w:type="dxa" w:w="638"/>
            <w:shd w:val="clear" w:color="auto" w:fill="F2F5F9"/>
          </w:tcPr>
          <w:p>
            <w:pPr>
              <w:spacing w:after="20" w:before="20" w:line="252" w:lineRule="auto"/>
              <w:jc w:val="center"/>
            </w:pPr>
            <w:r>
              <w:rPr>
                <w:rFonts w:ascii="Calibri" w:hAnsi="Calibri" w:eastAsia="Microsoft YaHei" w:cs="Calibri"/>
                <w:sz w:val="16"/>
              </w:rPr>
              <w:t>9.0</w:t>
            </w:r>
          </w:p>
        </w:tc>
        <w:tc>
          <w:tcPr>
            <w:tcW w:type="dxa" w:w="564"/>
            <w:shd w:val="clear" w:color="auto" w:fill="F2F5F9"/>
          </w:tcPr>
          <w:p>
            <w:pPr>
              <w:spacing w:after="20" w:before="20" w:line="252" w:lineRule="auto"/>
              <w:jc w:val="center"/>
            </w:pPr>
            <w:r>
              <w:rPr>
                <w:rFonts w:ascii="Calibri" w:hAnsi="Calibri" w:eastAsia="Microsoft YaHei" w:cs="Calibri"/>
                <w:sz w:val="16"/>
              </w:rPr>
              <w:t>4.50%</w:t>
            </w:r>
          </w:p>
        </w:tc>
        <w:tc>
          <w:tcPr>
            <w:tcW w:type="dxa" w:w="780"/>
            <w:shd w:val="clear" w:color="auto" w:fill="F2F5F9"/>
          </w:tcPr>
          <w:p>
            <w:pPr>
              <w:spacing w:after="20" w:before="20" w:line="252" w:lineRule="auto"/>
              <w:jc w:val="center"/>
            </w:pPr>
            <w:r>
              <w:rPr>
                <w:rFonts w:ascii="Calibri" w:hAnsi="Calibri" w:eastAsia="Microsoft YaHei" w:cs="Calibri"/>
                <w:sz w:val="16"/>
              </w:rPr>
              <w:t>est.</w:t>
            </w:r>
          </w:p>
        </w:tc>
        <w:tc>
          <w:tcPr>
            <w:tcW w:type="dxa" w:w="2878"/>
            <w:shd w:val="clear" w:color="auto" w:fill="F2F5F9"/>
          </w:tcPr>
          <w:p>
            <w:pPr>
              <w:spacing w:after="20" w:before="20" w:line="252" w:lineRule="auto"/>
              <w:jc w:val="left"/>
            </w:pPr>
            <w:r>
              <w:rPr>
                <w:rFonts w:ascii="Calibri" w:hAnsi="Calibri" w:eastAsia="Microsoft YaHei" w:cs="Calibri"/>
                <w:sz w:val="16"/>
              </w:rPr>
              <w:t>GS, Citi, JPM, UBS, Wells</w:t>
            </w:r>
          </w:p>
        </w:tc>
      </w:tr>
      <w:tr>
        <w:trPr>
          <w:cantSplit/>
        </w:trPr>
        <w:tc>
          <w:tcPr>
            <w:tcW w:type="dxa" w:w="1823"/>
          </w:tcPr>
          <w:p>
            <w:pPr>
              <w:spacing w:after="20" w:before="20" w:line="252" w:lineRule="auto"/>
              <w:jc w:val="left"/>
            </w:pPr>
            <w:r>
              <w:rPr>
                <w:rFonts w:ascii="Calibri" w:hAnsi="Calibri" w:eastAsia="Microsoft YaHei" w:cs="Calibri"/>
                <w:sz w:val="16"/>
              </w:rPr>
              <w:t>Standard Nuclear</w:t>
            </w:r>
          </w:p>
        </w:tc>
        <w:tc>
          <w:tcPr>
            <w:tcW w:type="dxa" w:w="849"/>
          </w:tcPr>
          <w:p>
            <w:pPr>
              <w:spacing w:after="20" w:before="20" w:line="252" w:lineRule="auto"/>
              <w:jc w:val="center"/>
            </w:pPr>
            <w:r>
              <w:rPr>
                <w:rFonts w:ascii="Calibri" w:hAnsi="Calibri" w:eastAsia="Microsoft YaHei" w:cs="Calibri"/>
                <w:sz w:val="16"/>
              </w:rPr>
              <w:t>2026-07-15</w:t>
            </w:r>
          </w:p>
        </w:tc>
        <w:tc>
          <w:tcPr>
            <w:tcW w:type="dxa" w:w="1236"/>
          </w:tcPr>
          <w:p>
            <w:pPr>
              <w:spacing w:after="20" w:before="20" w:line="252" w:lineRule="auto"/>
              <w:jc w:val="center"/>
            </w:pPr>
            <w:r>
              <w:rPr>
                <w:rFonts w:ascii="Calibri" w:hAnsi="Calibri" w:eastAsia="Microsoft YaHei" w:cs="Calibri"/>
                <w:sz w:val="16"/>
              </w:rPr>
              <w:t>Energy</w:t>
            </w:r>
          </w:p>
        </w:tc>
        <w:tc>
          <w:tcPr>
            <w:tcW w:type="dxa" w:w="982"/>
          </w:tcPr>
          <w:p>
            <w:pPr>
              <w:spacing w:after="20" w:before="20" w:line="252" w:lineRule="auto"/>
              <w:jc w:val="center"/>
            </w:pPr>
            <w:r>
              <w:rPr>
                <w:rFonts w:ascii="Calibri" w:hAnsi="Calibri" w:eastAsia="Microsoft YaHei" w:cs="Calibri"/>
                <w:sz w:val="16"/>
              </w:rPr>
              <w:t>150</w:t>
            </w:r>
          </w:p>
        </w:tc>
        <w:tc>
          <w:tcPr>
            <w:tcW w:type="dxa" w:w="638"/>
          </w:tcPr>
          <w:p>
            <w:pPr>
              <w:spacing w:after="20" w:before="20" w:line="252" w:lineRule="auto"/>
              <w:jc w:val="center"/>
            </w:pPr>
            <w:r>
              <w:rPr>
                <w:rFonts w:ascii="Calibri" w:hAnsi="Calibri" w:eastAsia="Microsoft YaHei" w:cs="Calibri"/>
                <w:sz w:val="16"/>
              </w:rPr>
              <w:t>10.5</w:t>
            </w:r>
          </w:p>
        </w:tc>
        <w:tc>
          <w:tcPr>
            <w:tcW w:type="dxa" w:w="564"/>
          </w:tcPr>
          <w:p>
            <w:pPr>
              <w:spacing w:after="20" w:before="20" w:line="252" w:lineRule="auto"/>
              <w:jc w:val="center"/>
            </w:pPr>
            <w:r>
              <w:rPr>
                <w:rFonts w:ascii="Calibri" w:hAnsi="Calibri" w:eastAsia="Microsoft YaHei" w:cs="Calibri"/>
                <w:sz w:val="16"/>
              </w:rPr>
              <w:t>7.00%</w:t>
            </w:r>
          </w:p>
        </w:tc>
        <w:tc>
          <w:tcPr>
            <w:tcW w:type="dxa" w:w="780"/>
          </w:tcPr>
          <w:p>
            <w:pPr>
              <w:spacing w:after="20" w:before="20" w:line="252" w:lineRule="auto"/>
              <w:jc w:val="center"/>
            </w:pPr>
            <w:r>
              <w:rPr>
                <w:rFonts w:ascii="Calibri" w:hAnsi="Calibri" w:eastAsia="Microsoft YaHei" w:cs="Calibri"/>
                <w:sz w:val="16"/>
              </w:rPr>
              <w:t>est.</w:t>
            </w:r>
          </w:p>
        </w:tc>
        <w:tc>
          <w:tcPr>
            <w:tcW w:type="dxa" w:w="2878"/>
          </w:tcPr>
          <w:p>
            <w:pPr>
              <w:spacing w:after="20" w:before="20" w:line="252" w:lineRule="auto"/>
              <w:jc w:val="center"/>
            </w:pPr>
            <w:r>
              <w:rPr>
                <w:rFonts w:ascii="Calibri" w:hAnsi="Calibri" w:eastAsia="Microsoft YaHei" w:cs="Calibri"/>
                <w:sz w:val="16"/>
              </w:rPr>
              <w:t>BofA, GS</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BlossomHill</w:t>
            </w:r>
          </w:p>
        </w:tc>
        <w:tc>
          <w:tcPr>
            <w:tcW w:type="dxa" w:w="849"/>
            <w:shd w:val="clear" w:color="auto" w:fill="F2F5F9"/>
          </w:tcPr>
          <w:p>
            <w:pPr>
              <w:spacing w:after="20" w:before="20" w:line="252" w:lineRule="auto"/>
              <w:jc w:val="center"/>
            </w:pPr>
            <w:r>
              <w:rPr>
                <w:rFonts w:ascii="Calibri" w:hAnsi="Calibri" w:eastAsia="Microsoft YaHei" w:cs="Calibri"/>
                <w:sz w:val="16"/>
              </w:rPr>
              <w:t>2026-08-06</w:t>
            </w:r>
          </w:p>
        </w:tc>
        <w:tc>
          <w:tcPr>
            <w:tcW w:type="dxa" w:w="1236"/>
            <w:shd w:val="clear" w:color="auto" w:fill="F2F5F9"/>
          </w:tcPr>
          <w:p>
            <w:pPr>
              <w:spacing w:after="20" w:before="20" w:line="252" w:lineRule="auto"/>
              <w:jc w:val="center"/>
            </w:pPr>
            <w:r>
              <w:rPr>
                <w:rFonts w:ascii="Calibri" w:hAnsi="Calibri" w:eastAsia="Microsoft YaHei" w:cs="Calibri"/>
                <w:sz w:val="16"/>
              </w:rPr>
              <w:t>Biotech</w:t>
            </w:r>
          </w:p>
        </w:tc>
        <w:tc>
          <w:tcPr>
            <w:tcW w:type="dxa" w:w="982"/>
            <w:shd w:val="clear" w:color="auto" w:fill="F2F5F9"/>
          </w:tcPr>
          <w:p>
            <w:pPr>
              <w:spacing w:after="20" w:before="20" w:line="252" w:lineRule="auto"/>
              <w:jc w:val="center"/>
            </w:pPr>
            <w:r>
              <w:rPr>
                <w:rFonts w:ascii="Calibri" w:hAnsi="Calibri" w:eastAsia="Microsoft YaHei" w:cs="Calibri"/>
                <w:sz w:val="16"/>
              </w:rPr>
              <w:t>150</w:t>
            </w:r>
          </w:p>
        </w:tc>
        <w:tc>
          <w:tcPr>
            <w:tcW w:type="dxa" w:w="638"/>
            <w:shd w:val="clear" w:color="auto" w:fill="F2F5F9"/>
          </w:tcPr>
          <w:p>
            <w:pPr>
              <w:spacing w:after="20" w:before="20" w:line="252" w:lineRule="auto"/>
              <w:jc w:val="center"/>
            </w:pPr>
            <w:r>
              <w:rPr>
                <w:rFonts w:ascii="Calibri" w:hAnsi="Calibri" w:eastAsia="Microsoft YaHei" w:cs="Calibri"/>
                <w:sz w:val="16"/>
              </w:rPr>
              <w:t>10.5</w:t>
            </w:r>
          </w:p>
        </w:tc>
        <w:tc>
          <w:tcPr>
            <w:tcW w:type="dxa" w:w="564"/>
            <w:shd w:val="clear" w:color="auto" w:fill="F2F5F9"/>
          </w:tcPr>
          <w:p>
            <w:pPr>
              <w:spacing w:after="20" w:before="20" w:line="252" w:lineRule="auto"/>
              <w:jc w:val="center"/>
            </w:pPr>
            <w:r>
              <w:rPr>
                <w:rFonts w:ascii="Calibri" w:hAnsi="Calibri" w:eastAsia="Microsoft YaHei" w:cs="Calibri"/>
                <w:sz w:val="16"/>
              </w:rPr>
              <w:t>7.00%</w:t>
            </w:r>
          </w:p>
        </w:tc>
        <w:tc>
          <w:tcPr>
            <w:tcW w:type="dxa" w:w="780"/>
            <w:shd w:val="clear" w:color="auto" w:fill="F2F5F9"/>
          </w:tcPr>
          <w:p>
            <w:pPr>
              <w:spacing w:after="20" w:before="20" w:line="252" w:lineRule="auto"/>
              <w:jc w:val="center"/>
            </w:pPr>
            <w:r>
              <w:rPr>
                <w:rFonts w:ascii="Calibri" w:hAnsi="Calibri" w:eastAsia="Microsoft YaHei" w:cs="Calibri"/>
                <w:sz w:val="16"/>
              </w:rPr>
              <w:t>est.</w:t>
            </w:r>
          </w:p>
        </w:tc>
        <w:tc>
          <w:tcPr>
            <w:tcW w:type="dxa" w:w="2878"/>
            <w:shd w:val="clear" w:color="auto" w:fill="F2F5F9"/>
          </w:tcPr>
          <w:p>
            <w:pPr>
              <w:spacing w:after="20" w:before="20" w:line="252" w:lineRule="auto"/>
              <w:jc w:val="left"/>
            </w:pPr>
            <w:r>
              <w:rPr>
                <w:rFonts w:ascii="Calibri" w:hAnsi="Calibri" w:eastAsia="Microsoft YaHei" w:cs="Calibri"/>
                <w:sz w:val="16"/>
              </w:rPr>
              <w:t>JPM, Leerink, Guggenheim</w:t>
            </w:r>
          </w:p>
        </w:tc>
      </w:tr>
      <w:tr>
        <w:trPr>
          <w:cantSplit/>
        </w:trPr>
        <w:tc>
          <w:tcPr>
            <w:tcW w:type="dxa" w:w="1823"/>
          </w:tcPr>
          <w:p>
            <w:pPr>
              <w:spacing w:after="20" w:before="20" w:line="252" w:lineRule="auto"/>
              <w:jc w:val="left"/>
            </w:pPr>
            <w:r>
              <w:rPr>
                <w:rFonts w:ascii="Calibri" w:hAnsi="Calibri" w:eastAsia="Microsoft YaHei" w:cs="Calibri"/>
                <w:sz w:val="16"/>
              </w:rPr>
              <w:t>American Savings Bank</w:t>
            </w:r>
          </w:p>
        </w:tc>
        <w:tc>
          <w:tcPr>
            <w:tcW w:type="dxa" w:w="849"/>
          </w:tcPr>
          <w:p>
            <w:pPr>
              <w:spacing w:after="20" w:before="20" w:line="252" w:lineRule="auto"/>
              <w:jc w:val="center"/>
            </w:pPr>
            <w:r>
              <w:rPr>
                <w:rFonts w:ascii="Calibri" w:hAnsi="Calibri" w:eastAsia="Microsoft YaHei" w:cs="Calibri"/>
                <w:sz w:val="16"/>
              </w:rPr>
              <w:t>2026-09-15</w:t>
            </w:r>
          </w:p>
        </w:tc>
        <w:tc>
          <w:tcPr>
            <w:tcW w:type="dxa" w:w="1236"/>
          </w:tcPr>
          <w:p>
            <w:pPr>
              <w:spacing w:after="20" w:before="20" w:line="252" w:lineRule="auto"/>
              <w:jc w:val="center"/>
            </w:pPr>
            <w:r>
              <w:rPr>
                <w:rFonts w:ascii="Calibri" w:hAnsi="Calibri" w:eastAsia="Microsoft YaHei" w:cs="Calibri"/>
                <w:sz w:val="16"/>
              </w:rPr>
              <w:t>Bank (secondary)</w:t>
            </w:r>
          </w:p>
        </w:tc>
        <w:tc>
          <w:tcPr>
            <w:tcW w:type="dxa" w:w="982"/>
          </w:tcPr>
          <w:p>
            <w:pPr>
              <w:spacing w:after="20" w:before="20" w:line="252" w:lineRule="auto"/>
              <w:jc w:val="center"/>
            </w:pPr>
            <w:r>
              <w:rPr>
                <w:rFonts w:ascii="Calibri" w:hAnsi="Calibri" w:eastAsia="Microsoft YaHei" w:cs="Calibri"/>
                <w:sz w:val="16"/>
              </w:rPr>
              <w:t>129</w:t>
            </w:r>
          </w:p>
        </w:tc>
        <w:tc>
          <w:tcPr>
            <w:tcW w:type="dxa" w:w="638"/>
          </w:tcPr>
          <w:p>
            <w:pPr>
              <w:spacing w:after="20" w:before="20" w:line="252" w:lineRule="auto"/>
              <w:jc w:val="center"/>
            </w:pPr>
            <w:r>
              <w:rPr>
                <w:rFonts w:ascii="Calibri" w:hAnsi="Calibri" w:eastAsia="Microsoft YaHei" w:cs="Calibri"/>
                <w:sz w:val="16"/>
              </w:rPr>
              <w:t>7.7</w:t>
            </w:r>
          </w:p>
        </w:tc>
        <w:tc>
          <w:tcPr>
            <w:tcW w:type="dxa" w:w="564"/>
          </w:tcPr>
          <w:p>
            <w:pPr>
              <w:spacing w:after="20" w:before="20" w:line="252" w:lineRule="auto"/>
              <w:jc w:val="center"/>
            </w:pPr>
            <w:r>
              <w:rPr>
                <w:rFonts w:ascii="Calibri" w:hAnsi="Calibri" w:eastAsia="Microsoft YaHei" w:cs="Calibri"/>
                <w:sz w:val="16"/>
              </w:rPr>
              <w:t>6.00%</w:t>
            </w:r>
          </w:p>
        </w:tc>
        <w:tc>
          <w:tcPr>
            <w:tcW w:type="dxa" w:w="780"/>
          </w:tcPr>
          <w:p>
            <w:pPr>
              <w:spacing w:after="20" w:before="20" w:line="252" w:lineRule="auto"/>
              <w:jc w:val="center"/>
            </w:pPr>
            <w:r>
              <w:rPr>
                <w:rFonts w:ascii="Calibri" w:hAnsi="Calibri" w:eastAsia="Microsoft YaHei" w:cs="Calibri"/>
                <w:sz w:val="16"/>
              </w:rPr>
              <w:t>est.</w:t>
            </w:r>
          </w:p>
        </w:tc>
        <w:tc>
          <w:tcPr>
            <w:tcW w:type="dxa" w:w="2878"/>
          </w:tcPr>
          <w:p>
            <w:pPr>
              <w:spacing w:after="20" w:before="20" w:line="252" w:lineRule="auto"/>
              <w:jc w:val="center"/>
            </w:pPr>
            <w:r>
              <w:rPr>
                <w:rFonts w:ascii="Calibri" w:hAnsi="Calibri" w:eastAsia="Microsoft YaHei" w:cs="Calibri"/>
                <w:sz w:val="16"/>
              </w:rPr>
              <w:t>Piper Sandler</w:t>
            </w:r>
          </w:p>
        </w:tc>
      </w:tr>
      <w:tr>
        <w:trPr>
          <w:cantSplit/>
        </w:trPr>
        <w:tc>
          <w:tcPr>
            <w:tcW w:type="dxa" w:w="1823"/>
            <w:shd w:val="clear" w:color="auto" w:fill="F2F5F9"/>
          </w:tcPr>
          <w:p>
            <w:pPr>
              <w:spacing w:after="20" w:before="20" w:line="252" w:lineRule="auto"/>
              <w:jc w:val="left"/>
            </w:pPr>
            <w:r>
              <w:rPr>
                <w:rFonts w:ascii="Calibri" w:hAnsi="Calibri" w:eastAsia="Microsoft YaHei" w:cs="Calibri"/>
                <w:sz w:val="16"/>
              </w:rPr>
              <w:t>River City Bank</w:t>
            </w:r>
          </w:p>
        </w:tc>
        <w:tc>
          <w:tcPr>
            <w:tcW w:type="dxa" w:w="849"/>
            <w:shd w:val="clear" w:color="auto" w:fill="F2F5F9"/>
          </w:tcPr>
          <w:p>
            <w:pPr>
              <w:spacing w:after="20" w:before="20" w:line="252" w:lineRule="auto"/>
              <w:jc w:val="center"/>
            </w:pPr>
            <w:r>
              <w:rPr>
                <w:rFonts w:ascii="Calibri" w:hAnsi="Calibri" w:eastAsia="Microsoft YaHei" w:cs="Calibri"/>
                <w:sz w:val="16"/>
              </w:rPr>
              <w:t>2026-08-05</w:t>
            </w:r>
          </w:p>
        </w:tc>
        <w:tc>
          <w:tcPr>
            <w:tcW w:type="dxa" w:w="1236"/>
            <w:shd w:val="clear" w:color="auto" w:fill="F2F5F9"/>
          </w:tcPr>
          <w:p>
            <w:pPr>
              <w:spacing w:after="20" w:before="20" w:line="252" w:lineRule="auto"/>
              <w:jc w:val="center"/>
            </w:pPr>
            <w:r>
              <w:rPr>
                <w:rFonts w:ascii="Calibri" w:hAnsi="Calibri" w:eastAsia="Microsoft YaHei" w:cs="Calibri"/>
                <w:sz w:val="16"/>
              </w:rPr>
              <w:t>Bank (secondary)</w:t>
            </w:r>
          </w:p>
        </w:tc>
        <w:tc>
          <w:tcPr>
            <w:tcW w:type="dxa" w:w="982"/>
            <w:shd w:val="clear" w:color="auto" w:fill="F2F5F9"/>
          </w:tcPr>
          <w:p>
            <w:pPr>
              <w:spacing w:after="20" w:before="20" w:line="252" w:lineRule="auto"/>
              <w:jc w:val="center"/>
            </w:pPr>
            <w:r>
              <w:rPr>
                <w:rFonts w:ascii="Calibri" w:hAnsi="Calibri" w:eastAsia="Microsoft YaHei" w:cs="Calibri"/>
                <w:sz w:val="16"/>
              </w:rPr>
              <w:t>122</w:t>
            </w:r>
          </w:p>
        </w:tc>
        <w:tc>
          <w:tcPr>
            <w:tcW w:type="dxa" w:w="638"/>
            <w:shd w:val="clear" w:color="auto" w:fill="F2F5F9"/>
          </w:tcPr>
          <w:p>
            <w:pPr>
              <w:spacing w:after="20" w:before="20" w:line="252" w:lineRule="auto"/>
              <w:jc w:val="center"/>
            </w:pPr>
            <w:r>
              <w:rPr>
                <w:rFonts w:ascii="Calibri" w:hAnsi="Calibri" w:eastAsia="Microsoft YaHei" w:cs="Calibri"/>
                <w:sz w:val="16"/>
              </w:rPr>
              <w:t>5.9</w:t>
            </w:r>
          </w:p>
        </w:tc>
        <w:tc>
          <w:tcPr>
            <w:tcW w:type="dxa" w:w="564"/>
            <w:shd w:val="clear" w:color="auto" w:fill="F2F5F9"/>
          </w:tcPr>
          <w:p>
            <w:pPr>
              <w:spacing w:after="20" w:before="20" w:line="252" w:lineRule="auto"/>
              <w:jc w:val="center"/>
            </w:pPr>
            <w:r>
              <w:rPr>
                <w:rFonts w:ascii="Calibri" w:hAnsi="Calibri" w:eastAsia="Microsoft YaHei" w:cs="Calibri"/>
                <w:sz w:val="16"/>
              </w:rPr>
              <w:t>4.87%</w:t>
            </w:r>
          </w:p>
        </w:tc>
        <w:tc>
          <w:tcPr>
            <w:tcW w:type="dxa" w:w="780"/>
            <w:shd w:val="clear" w:color="auto" w:fill="F2F5F9"/>
          </w:tcPr>
          <w:p>
            <w:pPr>
              <w:spacing w:after="20" w:before="20" w:line="252" w:lineRule="auto"/>
              <w:jc w:val="center"/>
            </w:pPr>
            <w:r>
              <w:rPr>
                <w:rFonts w:ascii="Calibri" w:hAnsi="Calibri" w:eastAsia="Microsoft YaHei" w:cs="Calibri"/>
                <w:sz w:val="16"/>
              </w:rPr>
              <w:t>disclosed</w:t>
            </w:r>
          </w:p>
        </w:tc>
        <w:tc>
          <w:tcPr>
            <w:tcW w:type="dxa" w:w="2878"/>
            <w:shd w:val="clear" w:color="auto" w:fill="F2F5F9"/>
          </w:tcPr>
          <w:p>
            <w:pPr>
              <w:spacing w:after="20" w:before="20" w:line="252" w:lineRule="auto"/>
              <w:jc w:val="center"/>
            </w:pPr>
            <w:r>
              <w:rPr>
                <w:rFonts w:ascii="Calibri" w:hAnsi="Calibri" w:eastAsia="Microsoft YaHei" w:cs="Calibri"/>
                <w:sz w:val="16"/>
              </w:rPr>
              <w:t>KBW</w:t>
            </w:r>
          </w:p>
        </w:tc>
      </w:tr>
      <w:tr>
        <w:trPr>
          <w:cantSplit/>
        </w:trPr>
        <w:tc>
          <w:tcPr>
            <w:tcW w:type="dxa" w:w="1823"/>
          </w:tcPr>
          <w:p>
            <w:pPr>
              <w:spacing w:after="20" w:before="20" w:line="252" w:lineRule="auto"/>
              <w:jc w:val="left"/>
            </w:pPr>
            <w:r>
              <w:rPr>
                <w:rFonts w:ascii="Calibri" w:hAnsi="Calibri" w:eastAsia="Microsoft YaHei" w:cs="Calibri"/>
                <w:b/>
                <w:sz w:val="16"/>
              </w:rPr>
              <w:t>Total</w:t>
            </w:r>
          </w:p>
        </w:tc>
        <w:tc>
          <w:tcPr>
            <w:tcW w:type="dxa" w:w="849"/>
          </w:tcPr>
          <w:p>
            <w:pPr>
              <w:spacing w:after="20" w:before="20" w:line="252" w:lineRule="auto"/>
              <w:jc w:val="center"/>
            </w:pPr>
          </w:p>
        </w:tc>
        <w:tc>
          <w:tcPr>
            <w:tcW w:type="dxa" w:w="1236"/>
          </w:tcPr>
          <w:p>
            <w:pPr>
              <w:spacing w:after="20" w:before="20" w:line="252" w:lineRule="auto"/>
              <w:jc w:val="center"/>
            </w:pPr>
          </w:p>
        </w:tc>
        <w:tc>
          <w:tcPr>
            <w:tcW w:type="dxa" w:w="982"/>
          </w:tcPr>
          <w:p>
            <w:pPr>
              <w:spacing w:after="20" w:before="20" w:line="252" w:lineRule="auto"/>
              <w:jc w:val="center"/>
            </w:pPr>
            <w:r>
              <w:rPr>
                <w:rFonts w:ascii="Calibri" w:hAnsi="Calibri" w:eastAsia="Microsoft YaHei" w:cs="Calibri"/>
                <w:sz w:val="16"/>
              </w:rPr>
              <w:t>32,602</w:t>
            </w:r>
          </w:p>
        </w:tc>
        <w:tc>
          <w:tcPr>
            <w:tcW w:type="dxa" w:w="638"/>
          </w:tcPr>
          <w:p>
            <w:pPr>
              <w:spacing w:after="20" w:before="20" w:line="252" w:lineRule="auto"/>
              <w:jc w:val="center"/>
            </w:pPr>
            <w:r>
              <w:rPr>
                <w:rFonts w:ascii="Calibri" w:hAnsi="Calibri" w:eastAsia="Microsoft YaHei" w:cs="Calibri"/>
                <w:sz w:val="16"/>
              </w:rPr>
              <w:t>611.0</w:t>
            </w:r>
          </w:p>
        </w:tc>
        <w:tc>
          <w:tcPr>
            <w:tcW w:type="dxa" w:w="564"/>
          </w:tcPr>
          <w:p>
            <w:pPr>
              <w:spacing w:after="20" w:before="20" w:line="252" w:lineRule="auto"/>
              <w:jc w:val="center"/>
            </w:pPr>
            <w:r>
              <w:rPr>
                <w:rFonts w:ascii="Calibri" w:hAnsi="Calibri" w:eastAsia="Microsoft YaHei" w:cs="Calibri"/>
                <w:sz w:val="16"/>
              </w:rPr>
              <w:t>1.87%</w:t>
            </w:r>
          </w:p>
        </w:tc>
        <w:tc>
          <w:tcPr>
            <w:tcW w:type="dxa" w:w="780"/>
          </w:tcPr>
          <w:p>
            <w:pPr>
              <w:spacing w:after="20" w:before="20" w:line="252" w:lineRule="auto"/>
              <w:jc w:val="center"/>
            </w:pPr>
          </w:p>
        </w:tc>
        <w:tc>
          <w:tcPr>
            <w:tcW w:type="dxa" w:w="2878"/>
          </w:tcPr>
          <w:p>
            <w:pPr>
              <w:spacing w:after="20" w:before="20" w:line="252" w:lineRule="auto"/>
              <w:jc w:val="center"/>
            </w:pPr>
          </w:p>
        </w:tc>
      </w:tr>
    </w:tbl>
    <w:p>
      <w:pPr>
        <w:spacing w:after="40"/>
      </w:pPr>
    </w:p>
    <w:p>
      <w:r>
        <w:rPr>
          <w:rFonts w:ascii="Calibri" w:hAnsi="Calibri" w:eastAsia="Microsoft YaHei" w:cs="Calibri"/>
          <w:i/>
          <w:sz w:val="21"/>
        </w:rPr>
        <w:t>Dates are pricing dates. Accelevation priced on 9/30 with settlement around quarter-end, so the quarter in which fees are recognised depends on each bank's accounting policy. SK hynix is US-listed and its $257.5M fee (about 0.97%) is disclosed; Jersey Mike's $50.0M, Csquare $40.0M (shares introduced by Brookfield carry no fee), Attovia $20.23M and River City Bank $5.913M are also disclosed. The rest follow US convention: about 7% below $500M, about 5% for $500M-1B, and a 4.5% load for the closed-end fund.</w:t>
      </w:r>
    </w:p>
    <w:p>
      <w:pPr>
        <w:pStyle w:val="Heading3"/>
      </w:pPr>
      <w:r>
        <w:rPr>
          <w:rFonts w:ascii="Calibri" w:hAnsi="Calibri" w:eastAsia="Microsoft YaHei" w:cs="Calibri"/>
          <w:b/>
          <w:color w:val="1F4E79"/>
          <w:sz w:val="24"/>
        </w:rPr>
        <w:t>17.2 Estimated Q3 IPO underwriting fees of the six large banks</w:t>
      </w:r>
    </w:p>
    <w:tbl>
      <w:tblPr>
        <w:tblStyle w:val="TableGrid"/>
        <w:tblW w:type="auto" w:w="0"/>
        <w:jc w:val="center"/>
        <w:tblLayout w:type="fixed"/>
        <w:tblLook w:firstColumn="1" w:firstRow="1" w:lastColumn="0" w:lastRow="0" w:noHBand="0" w:noVBand="1" w:val="04A0"/>
      </w:tblPr>
      <w:tblGrid>
        <w:gridCol w:w="3158"/>
        <w:gridCol w:w="707"/>
        <w:gridCol w:w="707"/>
        <w:gridCol w:w="707"/>
        <w:gridCol w:w="707"/>
        <w:gridCol w:w="707"/>
        <w:gridCol w:w="707"/>
        <w:gridCol w:w="2353"/>
      </w:tblGrid>
      <w:tr>
        <w:trPr>
          <w:tblHeader w:val="true"/>
          <w:cantSplit/>
        </w:trPr>
        <w:tc>
          <w:tcPr>
            <w:tcW w:type="dxa" w:w="3158"/>
            <w:shd w:val="clear" w:color="auto" w:fill="1F4E79"/>
          </w:tcPr>
          <w:p>
            <w:pPr>
              <w:spacing w:after="20" w:before="20" w:line="252" w:lineRule="auto"/>
              <w:jc w:val="center"/>
            </w:pPr>
            <w:r>
              <w:rPr>
                <w:rFonts w:ascii="Calibri" w:hAnsi="Calibri" w:eastAsia="Microsoft YaHei" w:cs="Calibri"/>
                <w:b/>
                <w:color w:val="FFFFFF"/>
                <w:sz w:val="16"/>
              </w:rPr>
              <w:t>Deal ($M)</w:t>
            </w:r>
          </w:p>
        </w:tc>
        <w:tc>
          <w:tcPr>
            <w:tcW w:type="dxa" w:w="707"/>
            <w:shd w:val="clear" w:color="auto" w:fill="1F4E79"/>
          </w:tcPr>
          <w:p>
            <w:pPr>
              <w:spacing w:after="20" w:before="20" w:line="252" w:lineRule="auto"/>
              <w:jc w:val="center"/>
            </w:pPr>
            <w:r>
              <w:rPr>
                <w:rFonts w:ascii="Calibri" w:hAnsi="Calibri" w:eastAsia="Microsoft YaHei" w:cs="Calibri"/>
                <w:b/>
                <w:color w:val="FFFFFF"/>
                <w:sz w:val="16"/>
              </w:rPr>
              <w:t>JPM</w:t>
            </w:r>
          </w:p>
        </w:tc>
        <w:tc>
          <w:tcPr>
            <w:tcW w:type="dxa" w:w="707"/>
            <w:shd w:val="clear" w:color="auto" w:fill="1F4E79"/>
          </w:tcPr>
          <w:p>
            <w:pPr>
              <w:spacing w:after="20" w:before="20" w:line="252" w:lineRule="auto"/>
              <w:jc w:val="center"/>
            </w:pPr>
            <w:r>
              <w:rPr>
                <w:rFonts w:ascii="Calibri" w:hAnsi="Calibri" w:eastAsia="Microsoft YaHei" w:cs="Calibri"/>
                <w:b/>
                <w:color w:val="FFFFFF"/>
                <w:sz w:val="16"/>
              </w:rPr>
              <w:t>BAC</w:t>
            </w:r>
          </w:p>
        </w:tc>
        <w:tc>
          <w:tcPr>
            <w:tcW w:type="dxa" w:w="707"/>
            <w:shd w:val="clear" w:color="auto" w:fill="1F4E79"/>
          </w:tcPr>
          <w:p>
            <w:pPr>
              <w:spacing w:after="20" w:before="20" w:line="252" w:lineRule="auto"/>
              <w:jc w:val="center"/>
            </w:pPr>
            <w:r>
              <w:rPr>
                <w:rFonts w:ascii="Calibri" w:hAnsi="Calibri" w:eastAsia="Microsoft YaHei" w:cs="Calibri"/>
                <w:b/>
                <w:color w:val="FFFFFF"/>
                <w:sz w:val="16"/>
              </w:rPr>
              <w:t>C</w:t>
            </w:r>
          </w:p>
        </w:tc>
        <w:tc>
          <w:tcPr>
            <w:tcW w:type="dxa" w:w="707"/>
            <w:shd w:val="clear" w:color="auto" w:fill="1F4E79"/>
          </w:tcPr>
          <w:p>
            <w:pPr>
              <w:spacing w:after="20" w:before="20" w:line="252" w:lineRule="auto"/>
              <w:jc w:val="center"/>
            </w:pPr>
            <w:r>
              <w:rPr>
                <w:rFonts w:ascii="Calibri" w:hAnsi="Calibri" w:eastAsia="Microsoft YaHei" w:cs="Calibri"/>
                <w:b/>
                <w:color w:val="FFFFFF"/>
                <w:sz w:val="16"/>
              </w:rPr>
              <w:t>WFC</w:t>
            </w:r>
          </w:p>
        </w:tc>
        <w:tc>
          <w:tcPr>
            <w:tcW w:type="dxa" w:w="707"/>
            <w:shd w:val="clear" w:color="auto" w:fill="1F4E79"/>
          </w:tcPr>
          <w:p>
            <w:pPr>
              <w:spacing w:after="20" w:before="20" w:line="252" w:lineRule="auto"/>
              <w:jc w:val="center"/>
            </w:pPr>
            <w:r>
              <w:rPr>
                <w:rFonts w:ascii="Calibri" w:hAnsi="Calibri" w:eastAsia="Microsoft YaHei" w:cs="Calibri"/>
                <w:b/>
                <w:color w:val="FFFFFF"/>
                <w:sz w:val="16"/>
              </w:rPr>
              <w:t>GS</w:t>
            </w:r>
          </w:p>
        </w:tc>
        <w:tc>
          <w:tcPr>
            <w:tcW w:type="dxa" w:w="707"/>
            <w:shd w:val="clear" w:color="auto" w:fill="1F4E79"/>
          </w:tcPr>
          <w:p>
            <w:pPr>
              <w:spacing w:after="20" w:before="20" w:line="252" w:lineRule="auto"/>
              <w:jc w:val="center"/>
            </w:pPr>
            <w:r>
              <w:rPr>
                <w:rFonts w:ascii="Calibri" w:hAnsi="Calibri" w:eastAsia="Microsoft YaHei" w:cs="Calibri"/>
                <w:b/>
                <w:color w:val="FFFFFF"/>
                <w:sz w:val="16"/>
              </w:rPr>
              <w:t>MS</w:t>
            </w:r>
          </w:p>
        </w:tc>
        <w:tc>
          <w:tcPr>
            <w:tcW w:type="dxa" w:w="2353"/>
            <w:shd w:val="clear" w:color="auto" w:fill="1F4E79"/>
          </w:tcPr>
          <w:p>
            <w:pPr>
              <w:spacing w:after="20" w:before="20" w:line="252" w:lineRule="auto"/>
              <w:jc w:val="center"/>
            </w:pPr>
            <w:r>
              <w:rPr>
                <w:rFonts w:ascii="Calibri" w:hAnsi="Calibri" w:eastAsia="Microsoft YaHei" w:cs="Calibri"/>
                <w:b/>
                <w:color w:val="FFFFFF"/>
                <w:sz w:val="16"/>
              </w:rPr>
              <w:t>Other underwriters</w:t>
            </w:r>
          </w:p>
        </w:tc>
      </w:tr>
      <w:tr>
        <w:trPr>
          <w:cantSplit/>
        </w:trPr>
        <w:tc>
          <w:tcPr>
            <w:tcW w:type="dxa" w:w="3158"/>
          </w:tcPr>
          <w:p>
            <w:pPr>
              <w:spacing w:after="20" w:before="20" w:line="252" w:lineRule="auto"/>
              <w:jc w:val="left"/>
            </w:pPr>
            <w:r>
              <w:rPr>
                <w:rFonts w:ascii="Calibri" w:hAnsi="Calibri" w:eastAsia="Microsoft YaHei" w:cs="Calibri"/>
                <w:sz w:val="16"/>
              </w:rPr>
              <w:t>SK hynix</w:t>
            </w:r>
          </w:p>
        </w:tc>
        <w:tc>
          <w:tcPr>
            <w:tcW w:type="dxa" w:w="707"/>
          </w:tcPr>
          <w:p>
            <w:pPr>
              <w:spacing w:after="20" w:before="20" w:line="252" w:lineRule="auto"/>
              <w:jc w:val="center"/>
            </w:pPr>
            <w:r>
              <w:rPr>
                <w:rFonts w:ascii="Calibri" w:hAnsi="Calibri" w:eastAsia="Microsoft YaHei" w:cs="Calibri"/>
                <w:sz w:val="16"/>
              </w:rPr>
              <w:t>55.0</w:t>
            </w:r>
          </w:p>
        </w:tc>
        <w:tc>
          <w:tcPr>
            <w:tcW w:type="dxa" w:w="707"/>
          </w:tcPr>
          <w:p>
            <w:pPr>
              <w:spacing w:after="20" w:before="20" w:line="252" w:lineRule="auto"/>
              <w:jc w:val="center"/>
            </w:pPr>
            <w:r>
              <w:rPr>
                <w:rFonts w:ascii="Calibri" w:hAnsi="Calibri" w:eastAsia="Microsoft YaHei" w:cs="Calibri"/>
                <w:sz w:val="16"/>
              </w:rPr>
              <w:t>55.0</w:t>
            </w:r>
          </w:p>
        </w:tc>
        <w:tc>
          <w:tcPr>
            <w:tcW w:type="dxa" w:w="707"/>
          </w:tcPr>
          <w:p>
            <w:pPr>
              <w:spacing w:after="20" w:before="20" w:line="252" w:lineRule="auto"/>
              <w:jc w:val="center"/>
            </w:pPr>
            <w:r>
              <w:rPr>
                <w:rFonts w:ascii="Calibri" w:hAnsi="Calibri" w:eastAsia="Microsoft YaHei" w:cs="Calibri"/>
                <w:sz w:val="16"/>
              </w:rPr>
              <w:t>70.0</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55.0</w:t>
            </w:r>
          </w:p>
        </w:tc>
        <w:tc>
          <w:tcPr>
            <w:tcW w:type="dxa" w:w="707"/>
          </w:tcPr>
          <w:p>
            <w:pPr>
              <w:spacing w:after="20" w:before="20" w:line="252" w:lineRule="auto"/>
              <w:jc w:val="center"/>
            </w:pPr>
            <w:r>
              <w:rPr>
                <w:rFonts w:ascii="Calibri" w:hAnsi="Calibri" w:eastAsia="Microsoft YaHei" w:cs="Calibri"/>
                <w:sz w:val="16"/>
              </w:rPr>
              <w:t>-</w:t>
            </w:r>
          </w:p>
        </w:tc>
        <w:tc>
          <w:tcPr>
            <w:tcW w:type="dxa" w:w="2353"/>
          </w:tcPr>
          <w:p>
            <w:pPr>
              <w:spacing w:after="20" w:before="20" w:line="252" w:lineRule="auto"/>
              <w:jc w:val="center"/>
            </w:pPr>
            <w:r>
              <w:rPr>
                <w:rFonts w:ascii="Calibri" w:hAnsi="Calibri" w:eastAsia="Microsoft YaHei" w:cs="Calibri"/>
                <w:sz w:val="16"/>
              </w:rPr>
              <w:t>22.5</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Jersey Mike's</w:t>
            </w:r>
          </w:p>
        </w:tc>
        <w:tc>
          <w:tcPr>
            <w:tcW w:type="dxa" w:w="707"/>
            <w:shd w:val="clear" w:color="auto" w:fill="F2F5F9"/>
          </w:tcPr>
          <w:p>
            <w:pPr>
              <w:spacing w:after="20" w:before="20" w:line="252" w:lineRule="auto"/>
              <w:jc w:val="center"/>
            </w:pPr>
            <w:r>
              <w:rPr>
                <w:rFonts w:ascii="Calibri" w:hAnsi="Calibri" w:eastAsia="Microsoft YaHei" w:cs="Calibri"/>
                <w:sz w:val="16"/>
              </w:rPr>
              <w:t>6.7</w:t>
            </w:r>
          </w:p>
        </w:tc>
        <w:tc>
          <w:tcPr>
            <w:tcW w:type="dxa" w:w="707"/>
            <w:shd w:val="clear" w:color="auto" w:fill="F2F5F9"/>
          </w:tcPr>
          <w:p>
            <w:pPr>
              <w:spacing w:after="20" w:before="20" w:line="252" w:lineRule="auto"/>
              <w:jc w:val="center"/>
            </w:pPr>
            <w:r>
              <w:rPr>
                <w:rFonts w:ascii="Calibri" w:hAnsi="Calibri" w:eastAsia="Microsoft YaHei" w:cs="Calibri"/>
                <w:sz w:val="16"/>
              </w:rPr>
              <w:t>3.3</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3.3</w:t>
            </w:r>
          </w:p>
        </w:tc>
        <w:tc>
          <w:tcPr>
            <w:tcW w:type="dxa" w:w="707"/>
            <w:shd w:val="clear" w:color="auto" w:fill="F2F5F9"/>
          </w:tcPr>
          <w:p>
            <w:pPr>
              <w:spacing w:after="20" w:before="20" w:line="252" w:lineRule="auto"/>
              <w:jc w:val="center"/>
            </w:pPr>
            <w:r>
              <w:rPr>
                <w:rFonts w:ascii="Calibri" w:hAnsi="Calibri" w:eastAsia="Microsoft YaHei" w:cs="Calibri"/>
                <w:sz w:val="16"/>
              </w:rPr>
              <w:t>6.7</w:t>
            </w:r>
          </w:p>
        </w:tc>
        <w:tc>
          <w:tcPr>
            <w:tcW w:type="dxa" w:w="2353"/>
            <w:shd w:val="clear" w:color="auto" w:fill="F2F5F9"/>
          </w:tcPr>
          <w:p>
            <w:pPr>
              <w:spacing w:after="20" w:before="20" w:line="252" w:lineRule="auto"/>
              <w:jc w:val="center"/>
            </w:pPr>
            <w:r>
              <w:rPr>
                <w:rFonts w:ascii="Calibri" w:hAnsi="Calibri" w:eastAsia="Microsoft YaHei" w:cs="Calibri"/>
                <w:sz w:val="16"/>
              </w:rPr>
              <w:t>30.0</w:t>
            </w:r>
          </w:p>
        </w:tc>
      </w:tr>
      <w:tr>
        <w:trPr>
          <w:cantSplit/>
        </w:trPr>
        <w:tc>
          <w:tcPr>
            <w:tcW w:type="dxa" w:w="3158"/>
          </w:tcPr>
          <w:p>
            <w:pPr>
              <w:spacing w:after="20" w:before="20" w:line="252" w:lineRule="auto"/>
              <w:jc w:val="left"/>
            </w:pPr>
            <w:r>
              <w:rPr>
                <w:rFonts w:ascii="Calibri" w:hAnsi="Calibri" w:eastAsia="Microsoft YaHei" w:cs="Calibri"/>
                <w:sz w:val="16"/>
              </w:rPr>
              <w:t>Csquare</w:t>
            </w:r>
          </w:p>
        </w:tc>
        <w:tc>
          <w:tcPr>
            <w:tcW w:type="dxa" w:w="707"/>
          </w:tcPr>
          <w:p>
            <w:pPr>
              <w:spacing w:after="20" w:before="20" w:line="252" w:lineRule="auto"/>
              <w:jc w:val="center"/>
            </w:pPr>
            <w:r>
              <w:rPr>
                <w:rFonts w:ascii="Calibri" w:hAnsi="Calibri" w:eastAsia="Microsoft YaHei" w:cs="Calibri"/>
                <w:sz w:val="16"/>
              </w:rPr>
              <w:t>3.3</w:t>
            </w:r>
          </w:p>
        </w:tc>
        <w:tc>
          <w:tcPr>
            <w:tcW w:type="dxa" w:w="707"/>
          </w:tcPr>
          <w:p>
            <w:pPr>
              <w:spacing w:after="20" w:before="20" w:line="252" w:lineRule="auto"/>
              <w:jc w:val="center"/>
            </w:pPr>
            <w:r>
              <w:rPr>
                <w:rFonts w:ascii="Calibri" w:hAnsi="Calibri" w:eastAsia="Microsoft YaHei" w:cs="Calibri"/>
                <w:sz w:val="16"/>
              </w:rPr>
              <w:t>3.3</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3.3</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6.7</w:t>
            </w:r>
          </w:p>
        </w:tc>
        <w:tc>
          <w:tcPr>
            <w:tcW w:type="dxa" w:w="2353"/>
          </w:tcPr>
          <w:p>
            <w:pPr>
              <w:spacing w:after="20" w:before="20" w:line="252" w:lineRule="auto"/>
              <w:jc w:val="center"/>
            </w:pPr>
            <w:r>
              <w:rPr>
                <w:rFonts w:ascii="Calibri" w:hAnsi="Calibri" w:eastAsia="Microsoft YaHei" w:cs="Calibri"/>
                <w:sz w:val="16"/>
              </w:rPr>
              <w:t>23.3</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Accelevation</w:t>
            </w:r>
          </w:p>
        </w:tc>
        <w:tc>
          <w:tcPr>
            <w:tcW w:type="dxa" w:w="707"/>
            <w:shd w:val="clear" w:color="auto" w:fill="F2F5F9"/>
          </w:tcPr>
          <w:p>
            <w:pPr>
              <w:spacing w:after="20" w:before="20" w:line="252" w:lineRule="auto"/>
              <w:jc w:val="center"/>
            </w:pPr>
            <w:r>
              <w:rPr>
                <w:rFonts w:ascii="Calibri" w:hAnsi="Calibri" w:eastAsia="Microsoft YaHei" w:cs="Calibri"/>
                <w:sz w:val="16"/>
              </w:rPr>
              <w:t>4.9</w:t>
            </w:r>
          </w:p>
        </w:tc>
        <w:tc>
          <w:tcPr>
            <w:tcW w:type="dxa" w:w="707"/>
            <w:shd w:val="clear" w:color="auto" w:fill="F2F5F9"/>
          </w:tcPr>
          <w:p>
            <w:pPr>
              <w:spacing w:after="20" w:before="20" w:line="252" w:lineRule="auto"/>
              <w:jc w:val="center"/>
            </w:pPr>
            <w:r>
              <w:rPr>
                <w:rFonts w:ascii="Calibri" w:hAnsi="Calibri" w:eastAsia="Microsoft YaHei" w:cs="Calibri"/>
                <w:sz w:val="16"/>
              </w:rPr>
              <w:t>2.5</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4.9</w:t>
            </w:r>
          </w:p>
        </w:tc>
        <w:tc>
          <w:tcPr>
            <w:tcW w:type="dxa" w:w="707"/>
            <w:shd w:val="clear" w:color="auto" w:fill="F2F5F9"/>
          </w:tcPr>
          <w:p>
            <w:pPr>
              <w:spacing w:after="20" w:before="20" w:line="252" w:lineRule="auto"/>
              <w:jc w:val="center"/>
            </w:pPr>
            <w:r>
              <w:rPr>
                <w:rFonts w:ascii="Calibri" w:hAnsi="Calibri" w:eastAsia="Microsoft YaHei" w:cs="Calibri"/>
                <w:sz w:val="16"/>
              </w:rPr>
              <w:t>4.9</w:t>
            </w:r>
          </w:p>
        </w:tc>
        <w:tc>
          <w:tcPr>
            <w:tcW w:type="dxa" w:w="2353"/>
            <w:shd w:val="clear" w:color="auto" w:fill="F2F5F9"/>
          </w:tcPr>
          <w:p>
            <w:pPr>
              <w:spacing w:after="20" w:before="20" w:line="252" w:lineRule="auto"/>
              <w:jc w:val="center"/>
            </w:pPr>
            <w:r>
              <w:rPr>
                <w:rFonts w:ascii="Calibri" w:hAnsi="Calibri" w:eastAsia="Microsoft YaHei" w:cs="Calibri"/>
                <w:sz w:val="16"/>
              </w:rPr>
              <w:t>9.8</w:t>
            </w:r>
          </w:p>
        </w:tc>
      </w:tr>
      <w:tr>
        <w:trPr>
          <w:cantSplit/>
        </w:trPr>
        <w:tc>
          <w:tcPr>
            <w:tcW w:type="dxa" w:w="3158"/>
          </w:tcPr>
          <w:p>
            <w:pPr>
              <w:spacing w:after="20" w:before="20" w:line="252" w:lineRule="auto"/>
              <w:jc w:val="left"/>
            </w:pPr>
            <w:r>
              <w:rPr>
                <w:rFonts w:ascii="Calibri" w:hAnsi="Calibri" w:eastAsia="Microsoft YaHei" w:cs="Calibri"/>
                <w:sz w:val="16"/>
              </w:rPr>
              <w:t>ADARx</w:t>
            </w:r>
          </w:p>
        </w:tc>
        <w:tc>
          <w:tcPr>
            <w:tcW w:type="dxa" w:w="707"/>
          </w:tcPr>
          <w:p>
            <w:pPr>
              <w:spacing w:after="20" w:before="20" w:line="252" w:lineRule="auto"/>
              <w:jc w:val="center"/>
            </w:pPr>
            <w:r>
              <w:rPr>
                <w:rFonts w:ascii="Calibri" w:hAnsi="Calibri" w:eastAsia="Microsoft YaHei" w:cs="Calibri"/>
                <w:sz w:val="16"/>
              </w:rPr>
              <w:t>7.8</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7.8</w:t>
            </w:r>
          </w:p>
        </w:tc>
        <w:tc>
          <w:tcPr>
            <w:tcW w:type="dxa" w:w="2353"/>
          </w:tcPr>
          <w:p>
            <w:pPr>
              <w:spacing w:after="20" w:before="20" w:line="252" w:lineRule="auto"/>
              <w:jc w:val="center"/>
            </w:pPr>
            <w:r>
              <w:rPr>
                <w:rFonts w:ascii="Calibri" w:hAnsi="Calibri" w:eastAsia="Microsoft YaHei" w:cs="Calibri"/>
                <w:sz w:val="16"/>
              </w:rPr>
              <w:t>15.6</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Braveheart Bio</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7.7</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2353"/>
            <w:shd w:val="clear" w:color="auto" w:fill="F2F5F9"/>
          </w:tcPr>
          <w:p>
            <w:pPr>
              <w:spacing w:after="20" w:before="20" w:line="252" w:lineRule="auto"/>
              <w:jc w:val="center"/>
            </w:pPr>
            <w:r>
              <w:rPr>
                <w:rFonts w:ascii="Calibri" w:hAnsi="Calibri" w:eastAsia="Microsoft YaHei" w:cs="Calibri"/>
                <w:sz w:val="16"/>
              </w:rPr>
              <w:t>19.1</w:t>
            </w:r>
          </w:p>
        </w:tc>
      </w:tr>
      <w:tr>
        <w:trPr>
          <w:cantSplit/>
        </w:trPr>
        <w:tc>
          <w:tcPr>
            <w:tcW w:type="dxa" w:w="3158"/>
          </w:tcPr>
          <w:p>
            <w:pPr>
              <w:spacing w:after="20" w:before="20" w:line="252" w:lineRule="auto"/>
              <w:jc w:val="left"/>
            </w:pPr>
            <w:r>
              <w:rPr>
                <w:rFonts w:ascii="Calibri" w:hAnsi="Calibri" w:eastAsia="Microsoft YaHei" w:cs="Calibri"/>
                <w:sz w:val="16"/>
              </w:rPr>
              <w:t>Electra</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2353"/>
          </w:tcPr>
          <w:p>
            <w:pPr>
              <w:spacing w:after="20" w:before="20" w:line="252" w:lineRule="auto"/>
              <w:jc w:val="center"/>
            </w:pPr>
            <w:r>
              <w:rPr>
                <w:rFonts w:ascii="Calibri" w:hAnsi="Calibri" w:eastAsia="Microsoft YaHei" w:cs="Calibri"/>
                <w:sz w:val="16"/>
              </w:rPr>
              <w:t>24.5</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Latigo</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8.1</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2353"/>
            <w:shd w:val="clear" w:color="auto" w:fill="F2F5F9"/>
          </w:tcPr>
          <w:p>
            <w:pPr>
              <w:spacing w:after="20" w:before="20" w:line="252" w:lineRule="auto"/>
              <w:jc w:val="center"/>
            </w:pPr>
            <w:r>
              <w:rPr>
                <w:rFonts w:ascii="Calibri" w:hAnsi="Calibri" w:eastAsia="Microsoft YaHei" w:cs="Calibri"/>
                <w:sz w:val="16"/>
              </w:rPr>
              <w:t>16.1</w:t>
            </w:r>
          </w:p>
        </w:tc>
      </w:tr>
      <w:tr>
        <w:trPr>
          <w:cantSplit/>
        </w:trPr>
        <w:tc>
          <w:tcPr>
            <w:tcW w:type="dxa" w:w="3158"/>
          </w:tcPr>
          <w:p>
            <w:pPr>
              <w:spacing w:after="20" w:before="20" w:line="252" w:lineRule="auto"/>
              <w:jc w:val="left"/>
            </w:pPr>
            <w:r>
              <w:rPr>
                <w:rFonts w:ascii="Calibri" w:hAnsi="Calibri" w:eastAsia="Microsoft YaHei" w:cs="Calibri"/>
                <w:sz w:val="16"/>
              </w:rPr>
              <w:t>Lyntris</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3.0</w:t>
            </w:r>
          </w:p>
        </w:tc>
        <w:tc>
          <w:tcPr>
            <w:tcW w:type="dxa" w:w="707"/>
          </w:tcPr>
          <w:p>
            <w:pPr>
              <w:spacing w:after="20" w:before="20" w:line="252" w:lineRule="auto"/>
              <w:jc w:val="center"/>
            </w:pPr>
            <w:r>
              <w:rPr>
                <w:rFonts w:ascii="Calibri" w:hAnsi="Calibri" w:eastAsia="Microsoft YaHei" w:cs="Calibri"/>
                <w:sz w:val="16"/>
              </w:rPr>
              <w:t>6.0</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2353"/>
          </w:tcPr>
          <w:p>
            <w:pPr>
              <w:spacing w:after="20" w:before="20" w:line="252" w:lineRule="auto"/>
              <w:jc w:val="center"/>
            </w:pPr>
            <w:r>
              <w:rPr>
                <w:rFonts w:ascii="Calibri" w:hAnsi="Calibri" w:eastAsia="Microsoft YaHei" w:cs="Calibri"/>
                <w:sz w:val="16"/>
              </w:rPr>
              <w:t>11.9</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Attovia</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3.4</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6.7</w:t>
            </w:r>
          </w:p>
        </w:tc>
        <w:tc>
          <w:tcPr>
            <w:tcW w:type="dxa" w:w="2353"/>
            <w:shd w:val="clear" w:color="auto" w:fill="F2F5F9"/>
          </w:tcPr>
          <w:p>
            <w:pPr>
              <w:spacing w:after="20" w:before="20" w:line="252" w:lineRule="auto"/>
              <w:jc w:val="center"/>
            </w:pPr>
            <w:r>
              <w:rPr>
                <w:rFonts w:ascii="Calibri" w:hAnsi="Calibri" w:eastAsia="Microsoft YaHei" w:cs="Calibri"/>
                <w:sz w:val="16"/>
              </w:rPr>
              <w:t>10.1</w:t>
            </w:r>
          </w:p>
        </w:tc>
      </w:tr>
      <w:tr>
        <w:trPr>
          <w:cantSplit/>
        </w:trPr>
        <w:tc>
          <w:tcPr>
            <w:tcW w:type="dxa" w:w="3158"/>
          </w:tcPr>
          <w:p>
            <w:pPr>
              <w:spacing w:after="20" w:before="20" w:line="252" w:lineRule="auto"/>
              <w:jc w:val="left"/>
            </w:pPr>
            <w:r>
              <w:rPr>
                <w:rFonts w:ascii="Calibri" w:hAnsi="Calibri" w:eastAsia="Microsoft YaHei" w:cs="Calibri"/>
                <w:sz w:val="16"/>
              </w:rPr>
              <w:t>Orion180</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2.4</w:t>
            </w:r>
          </w:p>
        </w:tc>
        <w:tc>
          <w:tcPr>
            <w:tcW w:type="dxa" w:w="707"/>
          </w:tcPr>
          <w:p>
            <w:pPr>
              <w:spacing w:after="20" w:before="20" w:line="252" w:lineRule="auto"/>
              <w:jc w:val="center"/>
            </w:pPr>
            <w:r>
              <w:rPr>
                <w:rFonts w:ascii="Calibri" w:hAnsi="Calibri" w:eastAsia="Microsoft YaHei" w:cs="Calibri"/>
                <w:sz w:val="16"/>
              </w:rPr>
              <w:t>-</w:t>
            </w:r>
          </w:p>
        </w:tc>
        <w:tc>
          <w:tcPr>
            <w:tcW w:type="dxa" w:w="2353"/>
          </w:tcPr>
          <w:p>
            <w:pPr>
              <w:spacing w:after="20" w:before="20" w:line="252" w:lineRule="auto"/>
              <w:jc w:val="center"/>
            </w:pPr>
            <w:r>
              <w:rPr>
                <w:rFonts w:ascii="Calibri" w:hAnsi="Calibri" w:eastAsia="Microsoft YaHei" w:cs="Calibri"/>
                <w:sz w:val="16"/>
              </w:rPr>
              <w:t>14.4</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Reformation</w:t>
            </w:r>
          </w:p>
        </w:tc>
        <w:tc>
          <w:tcPr>
            <w:tcW w:type="dxa" w:w="707"/>
            <w:shd w:val="clear" w:color="auto" w:fill="F2F5F9"/>
          </w:tcPr>
          <w:p>
            <w:pPr>
              <w:spacing w:after="20" w:before="20" w:line="252" w:lineRule="auto"/>
              <w:jc w:val="center"/>
            </w:pPr>
            <w:r>
              <w:rPr>
                <w:rFonts w:ascii="Calibri" w:hAnsi="Calibri" w:eastAsia="Microsoft YaHei" w:cs="Calibri"/>
                <w:sz w:val="16"/>
              </w:rPr>
              <w:t>4.9</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2.5</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4.9</w:t>
            </w:r>
          </w:p>
        </w:tc>
        <w:tc>
          <w:tcPr>
            <w:tcW w:type="dxa" w:w="2353"/>
            <w:shd w:val="clear" w:color="auto" w:fill="F2F5F9"/>
          </w:tcPr>
          <w:p>
            <w:pPr>
              <w:spacing w:after="20" w:before="20" w:line="252" w:lineRule="auto"/>
              <w:jc w:val="center"/>
            </w:pPr>
            <w:r>
              <w:rPr>
                <w:rFonts w:ascii="Calibri" w:hAnsi="Calibri" w:eastAsia="Microsoft YaHei" w:cs="Calibri"/>
                <w:sz w:val="16"/>
              </w:rPr>
              <w:t>2.5</w:t>
            </w:r>
          </w:p>
        </w:tc>
      </w:tr>
      <w:tr>
        <w:trPr>
          <w:cantSplit/>
        </w:trPr>
        <w:tc>
          <w:tcPr>
            <w:tcW w:type="dxa" w:w="3158"/>
          </w:tcPr>
          <w:p>
            <w:pPr>
              <w:spacing w:after="20" w:before="20" w:line="252" w:lineRule="auto"/>
              <w:jc w:val="left"/>
            </w:pPr>
            <w:r>
              <w:rPr>
                <w:rFonts w:ascii="Calibri" w:hAnsi="Calibri" w:eastAsia="Microsoft YaHei" w:cs="Calibri"/>
                <w:sz w:val="16"/>
              </w:rPr>
              <w:t>Apnimed</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4.5</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2353"/>
          </w:tcPr>
          <w:p>
            <w:pPr>
              <w:spacing w:after="20" w:before="20" w:line="252" w:lineRule="auto"/>
              <w:jc w:val="center"/>
            </w:pPr>
            <w:r>
              <w:rPr>
                <w:rFonts w:ascii="Calibri" w:hAnsi="Calibri" w:eastAsia="Microsoft YaHei" w:cs="Calibri"/>
                <w:sz w:val="16"/>
              </w:rPr>
              <w:t>9.0</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Robinhood Ventures Fund II</w:t>
            </w:r>
          </w:p>
        </w:tc>
        <w:tc>
          <w:tcPr>
            <w:tcW w:type="dxa" w:w="707"/>
            <w:shd w:val="clear" w:color="auto" w:fill="F2F5F9"/>
          </w:tcPr>
          <w:p>
            <w:pPr>
              <w:spacing w:after="20" w:before="20" w:line="252" w:lineRule="auto"/>
              <w:jc w:val="center"/>
            </w:pPr>
            <w:r>
              <w:rPr>
                <w:rFonts w:ascii="Calibri" w:hAnsi="Calibri" w:eastAsia="Microsoft YaHei" w:cs="Calibri"/>
                <w:sz w:val="16"/>
              </w:rPr>
              <w:t>1.5</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1.5</w:t>
            </w:r>
          </w:p>
        </w:tc>
        <w:tc>
          <w:tcPr>
            <w:tcW w:type="dxa" w:w="707"/>
            <w:shd w:val="clear" w:color="auto" w:fill="F2F5F9"/>
          </w:tcPr>
          <w:p>
            <w:pPr>
              <w:spacing w:after="20" w:before="20" w:line="252" w:lineRule="auto"/>
              <w:jc w:val="center"/>
            </w:pPr>
            <w:r>
              <w:rPr>
                <w:rFonts w:ascii="Calibri" w:hAnsi="Calibri" w:eastAsia="Microsoft YaHei" w:cs="Calibri"/>
                <w:sz w:val="16"/>
              </w:rPr>
              <w:t>1.5</w:t>
            </w:r>
          </w:p>
        </w:tc>
        <w:tc>
          <w:tcPr>
            <w:tcW w:type="dxa" w:w="707"/>
            <w:shd w:val="clear" w:color="auto" w:fill="F2F5F9"/>
          </w:tcPr>
          <w:p>
            <w:pPr>
              <w:spacing w:after="20" w:before="20" w:line="252" w:lineRule="auto"/>
              <w:jc w:val="center"/>
            </w:pPr>
            <w:r>
              <w:rPr>
                <w:rFonts w:ascii="Calibri" w:hAnsi="Calibri" w:eastAsia="Microsoft YaHei" w:cs="Calibri"/>
                <w:sz w:val="16"/>
              </w:rPr>
              <w:t>1.5</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2353"/>
            <w:shd w:val="clear" w:color="auto" w:fill="F2F5F9"/>
          </w:tcPr>
          <w:p>
            <w:pPr>
              <w:spacing w:after="20" w:before="20" w:line="252" w:lineRule="auto"/>
              <w:jc w:val="center"/>
            </w:pPr>
            <w:r>
              <w:rPr>
                <w:rFonts w:ascii="Calibri" w:hAnsi="Calibri" w:eastAsia="Microsoft YaHei" w:cs="Calibri"/>
                <w:sz w:val="16"/>
              </w:rPr>
              <w:t>3.0</w:t>
            </w:r>
          </w:p>
        </w:tc>
      </w:tr>
      <w:tr>
        <w:trPr>
          <w:cantSplit/>
        </w:trPr>
        <w:tc>
          <w:tcPr>
            <w:tcW w:type="dxa" w:w="3158"/>
          </w:tcPr>
          <w:p>
            <w:pPr>
              <w:spacing w:after="20" w:before="20" w:line="252" w:lineRule="auto"/>
              <w:jc w:val="left"/>
            </w:pPr>
            <w:r>
              <w:rPr>
                <w:rFonts w:ascii="Calibri" w:hAnsi="Calibri" w:eastAsia="Microsoft YaHei" w:cs="Calibri"/>
                <w:sz w:val="16"/>
              </w:rPr>
              <w:t>Standard Nuclear</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4.2</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4.2</w:t>
            </w:r>
          </w:p>
        </w:tc>
        <w:tc>
          <w:tcPr>
            <w:tcW w:type="dxa" w:w="707"/>
          </w:tcPr>
          <w:p>
            <w:pPr>
              <w:spacing w:after="20" w:before="20" w:line="252" w:lineRule="auto"/>
              <w:jc w:val="center"/>
            </w:pPr>
            <w:r>
              <w:rPr>
                <w:rFonts w:ascii="Calibri" w:hAnsi="Calibri" w:eastAsia="Microsoft YaHei" w:cs="Calibri"/>
                <w:sz w:val="16"/>
              </w:rPr>
              <w:t>-</w:t>
            </w:r>
          </w:p>
        </w:tc>
        <w:tc>
          <w:tcPr>
            <w:tcW w:type="dxa" w:w="2353"/>
          </w:tcPr>
          <w:p>
            <w:pPr>
              <w:spacing w:after="20" w:before="20" w:line="252" w:lineRule="auto"/>
              <w:jc w:val="center"/>
            </w:pPr>
            <w:r>
              <w:rPr>
                <w:rFonts w:ascii="Calibri" w:hAnsi="Calibri" w:eastAsia="Microsoft YaHei" w:cs="Calibri"/>
                <w:sz w:val="16"/>
              </w:rPr>
              <w:t>2.1</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BlossomHill</w:t>
            </w:r>
          </w:p>
        </w:tc>
        <w:tc>
          <w:tcPr>
            <w:tcW w:type="dxa" w:w="707"/>
            <w:shd w:val="clear" w:color="auto" w:fill="F2F5F9"/>
          </w:tcPr>
          <w:p>
            <w:pPr>
              <w:spacing w:after="20" w:before="20" w:line="252" w:lineRule="auto"/>
              <w:jc w:val="center"/>
            </w:pPr>
            <w:r>
              <w:rPr>
                <w:rFonts w:ascii="Calibri" w:hAnsi="Calibri" w:eastAsia="Microsoft YaHei" w:cs="Calibri"/>
                <w:sz w:val="16"/>
              </w:rPr>
              <w:t>3.5</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2353"/>
            <w:shd w:val="clear" w:color="auto" w:fill="F2F5F9"/>
          </w:tcPr>
          <w:p>
            <w:pPr>
              <w:spacing w:after="20" w:before="20" w:line="252" w:lineRule="auto"/>
              <w:jc w:val="center"/>
            </w:pPr>
            <w:r>
              <w:rPr>
                <w:rFonts w:ascii="Calibri" w:hAnsi="Calibri" w:eastAsia="Microsoft YaHei" w:cs="Calibri"/>
                <w:sz w:val="16"/>
              </w:rPr>
              <w:t>7.0</w:t>
            </w:r>
          </w:p>
        </w:tc>
      </w:tr>
      <w:tr>
        <w:trPr>
          <w:cantSplit/>
        </w:trPr>
        <w:tc>
          <w:tcPr>
            <w:tcW w:type="dxa" w:w="3158"/>
          </w:tcPr>
          <w:p>
            <w:pPr>
              <w:spacing w:after="20" w:before="20" w:line="252" w:lineRule="auto"/>
              <w:jc w:val="left"/>
            </w:pPr>
            <w:r>
              <w:rPr>
                <w:rFonts w:ascii="Calibri" w:hAnsi="Calibri" w:eastAsia="Microsoft YaHei" w:cs="Calibri"/>
                <w:sz w:val="16"/>
              </w:rPr>
              <w:t>American Savings Bank</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707"/>
          </w:tcPr>
          <w:p>
            <w:pPr>
              <w:spacing w:after="20" w:before="20" w:line="252" w:lineRule="auto"/>
              <w:jc w:val="center"/>
            </w:pPr>
            <w:r>
              <w:rPr>
                <w:rFonts w:ascii="Calibri" w:hAnsi="Calibri" w:eastAsia="Microsoft YaHei" w:cs="Calibri"/>
                <w:sz w:val="16"/>
              </w:rPr>
              <w:t>-</w:t>
            </w:r>
          </w:p>
        </w:tc>
        <w:tc>
          <w:tcPr>
            <w:tcW w:type="dxa" w:w="2353"/>
          </w:tcPr>
          <w:p>
            <w:pPr>
              <w:spacing w:after="20" w:before="20" w:line="252" w:lineRule="auto"/>
              <w:jc w:val="center"/>
            </w:pPr>
            <w:r>
              <w:rPr>
                <w:rFonts w:ascii="Calibri" w:hAnsi="Calibri" w:eastAsia="Microsoft YaHei" w:cs="Calibri"/>
                <w:sz w:val="16"/>
              </w:rPr>
              <w:t>7.7</w:t>
            </w:r>
          </w:p>
        </w:tc>
      </w:tr>
      <w:tr>
        <w:trPr>
          <w:cantSplit/>
        </w:trPr>
        <w:tc>
          <w:tcPr>
            <w:tcW w:type="dxa" w:w="3158"/>
            <w:shd w:val="clear" w:color="auto" w:fill="F2F5F9"/>
          </w:tcPr>
          <w:p>
            <w:pPr>
              <w:spacing w:after="20" w:before="20" w:line="252" w:lineRule="auto"/>
              <w:jc w:val="left"/>
            </w:pPr>
            <w:r>
              <w:rPr>
                <w:rFonts w:ascii="Calibri" w:hAnsi="Calibri" w:eastAsia="Microsoft YaHei" w:cs="Calibri"/>
                <w:sz w:val="16"/>
              </w:rPr>
              <w:t>River City Bank</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707"/>
            <w:shd w:val="clear" w:color="auto" w:fill="F2F5F9"/>
          </w:tcPr>
          <w:p>
            <w:pPr>
              <w:spacing w:after="20" w:before="20" w:line="252" w:lineRule="auto"/>
              <w:jc w:val="center"/>
            </w:pPr>
            <w:r>
              <w:rPr>
                <w:rFonts w:ascii="Calibri" w:hAnsi="Calibri" w:eastAsia="Microsoft YaHei" w:cs="Calibri"/>
                <w:sz w:val="16"/>
              </w:rPr>
              <w:t>-</w:t>
            </w:r>
          </w:p>
        </w:tc>
        <w:tc>
          <w:tcPr>
            <w:tcW w:type="dxa" w:w="2353"/>
            <w:shd w:val="clear" w:color="auto" w:fill="F2F5F9"/>
          </w:tcPr>
          <w:p>
            <w:pPr>
              <w:spacing w:after="20" w:before="20" w:line="252" w:lineRule="auto"/>
              <w:jc w:val="center"/>
            </w:pPr>
            <w:r>
              <w:rPr>
                <w:rFonts w:ascii="Calibri" w:hAnsi="Calibri" w:eastAsia="Microsoft YaHei" w:cs="Calibri"/>
                <w:sz w:val="16"/>
              </w:rPr>
              <w:t>5.9</w:t>
            </w:r>
          </w:p>
        </w:tc>
      </w:tr>
      <w:tr>
        <w:trPr>
          <w:cantSplit/>
        </w:trPr>
        <w:tc>
          <w:tcPr>
            <w:tcW w:type="dxa" w:w="3158"/>
          </w:tcPr>
          <w:p>
            <w:pPr>
              <w:spacing w:after="20" w:before="20" w:line="252" w:lineRule="auto"/>
              <w:jc w:val="left"/>
            </w:pPr>
            <w:r>
              <w:rPr>
                <w:rFonts w:ascii="Calibri" w:hAnsi="Calibri" w:eastAsia="Microsoft YaHei" w:cs="Calibri"/>
                <w:b/>
                <w:sz w:val="16"/>
              </w:rPr>
              <w:t>Total</w:t>
            </w:r>
          </w:p>
        </w:tc>
        <w:tc>
          <w:tcPr>
            <w:tcW w:type="dxa" w:w="707"/>
          </w:tcPr>
          <w:p>
            <w:pPr>
              <w:spacing w:after="20" w:before="20" w:line="252" w:lineRule="auto"/>
              <w:jc w:val="center"/>
            </w:pPr>
            <w:r>
              <w:rPr>
                <w:rFonts w:ascii="Calibri" w:hAnsi="Calibri" w:eastAsia="Microsoft YaHei" w:cs="Calibri"/>
                <w:sz w:val="16"/>
              </w:rPr>
              <w:t>87.6</w:t>
            </w:r>
          </w:p>
        </w:tc>
        <w:tc>
          <w:tcPr>
            <w:tcW w:type="dxa" w:w="707"/>
          </w:tcPr>
          <w:p>
            <w:pPr>
              <w:spacing w:after="20" w:before="20" w:line="252" w:lineRule="auto"/>
              <w:jc w:val="center"/>
            </w:pPr>
            <w:r>
              <w:rPr>
                <w:rFonts w:ascii="Calibri" w:hAnsi="Calibri" w:eastAsia="Microsoft YaHei" w:cs="Calibri"/>
                <w:sz w:val="16"/>
              </w:rPr>
              <w:t>75.8</w:t>
            </w:r>
          </w:p>
        </w:tc>
        <w:tc>
          <w:tcPr>
            <w:tcW w:type="dxa" w:w="707"/>
          </w:tcPr>
          <w:p>
            <w:pPr>
              <w:spacing w:after="20" w:before="20" w:line="252" w:lineRule="auto"/>
              <w:jc w:val="center"/>
            </w:pPr>
            <w:r>
              <w:rPr>
                <w:rFonts w:ascii="Calibri" w:hAnsi="Calibri" w:eastAsia="Microsoft YaHei" w:cs="Calibri"/>
                <w:sz w:val="16"/>
              </w:rPr>
              <w:t>83.3</w:t>
            </w:r>
          </w:p>
        </w:tc>
        <w:tc>
          <w:tcPr>
            <w:tcW w:type="dxa" w:w="707"/>
          </w:tcPr>
          <w:p>
            <w:pPr>
              <w:spacing w:after="20" w:before="20" w:line="252" w:lineRule="auto"/>
              <w:jc w:val="center"/>
            </w:pPr>
            <w:r>
              <w:rPr>
                <w:rFonts w:ascii="Calibri" w:hAnsi="Calibri" w:eastAsia="Microsoft YaHei" w:cs="Calibri"/>
                <w:sz w:val="16"/>
              </w:rPr>
              <w:t>4.8</w:t>
            </w:r>
          </w:p>
        </w:tc>
        <w:tc>
          <w:tcPr>
            <w:tcW w:type="dxa" w:w="707"/>
          </w:tcPr>
          <w:p>
            <w:pPr>
              <w:spacing w:after="20" w:before="20" w:line="252" w:lineRule="auto"/>
              <w:jc w:val="center"/>
            </w:pPr>
            <w:r>
              <w:rPr>
                <w:rFonts w:ascii="Calibri" w:hAnsi="Calibri" w:eastAsia="Microsoft YaHei" w:cs="Calibri"/>
                <w:sz w:val="16"/>
              </w:rPr>
              <w:t>87.1</w:t>
            </w:r>
          </w:p>
        </w:tc>
        <w:tc>
          <w:tcPr>
            <w:tcW w:type="dxa" w:w="707"/>
          </w:tcPr>
          <w:p>
            <w:pPr>
              <w:spacing w:after="20" w:before="20" w:line="252" w:lineRule="auto"/>
              <w:jc w:val="center"/>
            </w:pPr>
            <w:r>
              <w:rPr>
                <w:rFonts w:ascii="Calibri" w:hAnsi="Calibri" w:eastAsia="Microsoft YaHei" w:cs="Calibri"/>
                <w:sz w:val="16"/>
              </w:rPr>
              <w:t>37.7</w:t>
            </w:r>
          </w:p>
        </w:tc>
        <w:tc>
          <w:tcPr>
            <w:tcW w:type="dxa" w:w="2353"/>
          </w:tcPr>
          <w:p>
            <w:pPr>
              <w:spacing w:after="20" w:before="20" w:line="252" w:lineRule="auto"/>
              <w:jc w:val="center"/>
            </w:pPr>
            <w:r>
              <w:rPr>
                <w:rFonts w:ascii="Calibri" w:hAnsi="Calibri" w:eastAsia="Microsoft YaHei" w:cs="Calibri"/>
                <w:sz w:val="16"/>
              </w:rPr>
              <w:t>234.6</w:t>
            </w:r>
          </w:p>
        </w:tc>
      </w:tr>
    </w:tbl>
    <w:p>
      <w:pPr>
        <w:spacing w:after="40"/>
      </w:pPr>
    </w:p>
    <w:tbl>
      <w:tblPr>
        <w:tblStyle w:val="TableGrid"/>
        <w:tblW w:type="auto" w:w="0"/>
        <w:jc w:val="center"/>
        <w:tblLayout w:type="fixed"/>
        <w:tblLook w:firstColumn="1" w:firstRow="1" w:lastColumn="0" w:lastRow="0" w:noHBand="0" w:noVBand="1" w:val="04A0"/>
      </w:tblPr>
      <w:tblGrid>
        <w:gridCol w:w="1032"/>
        <w:gridCol w:w="1233"/>
        <w:gridCol w:w="3283"/>
        <w:gridCol w:w="2970"/>
        <w:gridCol w:w="1233"/>
      </w:tblGrid>
      <w:tr>
        <w:trPr>
          <w:tblHeader w:val="true"/>
          <w:cantSplit/>
        </w:trPr>
        <w:tc>
          <w:tcPr>
            <w:tcW w:type="dxa" w:w="1032"/>
            <w:shd w:val="clear" w:color="auto" w:fill="1F4E79"/>
          </w:tcPr>
          <w:p>
            <w:pPr>
              <w:spacing w:after="20" w:before="20" w:line="252" w:lineRule="auto"/>
              <w:jc w:val="center"/>
            </w:pPr>
            <w:r>
              <w:rPr>
                <w:rFonts w:ascii="Calibri" w:hAnsi="Calibri" w:eastAsia="Microsoft YaHei" w:cs="Calibri"/>
                <w:b/>
                <w:color w:val="FFFFFF"/>
                <w:sz w:val="17"/>
              </w:rPr>
              <w:t>Bank</w:t>
            </w:r>
          </w:p>
        </w:tc>
        <w:tc>
          <w:tcPr>
            <w:tcW w:type="dxa" w:w="1233"/>
            <w:shd w:val="clear" w:color="auto" w:fill="1F4E79"/>
          </w:tcPr>
          <w:p>
            <w:pPr>
              <w:spacing w:after="20" w:before="20" w:line="252" w:lineRule="auto"/>
              <w:jc w:val="center"/>
            </w:pPr>
            <w:r>
              <w:rPr>
                <w:rFonts w:ascii="Calibri" w:hAnsi="Calibri" w:eastAsia="Microsoft YaHei" w:cs="Calibri"/>
                <w:b/>
                <w:color w:val="FFFFFF"/>
                <w:sz w:val="17"/>
              </w:rPr>
              <w:t>Deals</w:t>
            </w:r>
          </w:p>
        </w:tc>
        <w:tc>
          <w:tcPr>
            <w:tcW w:type="dxa" w:w="3283"/>
            <w:shd w:val="clear" w:color="auto" w:fill="1F4E79"/>
          </w:tcPr>
          <w:p>
            <w:pPr>
              <w:spacing w:after="20" w:before="20" w:line="252" w:lineRule="auto"/>
              <w:jc w:val="center"/>
            </w:pPr>
            <w:r>
              <w:rPr>
                <w:rFonts w:ascii="Calibri" w:hAnsi="Calibri" w:eastAsia="Microsoft YaHei" w:cs="Calibri"/>
                <w:b/>
                <w:color w:val="FFFFFF"/>
                <w:sz w:val="17"/>
              </w:rPr>
              <w:t>Est. IPO fees ($M)</w:t>
            </w:r>
          </w:p>
        </w:tc>
        <w:tc>
          <w:tcPr>
            <w:tcW w:type="dxa" w:w="2970"/>
            <w:shd w:val="clear" w:color="auto" w:fill="1F4E79"/>
          </w:tcPr>
          <w:p>
            <w:pPr>
              <w:spacing w:after="20" w:before="20" w:line="252" w:lineRule="auto"/>
              <w:jc w:val="center"/>
            </w:pPr>
            <w:r>
              <w:rPr>
                <w:rFonts w:ascii="Calibri" w:hAnsi="Calibri" w:eastAsia="Microsoft YaHei" w:cs="Calibri"/>
                <w:b/>
                <w:color w:val="FFFFFF"/>
                <w:sz w:val="17"/>
              </w:rPr>
              <w:t>Q3E IB fees ($M)</w:t>
            </w:r>
          </w:p>
        </w:tc>
        <w:tc>
          <w:tcPr>
            <w:tcW w:type="dxa" w:w="1233"/>
            <w:shd w:val="clear" w:color="auto" w:fill="1F4E79"/>
          </w:tcPr>
          <w:p>
            <w:pPr>
              <w:spacing w:after="20" w:before="20" w:line="252" w:lineRule="auto"/>
              <w:jc w:val="center"/>
            </w:pPr>
            <w:r>
              <w:rPr>
                <w:rFonts w:ascii="Calibri" w:hAnsi="Calibri" w:eastAsia="Microsoft YaHei" w:cs="Calibri"/>
                <w:b/>
                <w:color w:val="FFFFFF"/>
                <w:sz w:val="17"/>
              </w:rPr>
              <w:t>Share</w:t>
            </w:r>
          </w:p>
        </w:tc>
      </w:tr>
      <w:tr>
        <w:trPr>
          <w:cantSplit/>
        </w:trPr>
        <w:tc>
          <w:tcPr>
            <w:tcW w:type="dxa" w:w="1032"/>
          </w:tcPr>
          <w:p>
            <w:pPr>
              <w:spacing w:after="20" w:before="20" w:line="252" w:lineRule="auto"/>
              <w:jc w:val="left"/>
            </w:pPr>
            <w:r>
              <w:rPr>
                <w:rFonts w:ascii="Calibri" w:hAnsi="Calibri" w:eastAsia="Microsoft YaHei" w:cs="Calibri"/>
                <w:sz w:val="17"/>
              </w:rPr>
              <w:t>JPM</w:t>
            </w:r>
          </w:p>
        </w:tc>
        <w:tc>
          <w:tcPr>
            <w:tcW w:type="dxa" w:w="1233"/>
          </w:tcPr>
          <w:p>
            <w:pPr>
              <w:spacing w:after="20" w:before="20" w:line="252" w:lineRule="auto"/>
              <w:jc w:val="center"/>
            </w:pPr>
            <w:r>
              <w:rPr>
                <w:rFonts w:ascii="Calibri" w:hAnsi="Calibri" w:eastAsia="Microsoft YaHei" w:cs="Calibri"/>
                <w:sz w:val="17"/>
              </w:rPr>
              <w:t>8</w:t>
            </w:r>
          </w:p>
        </w:tc>
        <w:tc>
          <w:tcPr>
            <w:tcW w:type="dxa" w:w="3283"/>
          </w:tcPr>
          <w:p>
            <w:pPr>
              <w:spacing w:after="20" w:before="20" w:line="252" w:lineRule="auto"/>
              <w:jc w:val="center"/>
            </w:pPr>
            <w:r>
              <w:rPr>
                <w:rFonts w:ascii="Calibri" w:hAnsi="Calibri" w:eastAsia="Microsoft YaHei" w:cs="Calibri"/>
                <w:sz w:val="17"/>
              </w:rPr>
              <w:t>87.6</w:t>
            </w:r>
          </w:p>
        </w:tc>
        <w:tc>
          <w:tcPr>
            <w:tcW w:type="dxa" w:w="2970"/>
          </w:tcPr>
          <w:p>
            <w:pPr>
              <w:spacing w:after="20" w:before="20" w:line="252" w:lineRule="auto"/>
              <w:jc w:val="center"/>
            </w:pPr>
            <w:r>
              <w:rPr>
                <w:rFonts w:ascii="Calibri" w:hAnsi="Calibri" w:eastAsia="Microsoft YaHei" w:cs="Calibri"/>
                <w:sz w:val="17"/>
              </w:rPr>
              <w:t>3,048</w:t>
            </w:r>
          </w:p>
        </w:tc>
        <w:tc>
          <w:tcPr>
            <w:tcW w:type="dxa" w:w="1233"/>
          </w:tcPr>
          <w:p>
            <w:pPr>
              <w:spacing w:after="20" w:before="20" w:line="252" w:lineRule="auto"/>
              <w:jc w:val="center"/>
            </w:pPr>
            <w:r>
              <w:rPr>
                <w:rFonts w:ascii="Calibri" w:hAnsi="Calibri" w:eastAsia="Microsoft YaHei" w:cs="Calibri"/>
                <w:sz w:val="17"/>
              </w:rPr>
              <w:t>2.9%</w:t>
            </w:r>
          </w:p>
        </w:tc>
      </w:tr>
      <w:tr>
        <w:trPr>
          <w:cantSplit/>
        </w:trPr>
        <w:tc>
          <w:tcPr>
            <w:tcW w:type="dxa" w:w="1032"/>
            <w:shd w:val="clear" w:color="auto" w:fill="F2F5F9"/>
          </w:tcPr>
          <w:p>
            <w:pPr>
              <w:spacing w:after="20" w:before="20" w:line="252" w:lineRule="auto"/>
              <w:jc w:val="left"/>
            </w:pPr>
            <w:r>
              <w:rPr>
                <w:rFonts w:ascii="Calibri" w:hAnsi="Calibri" w:eastAsia="Microsoft YaHei" w:cs="Calibri"/>
                <w:sz w:val="17"/>
              </w:rPr>
              <w:t>BAC</w:t>
            </w:r>
          </w:p>
        </w:tc>
        <w:tc>
          <w:tcPr>
            <w:tcW w:type="dxa" w:w="1233"/>
            <w:shd w:val="clear" w:color="auto" w:fill="F2F5F9"/>
          </w:tcPr>
          <w:p>
            <w:pPr>
              <w:spacing w:after="20" w:before="20" w:line="252" w:lineRule="auto"/>
              <w:jc w:val="center"/>
            </w:pPr>
            <w:r>
              <w:rPr>
                <w:rFonts w:ascii="Calibri" w:hAnsi="Calibri" w:eastAsia="Microsoft YaHei" w:cs="Calibri"/>
                <w:sz w:val="17"/>
              </w:rPr>
              <w:t>7</w:t>
            </w:r>
          </w:p>
        </w:tc>
        <w:tc>
          <w:tcPr>
            <w:tcW w:type="dxa" w:w="3283"/>
            <w:shd w:val="clear" w:color="auto" w:fill="F2F5F9"/>
          </w:tcPr>
          <w:p>
            <w:pPr>
              <w:spacing w:after="20" w:before="20" w:line="252" w:lineRule="auto"/>
              <w:jc w:val="center"/>
            </w:pPr>
            <w:r>
              <w:rPr>
                <w:rFonts w:ascii="Calibri" w:hAnsi="Calibri" w:eastAsia="Microsoft YaHei" w:cs="Calibri"/>
                <w:sz w:val="17"/>
              </w:rPr>
              <w:t>75.8</w:t>
            </w:r>
          </w:p>
        </w:tc>
        <w:tc>
          <w:tcPr>
            <w:tcW w:type="dxa" w:w="2970"/>
            <w:shd w:val="clear" w:color="auto" w:fill="F2F5F9"/>
          </w:tcPr>
          <w:p>
            <w:pPr>
              <w:spacing w:after="20" w:before="20" w:line="252" w:lineRule="auto"/>
              <w:jc w:val="center"/>
            </w:pPr>
            <w:r>
              <w:rPr>
                <w:rFonts w:ascii="Calibri" w:hAnsi="Calibri" w:eastAsia="Microsoft YaHei" w:cs="Calibri"/>
                <w:sz w:val="17"/>
              </w:rPr>
              <w:t>1,738</w:t>
            </w:r>
          </w:p>
        </w:tc>
        <w:tc>
          <w:tcPr>
            <w:tcW w:type="dxa" w:w="1233"/>
            <w:shd w:val="clear" w:color="auto" w:fill="F2F5F9"/>
          </w:tcPr>
          <w:p>
            <w:pPr>
              <w:spacing w:after="20" w:before="20" w:line="252" w:lineRule="auto"/>
              <w:jc w:val="center"/>
            </w:pPr>
            <w:r>
              <w:rPr>
                <w:rFonts w:ascii="Calibri" w:hAnsi="Calibri" w:eastAsia="Microsoft YaHei" w:cs="Calibri"/>
                <w:sz w:val="17"/>
              </w:rPr>
              <w:t>4.4%</w:t>
            </w:r>
          </w:p>
        </w:tc>
      </w:tr>
      <w:tr>
        <w:trPr>
          <w:cantSplit/>
        </w:trPr>
        <w:tc>
          <w:tcPr>
            <w:tcW w:type="dxa" w:w="1032"/>
          </w:tcPr>
          <w:p>
            <w:pPr>
              <w:spacing w:after="20" w:before="20" w:line="252" w:lineRule="auto"/>
              <w:jc w:val="left"/>
            </w:pPr>
            <w:r>
              <w:rPr>
                <w:rFonts w:ascii="Calibri" w:hAnsi="Calibri" w:eastAsia="Microsoft YaHei" w:cs="Calibri"/>
                <w:sz w:val="17"/>
              </w:rPr>
              <w:t>C</w:t>
            </w:r>
          </w:p>
        </w:tc>
        <w:tc>
          <w:tcPr>
            <w:tcW w:type="dxa" w:w="1233"/>
          </w:tcPr>
          <w:p>
            <w:pPr>
              <w:spacing w:after="20" w:before="20" w:line="252" w:lineRule="auto"/>
              <w:jc w:val="center"/>
            </w:pPr>
            <w:r>
              <w:rPr>
                <w:rFonts w:ascii="Calibri" w:hAnsi="Calibri" w:eastAsia="Microsoft YaHei" w:cs="Calibri"/>
                <w:sz w:val="17"/>
              </w:rPr>
              <w:t>5</w:t>
            </w:r>
          </w:p>
        </w:tc>
        <w:tc>
          <w:tcPr>
            <w:tcW w:type="dxa" w:w="3283"/>
          </w:tcPr>
          <w:p>
            <w:pPr>
              <w:spacing w:after="20" w:before="20" w:line="252" w:lineRule="auto"/>
              <w:jc w:val="center"/>
            </w:pPr>
            <w:r>
              <w:rPr>
                <w:rFonts w:ascii="Calibri" w:hAnsi="Calibri" w:eastAsia="Microsoft YaHei" w:cs="Calibri"/>
                <w:sz w:val="17"/>
              </w:rPr>
              <w:t>83.3</w:t>
            </w:r>
          </w:p>
        </w:tc>
        <w:tc>
          <w:tcPr>
            <w:tcW w:type="dxa" w:w="2970"/>
          </w:tcPr>
          <w:p>
            <w:pPr>
              <w:spacing w:after="20" w:before="20" w:line="252" w:lineRule="auto"/>
              <w:jc w:val="center"/>
            </w:pPr>
            <w:r>
              <w:rPr>
                <w:rFonts w:ascii="Calibri" w:hAnsi="Calibri" w:eastAsia="Microsoft YaHei" w:cs="Calibri"/>
                <w:sz w:val="17"/>
              </w:rPr>
              <w:t>1,208</w:t>
            </w:r>
          </w:p>
        </w:tc>
        <w:tc>
          <w:tcPr>
            <w:tcW w:type="dxa" w:w="1233"/>
          </w:tcPr>
          <w:p>
            <w:pPr>
              <w:spacing w:after="20" w:before="20" w:line="252" w:lineRule="auto"/>
              <w:jc w:val="center"/>
            </w:pPr>
            <w:r>
              <w:rPr>
                <w:rFonts w:ascii="Calibri" w:hAnsi="Calibri" w:eastAsia="Microsoft YaHei" w:cs="Calibri"/>
                <w:sz w:val="17"/>
              </w:rPr>
              <w:t>6.9%</w:t>
            </w:r>
          </w:p>
        </w:tc>
      </w:tr>
      <w:tr>
        <w:trPr>
          <w:cantSplit/>
        </w:trPr>
        <w:tc>
          <w:tcPr>
            <w:tcW w:type="dxa" w:w="1032"/>
            <w:shd w:val="clear" w:color="auto" w:fill="F2F5F9"/>
          </w:tcPr>
          <w:p>
            <w:pPr>
              <w:spacing w:after="20" w:before="20" w:line="252" w:lineRule="auto"/>
              <w:jc w:val="left"/>
            </w:pPr>
            <w:r>
              <w:rPr>
                <w:rFonts w:ascii="Calibri" w:hAnsi="Calibri" w:eastAsia="Microsoft YaHei" w:cs="Calibri"/>
                <w:sz w:val="17"/>
              </w:rPr>
              <w:t>WFC</w:t>
            </w:r>
          </w:p>
        </w:tc>
        <w:tc>
          <w:tcPr>
            <w:tcW w:type="dxa" w:w="1233"/>
            <w:shd w:val="clear" w:color="auto" w:fill="F2F5F9"/>
          </w:tcPr>
          <w:p>
            <w:pPr>
              <w:spacing w:after="20" w:before="20" w:line="252" w:lineRule="auto"/>
              <w:jc w:val="center"/>
            </w:pPr>
            <w:r>
              <w:rPr>
                <w:rFonts w:ascii="Calibri" w:hAnsi="Calibri" w:eastAsia="Microsoft YaHei" w:cs="Calibri"/>
                <w:sz w:val="17"/>
              </w:rPr>
              <w:t>2</w:t>
            </w:r>
          </w:p>
        </w:tc>
        <w:tc>
          <w:tcPr>
            <w:tcW w:type="dxa" w:w="3283"/>
            <w:shd w:val="clear" w:color="auto" w:fill="F2F5F9"/>
          </w:tcPr>
          <w:p>
            <w:pPr>
              <w:spacing w:after="20" w:before="20" w:line="252" w:lineRule="auto"/>
              <w:jc w:val="center"/>
            </w:pPr>
            <w:r>
              <w:rPr>
                <w:rFonts w:ascii="Calibri" w:hAnsi="Calibri" w:eastAsia="Microsoft YaHei" w:cs="Calibri"/>
                <w:sz w:val="17"/>
              </w:rPr>
              <w:t>4.8</w:t>
            </w:r>
          </w:p>
        </w:tc>
        <w:tc>
          <w:tcPr>
            <w:tcW w:type="dxa" w:w="2970"/>
            <w:shd w:val="clear" w:color="auto" w:fill="F2F5F9"/>
          </w:tcPr>
          <w:p>
            <w:pPr>
              <w:spacing w:after="20" w:before="20" w:line="252" w:lineRule="auto"/>
              <w:jc w:val="center"/>
            </w:pPr>
            <w:r>
              <w:rPr>
                <w:rFonts w:ascii="Calibri" w:hAnsi="Calibri" w:eastAsia="Microsoft YaHei" w:cs="Calibri"/>
                <w:sz w:val="17"/>
              </w:rPr>
              <w:t>939</w:t>
            </w:r>
          </w:p>
        </w:tc>
        <w:tc>
          <w:tcPr>
            <w:tcW w:type="dxa" w:w="1233"/>
            <w:shd w:val="clear" w:color="auto" w:fill="F2F5F9"/>
          </w:tcPr>
          <w:p>
            <w:pPr>
              <w:spacing w:after="20" w:before="20" w:line="252" w:lineRule="auto"/>
              <w:jc w:val="center"/>
            </w:pPr>
            <w:r>
              <w:rPr>
                <w:rFonts w:ascii="Calibri" w:hAnsi="Calibri" w:eastAsia="Microsoft YaHei" w:cs="Calibri"/>
                <w:sz w:val="17"/>
              </w:rPr>
              <w:t>0.5%</w:t>
            </w:r>
          </w:p>
        </w:tc>
      </w:tr>
      <w:tr>
        <w:trPr>
          <w:cantSplit/>
        </w:trPr>
        <w:tc>
          <w:tcPr>
            <w:tcW w:type="dxa" w:w="1032"/>
          </w:tcPr>
          <w:p>
            <w:pPr>
              <w:spacing w:after="20" w:before="20" w:line="252" w:lineRule="auto"/>
              <w:jc w:val="left"/>
            </w:pPr>
            <w:r>
              <w:rPr>
                <w:rFonts w:ascii="Calibri" w:hAnsi="Calibri" w:eastAsia="Microsoft YaHei" w:cs="Calibri"/>
                <w:sz w:val="17"/>
              </w:rPr>
              <w:t>GS</w:t>
            </w:r>
          </w:p>
        </w:tc>
        <w:tc>
          <w:tcPr>
            <w:tcW w:type="dxa" w:w="1233"/>
          </w:tcPr>
          <w:p>
            <w:pPr>
              <w:spacing w:after="20" w:before="20" w:line="252" w:lineRule="auto"/>
              <w:jc w:val="center"/>
            </w:pPr>
            <w:r>
              <w:rPr>
                <w:rFonts w:ascii="Calibri" w:hAnsi="Calibri" w:eastAsia="Microsoft YaHei" w:cs="Calibri"/>
                <w:sz w:val="17"/>
              </w:rPr>
              <w:t>8</w:t>
            </w:r>
          </w:p>
        </w:tc>
        <w:tc>
          <w:tcPr>
            <w:tcW w:type="dxa" w:w="3283"/>
          </w:tcPr>
          <w:p>
            <w:pPr>
              <w:spacing w:after="20" w:before="20" w:line="252" w:lineRule="auto"/>
              <w:jc w:val="center"/>
            </w:pPr>
            <w:r>
              <w:rPr>
                <w:rFonts w:ascii="Calibri" w:hAnsi="Calibri" w:eastAsia="Microsoft YaHei" w:cs="Calibri"/>
                <w:sz w:val="17"/>
              </w:rPr>
              <w:t>87.1</w:t>
            </w:r>
          </w:p>
        </w:tc>
        <w:tc>
          <w:tcPr>
            <w:tcW w:type="dxa" w:w="2970"/>
          </w:tcPr>
          <w:p>
            <w:pPr>
              <w:spacing w:after="20" w:before="20" w:line="252" w:lineRule="auto"/>
              <w:jc w:val="center"/>
            </w:pPr>
            <w:r>
              <w:rPr>
                <w:rFonts w:ascii="Calibri" w:hAnsi="Calibri" w:eastAsia="Microsoft YaHei" w:cs="Calibri"/>
                <w:sz w:val="17"/>
              </w:rPr>
              <w:t>3,100</w:t>
            </w:r>
          </w:p>
        </w:tc>
        <w:tc>
          <w:tcPr>
            <w:tcW w:type="dxa" w:w="1233"/>
          </w:tcPr>
          <w:p>
            <w:pPr>
              <w:spacing w:after="20" w:before="20" w:line="252" w:lineRule="auto"/>
              <w:jc w:val="center"/>
            </w:pPr>
            <w:r>
              <w:rPr>
                <w:rFonts w:ascii="Calibri" w:hAnsi="Calibri" w:eastAsia="Microsoft YaHei" w:cs="Calibri"/>
                <w:sz w:val="17"/>
              </w:rPr>
              <w:t>2.8%</w:t>
            </w:r>
          </w:p>
        </w:tc>
      </w:tr>
      <w:tr>
        <w:trPr>
          <w:cantSplit/>
        </w:trPr>
        <w:tc>
          <w:tcPr>
            <w:tcW w:type="dxa" w:w="1032"/>
            <w:shd w:val="clear" w:color="auto" w:fill="F2F5F9"/>
          </w:tcPr>
          <w:p>
            <w:pPr>
              <w:spacing w:after="20" w:before="20" w:line="252" w:lineRule="auto"/>
              <w:jc w:val="left"/>
            </w:pPr>
            <w:r>
              <w:rPr>
                <w:rFonts w:ascii="Calibri" w:hAnsi="Calibri" w:eastAsia="Microsoft YaHei" w:cs="Calibri"/>
                <w:sz w:val="17"/>
              </w:rPr>
              <w:t>MS</w:t>
            </w:r>
          </w:p>
        </w:tc>
        <w:tc>
          <w:tcPr>
            <w:tcW w:type="dxa" w:w="1233"/>
            <w:shd w:val="clear" w:color="auto" w:fill="F2F5F9"/>
          </w:tcPr>
          <w:p>
            <w:pPr>
              <w:spacing w:after="20" w:before="20" w:line="252" w:lineRule="auto"/>
              <w:jc w:val="center"/>
            </w:pPr>
            <w:r>
              <w:rPr>
                <w:rFonts w:ascii="Calibri" w:hAnsi="Calibri" w:eastAsia="Microsoft YaHei" w:cs="Calibri"/>
                <w:sz w:val="17"/>
              </w:rPr>
              <w:t>6</w:t>
            </w:r>
          </w:p>
        </w:tc>
        <w:tc>
          <w:tcPr>
            <w:tcW w:type="dxa" w:w="3283"/>
            <w:shd w:val="clear" w:color="auto" w:fill="F2F5F9"/>
          </w:tcPr>
          <w:p>
            <w:pPr>
              <w:spacing w:after="20" w:before="20" w:line="252" w:lineRule="auto"/>
              <w:jc w:val="center"/>
            </w:pPr>
            <w:r>
              <w:rPr>
                <w:rFonts w:ascii="Calibri" w:hAnsi="Calibri" w:eastAsia="Microsoft YaHei" w:cs="Calibri"/>
                <w:sz w:val="17"/>
              </w:rPr>
              <w:t>37.7</w:t>
            </w:r>
          </w:p>
        </w:tc>
        <w:tc>
          <w:tcPr>
            <w:tcW w:type="dxa" w:w="2970"/>
            <w:shd w:val="clear" w:color="auto" w:fill="F2F5F9"/>
          </w:tcPr>
          <w:p>
            <w:pPr>
              <w:spacing w:after="20" w:before="20" w:line="252" w:lineRule="auto"/>
              <w:jc w:val="center"/>
            </w:pPr>
            <w:r>
              <w:rPr>
                <w:rFonts w:ascii="Calibri" w:hAnsi="Calibri" w:eastAsia="Microsoft YaHei" w:cs="Calibri"/>
                <w:sz w:val="17"/>
              </w:rPr>
              <w:t>2,751</w:t>
            </w:r>
          </w:p>
        </w:tc>
        <w:tc>
          <w:tcPr>
            <w:tcW w:type="dxa" w:w="1233"/>
            <w:shd w:val="clear" w:color="auto" w:fill="F2F5F9"/>
          </w:tcPr>
          <w:p>
            <w:pPr>
              <w:spacing w:after="20" w:before="20" w:line="252" w:lineRule="auto"/>
              <w:jc w:val="center"/>
            </w:pPr>
            <w:r>
              <w:rPr>
                <w:rFonts w:ascii="Calibri" w:hAnsi="Calibri" w:eastAsia="Microsoft YaHei" w:cs="Calibri"/>
                <w:sz w:val="17"/>
              </w:rPr>
              <w:t>1.4%</w:t>
            </w:r>
          </w:p>
        </w:tc>
      </w:tr>
    </w:tbl>
    <w:p>
      <w:pPr>
        <w:spacing w:after="40"/>
      </w:pPr>
    </w:p>
    <w:p>
      <w:pPr>
        <w:keepNext/>
        <w:spacing w:before="120"/>
        <w:jc w:val="center"/>
      </w:pPr>
      <w:r>
        <w:drawing>
          <wp:inline xmlns:a="http://schemas.openxmlformats.org/drawingml/2006/main" xmlns:pic="http://schemas.openxmlformats.org/drawingml/2006/picture">
            <wp:extent cx="6048000" cy="2242034"/>
            <wp:docPr id="15" name="Picture 15"/>
            <wp:cNvGraphicFramePr>
              <a:graphicFrameLocks noChangeAspect="1"/>
            </wp:cNvGraphicFramePr>
            <a:graphic>
              <a:graphicData uri="http://schemas.openxmlformats.org/drawingml/2006/picture">
                <pic:pic>
                  <pic:nvPicPr>
                    <pic:cNvPr id="0" name="f14_ipo_fees.png"/>
                    <pic:cNvPicPr/>
                  </pic:nvPicPr>
                  <pic:blipFill>
                    <a:blip r:embed="rId25"/>
                    <a:stretch>
                      <a:fillRect/>
                    </a:stretch>
                  </pic:blipFill>
                  <pic:spPr>
                    <a:xfrm>
                      <a:off x="0" y="0"/>
                      <a:ext cx="6048000" cy="2242034"/>
                    </a:xfrm>
                    <a:prstGeom prst="rect"/>
                  </pic:spPr>
                </pic:pic>
              </a:graphicData>
            </a:graphic>
          </wp:inline>
        </w:drawing>
      </w:r>
    </w:p>
    <w:p>
      <w:pPr>
        <w:spacing w:after="200"/>
        <w:jc w:val="center"/>
      </w:pPr>
      <w:r>
        <w:rPr>
          <w:rFonts w:ascii="Calibri" w:hAnsi="Calibri" w:eastAsia="Microsoft YaHei" w:cs="Calibri"/>
          <w:i/>
          <w:color w:val="555555"/>
          <w:sz w:val="18"/>
        </w:rPr>
        <w:t>Figure 15. IPO underwriting fees: Q3 estimate vs. Q2 SpaceX (left), share of Q3E IB fees (middle), Q4 Anthropic scenario (right)</w:t>
      </w:r>
    </w:p>
    <w:p>
      <w:pPr>
        <w:pStyle w:val="Heading3"/>
      </w:pPr>
      <w:r>
        <w:rPr>
          <w:rFonts w:ascii="Calibri" w:hAnsi="Calibri" w:eastAsia="Microsoft YaHei" w:cs="Calibri"/>
          <w:b/>
          <w:color w:val="1F4E79"/>
          <w:sz w:val="24"/>
        </w:rPr>
        <w:t>How to read it</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IPO fees are a small slice of IB fees</w:t>
      </w:r>
      <w:r>
        <w:rPr>
          <w:rFonts w:ascii="Calibri" w:hAnsi="Calibri" w:eastAsia="Microsoft YaHei" w:cs="Calibri"/>
          <w:sz w:val="21"/>
        </w:rPr>
        <w:t>: the highest of the six is C at only about 6.9%; the rest are mostly 1%-5%. The bulk of IB fees comes from M&amp;A advisory, debt and leveraged-finance underwriting. This supports Section 0's point that 'a hot IPO market does not hold up for Q3 fees'.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One deal decides the ranking</w:t>
      </w:r>
      <w:r>
        <w:rPr>
          <w:rFonts w:ascii="Calibri" w:hAnsi="Calibri" w:eastAsia="Microsoft YaHei" w:cs="Calibri"/>
          <w:sz w:val="21"/>
        </w:rPr>
        <w:t>: SK hynix's $257.5M fee is 42% of all fees in the reviewed deals; Citi is estimated at about $70M (reported as above $70M), and BofA, GS, JPM at about $55M each (estimates); without it each bank's IPO fees are only in the low tens of millions.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Spread falls with size</w:t>
      </w:r>
      <w:r>
        <w:rPr>
          <w:rFonts w:ascii="Calibri" w:hAnsi="Calibri" w:eastAsia="Microsoft YaHei" w:cs="Calibri"/>
          <w:sz w:val="21"/>
        </w:rPr>
        <w:t>: SK hynix about 0.97%, SpaceX about 0.67% (about $500M on a $75B base deal), $1B-class deals about 4%-5%, and biotechs under $300M about 7%. A large raise does not mean large fees.</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Q2 comparison</w:t>
      </w:r>
      <w:r>
        <w:rPr>
          <w:rFonts w:ascii="Calibri" w:hAnsi="Calibri" w:eastAsia="Microsoft YaHei" w:cs="Calibri"/>
          <w:sz w:val="21"/>
        </w:rPr>
        <w:t>: SpaceX alone had a fee pool of about $500M (GS and MS about $100M each, BofA, Citi and JPM about $75M each), comparable to the combined fees of all 18 Q3 IPOs we reviewed (about $611M). It was the key to the record Q2 IB fees.</w:t>
      </w:r>
    </w:p>
    <w:p>
      <w:pPr>
        <w:pStyle w:val="Heading3"/>
      </w:pPr>
      <w:r>
        <w:rPr>
          <w:rFonts w:ascii="Calibri" w:hAnsi="Calibri" w:eastAsia="Microsoft YaHei" w:cs="Calibri"/>
          <w:b/>
          <w:color w:val="1F4E79"/>
          <w:sz w:val="24"/>
        </w:rPr>
        <w:t>17.3 Known Q4 IPO pipeline</w:t>
      </w:r>
    </w:p>
    <w:tbl>
      <w:tblPr>
        <w:tblStyle w:val="TableGrid"/>
        <w:tblW w:type="auto" w:w="0"/>
        <w:jc w:val="center"/>
        <w:tblLayout w:type="fixed"/>
        <w:tblLook w:firstColumn="1" w:firstRow="1" w:lastColumn="0" w:lastRow="0" w:noHBand="0" w:noVBand="1" w:val="04A0"/>
      </w:tblPr>
      <w:tblGrid>
        <w:gridCol w:w="1203"/>
        <w:gridCol w:w="1638"/>
        <w:gridCol w:w="658"/>
        <w:gridCol w:w="1030"/>
        <w:gridCol w:w="911"/>
        <w:gridCol w:w="1690"/>
        <w:gridCol w:w="2621"/>
      </w:tblGrid>
      <w:tr>
        <w:trPr>
          <w:tblHeader w:val="true"/>
          <w:cantSplit/>
        </w:trPr>
        <w:tc>
          <w:tcPr>
            <w:tcW w:type="dxa" w:w="1203"/>
            <w:shd w:val="clear" w:color="auto" w:fill="1F4E79"/>
          </w:tcPr>
          <w:p>
            <w:pPr>
              <w:spacing w:after="20" w:before="20" w:line="252" w:lineRule="auto"/>
              <w:jc w:val="center"/>
            </w:pPr>
            <w:r>
              <w:rPr>
                <w:rFonts w:ascii="Calibri" w:hAnsi="Calibri" w:eastAsia="Microsoft YaHei" w:cs="Calibri"/>
                <w:b/>
                <w:color w:val="FFFFFF"/>
                <w:sz w:val="16"/>
              </w:rPr>
              <w:t>Deal</w:t>
            </w:r>
          </w:p>
        </w:tc>
        <w:tc>
          <w:tcPr>
            <w:tcW w:type="dxa" w:w="1638"/>
            <w:shd w:val="clear" w:color="auto" w:fill="1F4E79"/>
          </w:tcPr>
          <w:p>
            <w:pPr>
              <w:spacing w:after="20" w:before="20" w:line="252" w:lineRule="auto"/>
              <w:jc w:val="center"/>
            </w:pPr>
            <w:r>
              <w:rPr>
                <w:rFonts w:ascii="Calibri" w:hAnsi="Calibri" w:eastAsia="Microsoft YaHei" w:cs="Calibri"/>
                <w:b/>
                <w:color w:val="FFFFFF"/>
                <w:sz w:val="16"/>
              </w:rPr>
              <w:t>Timing</w:t>
            </w:r>
          </w:p>
        </w:tc>
        <w:tc>
          <w:tcPr>
            <w:tcW w:type="dxa" w:w="658"/>
            <w:shd w:val="clear" w:color="auto" w:fill="1F4E79"/>
          </w:tcPr>
          <w:p>
            <w:pPr>
              <w:spacing w:after="20" w:before="20" w:line="252" w:lineRule="auto"/>
              <w:jc w:val="center"/>
            </w:pPr>
            <w:r>
              <w:rPr>
                <w:rFonts w:ascii="Calibri" w:hAnsi="Calibri" w:eastAsia="Microsoft YaHei" w:cs="Calibri"/>
                <w:b/>
                <w:color w:val="FFFFFF"/>
                <w:sz w:val="16"/>
              </w:rPr>
              <w:t>Size ($M)</w:t>
            </w:r>
          </w:p>
        </w:tc>
        <w:tc>
          <w:tcPr>
            <w:tcW w:type="dxa" w:w="1030"/>
            <w:shd w:val="clear" w:color="auto" w:fill="1F4E79"/>
          </w:tcPr>
          <w:p>
            <w:pPr>
              <w:spacing w:after="20" w:before="20" w:line="252" w:lineRule="auto"/>
              <w:jc w:val="center"/>
            </w:pPr>
            <w:r>
              <w:rPr>
                <w:rFonts w:ascii="Calibri" w:hAnsi="Calibri" w:eastAsia="Microsoft YaHei" w:cs="Calibri"/>
                <w:b/>
                <w:color w:val="FFFFFF"/>
                <w:sz w:val="16"/>
              </w:rPr>
              <w:t>Assumed spread</w:t>
            </w:r>
          </w:p>
        </w:tc>
        <w:tc>
          <w:tcPr>
            <w:tcW w:type="dxa" w:w="911"/>
            <w:shd w:val="clear" w:color="auto" w:fill="1F4E79"/>
          </w:tcPr>
          <w:p>
            <w:pPr>
              <w:spacing w:after="20" w:before="20" w:line="252" w:lineRule="auto"/>
              <w:jc w:val="center"/>
            </w:pPr>
            <w:r>
              <w:rPr>
                <w:rFonts w:ascii="Calibri" w:hAnsi="Calibri" w:eastAsia="Microsoft YaHei" w:cs="Calibri"/>
                <w:b/>
                <w:color w:val="FFFFFF"/>
                <w:sz w:val="16"/>
              </w:rPr>
              <w:t>Fee est. ($M)</w:t>
            </w:r>
          </w:p>
        </w:tc>
        <w:tc>
          <w:tcPr>
            <w:tcW w:type="dxa" w:w="1690"/>
            <w:shd w:val="clear" w:color="auto" w:fill="1F4E79"/>
          </w:tcPr>
          <w:p>
            <w:pPr>
              <w:spacing w:after="20" w:before="20" w:line="252" w:lineRule="auto"/>
              <w:jc w:val="center"/>
            </w:pPr>
            <w:r>
              <w:rPr>
                <w:rFonts w:ascii="Calibri" w:hAnsi="Calibri" w:eastAsia="Microsoft YaHei" w:cs="Calibri"/>
                <w:b/>
                <w:color w:val="FFFFFF"/>
                <w:sz w:val="16"/>
              </w:rPr>
              <w:t>Leads</w:t>
            </w:r>
          </w:p>
        </w:tc>
        <w:tc>
          <w:tcPr>
            <w:tcW w:type="dxa" w:w="2621"/>
            <w:shd w:val="clear" w:color="auto" w:fill="1F4E79"/>
          </w:tcPr>
          <w:p>
            <w:pPr>
              <w:spacing w:after="20" w:before="20" w:line="252" w:lineRule="auto"/>
              <w:jc w:val="center"/>
            </w:pPr>
            <w:r>
              <w:rPr>
                <w:rFonts w:ascii="Calibri" w:hAnsi="Calibri" w:eastAsia="Microsoft YaHei" w:cs="Calibri"/>
                <w:b/>
                <w:color w:val="FFFFFF"/>
                <w:sz w:val="16"/>
              </w:rPr>
              <w:t>Status</w:t>
            </w:r>
          </w:p>
        </w:tc>
      </w:tr>
      <w:tr>
        <w:trPr>
          <w:cantSplit/>
        </w:trPr>
        <w:tc>
          <w:tcPr>
            <w:tcW w:type="dxa" w:w="1203"/>
          </w:tcPr>
          <w:p>
            <w:pPr>
              <w:spacing w:after="20" w:before="20" w:line="252" w:lineRule="auto"/>
              <w:jc w:val="left"/>
            </w:pPr>
            <w:r>
              <w:rPr>
                <w:rFonts w:ascii="Calibri" w:hAnsi="Calibri" w:eastAsia="Microsoft YaHei" w:cs="Calibri"/>
                <w:sz w:val="16"/>
              </w:rPr>
              <w:t>Anthropic</w:t>
            </w:r>
          </w:p>
        </w:tc>
        <w:tc>
          <w:tcPr>
            <w:tcW w:type="dxa" w:w="1638"/>
          </w:tcPr>
          <w:p>
            <w:pPr>
              <w:spacing w:after="20" w:before="20" w:line="252" w:lineRule="auto"/>
              <w:jc w:val="left"/>
            </w:pPr>
            <w:r>
              <w:rPr>
                <w:rFonts w:ascii="Calibri" w:hAnsi="Calibri" w:eastAsia="Microsoft YaHei" w:cs="Calibri"/>
                <w:sz w:val="16"/>
              </w:rPr>
              <w:t>Nov 2026 (after midterms)</w:t>
            </w:r>
          </w:p>
        </w:tc>
        <w:tc>
          <w:tcPr>
            <w:tcW w:type="dxa" w:w="658"/>
          </w:tcPr>
          <w:p>
            <w:pPr>
              <w:spacing w:after="20" w:before="20" w:line="252" w:lineRule="auto"/>
              <w:jc w:val="center"/>
            </w:pPr>
            <w:r>
              <w:rPr>
                <w:rFonts w:ascii="Calibri" w:hAnsi="Calibri" w:eastAsia="Microsoft YaHei" w:cs="Calibri"/>
                <w:sz w:val="16"/>
              </w:rPr>
              <w:t>100,000</w:t>
            </w:r>
          </w:p>
        </w:tc>
        <w:tc>
          <w:tcPr>
            <w:tcW w:type="dxa" w:w="1030"/>
          </w:tcPr>
          <w:p>
            <w:pPr>
              <w:spacing w:after="20" w:before="20" w:line="252" w:lineRule="auto"/>
              <w:jc w:val="center"/>
            </w:pPr>
            <w:r>
              <w:rPr>
                <w:rFonts w:ascii="Calibri" w:hAnsi="Calibri" w:eastAsia="Microsoft YaHei" w:cs="Calibri"/>
                <w:sz w:val="16"/>
              </w:rPr>
              <w:t>0.67%</w:t>
            </w:r>
          </w:p>
        </w:tc>
        <w:tc>
          <w:tcPr>
            <w:tcW w:type="dxa" w:w="911"/>
          </w:tcPr>
          <w:p>
            <w:pPr>
              <w:spacing w:after="20" w:before="20" w:line="252" w:lineRule="auto"/>
              <w:jc w:val="center"/>
            </w:pPr>
            <w:r>
              <w:rPr>
                <w:rFonts w:ascii="Calibri" w:hAnsi="Calibri" w:eastAsia="Microsoft YaHei" w:cs="Calibri"/>
                <w:sz w:val="16"/>
              </w:rPr>
              <w:t>670</w:t>
            </w:r>
          </w:p>
        </w:tc>
        <w:tc>
          <w:tcPr>
            <w:tcW w:type="dxa" w:w="1690"/>
          </w:tcPr>
          <w:p>
            <w:pPr>
              <w:spacing w:after="20" w:before="20" w:line="252" w:lineRule="auto"/>
              <w:jc w:val="left"/>
            </w:pPr>
            <w:r>
              <w:rPr>
                <w:rFonts w:ascii="Calibri" w:hAnsi="Calibri" w:eastAsia="Microsoft YaHei" w:cs="Calibri"/>
                <w:sz w:val="16"/>
              </w:rPr>
              <w:t>MS, GS (leads); JPM, Citi</w:t>
            </w:r>
          </w:p>
        </w:tc>
        <w:tc>
          <w:tcPr>
            <w:tcW w:type="dxa" w:w="2621"/>
          </w:tcPr>
          <w:p>
            <w:pPr>
              <w:spacing w:after="20" w:before="20" w:line="252" w:lineRule="auto"/>
              <w:jc w:val="left"/>
            </w:pPr>
            <w:r>
              <w:rPr>
                <w:rFonts w:ascii="Calibri" w:hAnsi="Calibri" w:eastAsia="Microsoft YaHei" w:cs="Calibri"/>
                <w:sz w:val="16"/>
              </w:rPr>
              <w:t>roadshow mid-Oct; no public S-1 yet</w:t>
            </w:r>
          </w:p>
        </w:tc>
      </w:tr>
      <w:tr>
        <w:trPr>
          <w:cantSplit/>
        </w:trPr>
        <w:tc>
          <w:tcPr>
            <w:tcW w:type="dxa" w:w="1203"/>
            <w:shd w:val="clear" w:color="auto" w:fill="F2F5F9"/>
          </w:tcPr>
          <w:p>
            <w:pPr>
              <w:spacing w:after="20" w:before="20" w:line="252" w:lineRule="auto"/>
              <w:jc w:val="left"/>
            </w:pPr>
            <w:r>
              <w:rPr>
                <w:rFonts w:ascii="Calibri" w:hAnsi="Calibri" w:eastAsia="Microsoft YaHei" w:cs="Calibri"/>
                <w:sz w:val="16"/>
              </w:rPr>
              <w:t>Oura</w:t>
            </w:r>
          </w:p>
        </w:tc>
        <w:tc>
          <w:tcPr>
            <w:tcW w:type="dxa" w:w="1638"/>
            <w:shd w:val="clear" w:color="auto" w:fill="F2F5F9"/>
          </w:tcPr>
          <w:p>
            <w:pPr>
              <w:spacing w:after="20" w:before="20" w:line="252" w:lineRule="auto"/>
              <w:jc w:val="left"/>
            </w:pPr>
            <w:r>
              <w:rPr>
                <w:rFonts w:ascii="Calibri" w:hAnsi="Calibri" w:eastAsia="Microsoft YaHei" w:cs="Calibri"/>
                <w:sz w:val="16"/>
              </w:rPr>
              <w:t>Postponed on 9/29</w:t>
            </w:r>
          </w:p>
        </w:tc>
        <w:tc>
          <w:tcPr>
            <w:tcW w:type="dxa" w:w="658"/>
            <w:shd w:val="clear" w:color="auto" w:fill="F2F5F9"/>
          </w:tcPr>
          <w:p>
            <w:pPr>
              <w:spacing w:after="20" w:before="20" w:line="252" w:lineRule="auto"/>
              <w:jc w:val="center"/>
            </w:pPr>
            <w:r>
              <w:rPr>
                <w:rFonts w:ascii="Calibri" w:hAnsi="Calibri" w:eastAsia="Microsoft YaHei" w:cs="Calibri"/>
                <w:sz w:val="16"/>
              </w:rPr>
              <w:t>2,150</w:t>
            </w:r>
          </w:p>
        </w:tc>
        <w:tc>
          <w:tcPr>
            <w:tcW w:type="dxa" w:w="1030"/>
            <w:shd w:val="clear" w:color="auto" w:fill="F2F5F9"/>
          </w:tcPr>
          <w:p>
            <w:pPr>
              <w:spacing w:after="20" w:before="20" w:line="252" w:lineRule="auto"/>
              <w:jc w:val="center"/>
            </w:pPr>
            <w:r>
              <w:rPr>
                <w:rFonts w:ascii="Calibri" w:hAnsi="Calibri" w:eastAsia="Microsoft YaHei" w:cs="Calibri"/>
                <w:sz w:val="16"/>
              </w:rPr>
              <w:t>5.00%</w:t>
            </w:r>
          </w:p>
        </w:tc>
        <w:tc>
          <w:tcPr>
            <w:tcW w:type="dxa" w:w="911"/>
            <w:shd w:val="clear" w:color="auto" w:fill="F2F5F9"/>
          </w:tcPr>
          <w:p>
            <w:pPr>
              <w:spacing w:after="20" w:before="20" w:line="252" w:lineRule="auto"/>
              <w:jc w:val="center"/>
            </w:pPr>
            <w:r>
              <w:rPr>
                <w:rFonts w:ascii="Calibri" w:hAnsi="Calibri" w:eastAsia="Microsoft YaHei" w:cs="Calibri"/>
                <w:sz w:val="16"/>
              </w:rPr>
              <w:t>108</w:t>
            </w:r>
          </w:p>
        </w:tc>
        <w:tc>
          <w:tcPr>
            <w:tcW w:type="dxa" w:w="1690"/>
            <w:shd w:val="clear" w:color="auto" w:fill="F2F5F9"/>
          </w:tcPr>
          <w:p>
            <w:pPr>
              <w:spacing w:after="20" w:before="20" w:line="252" w:lineRule="auto"/>
              <w:jc w:val="center"/>
            </w:pPr>
            <w:r>
              <w:rPr>
                <w:rFonts w:ascii="Calibri" w:hAnsi="Calibri" w:eastAsia="Microsoft YaHei" w:cs="Calibri"/>
                <w:sz w:val="16"/>
              </w:rPr>
              <w:t>n/d</w:t>
            </w:r>
          </w:p>
        </w:tc>
        <w:tc>
          <w:tcPr>
            <w:tcW w:type="dxa" w:w="2621"/>
            <w:shd w:val="clear" w:color="auto" w:fill="F2F5F9"/>
          </w:tcPr>
          <w:p>
            <w:pPr>
              <w:spacing w:after="20" w:before="20" w:line="252" w:lineRule="auto"/>
              <w:jc w:val="left"/>
            </w:pPr>
            <w:r>
              <w:rPr>
                <w:rFonts w:ascii="Calibri" w:hAnsi="Calibri" w:eastAsia="Microsoft YaHei" w:cs="Calibri"/>
                <w:sz w:val="16"/>
              </w:rPr>
              <w:t>planned 50M sh at $40-44; postponed</w:t>
            </w:r>
          </w:p>
        </w:tc>
      </w:tr>
      <w:tr>
        <w:trPr>
          <w:cantSplit/>
        </w:trPr>
        <w:tc>
          <w:tcPr>
            <w:tcW w:type="dxa" w:w="1203"/>
          </w:tcPr>
          <w:p>
            <w:pPr>
              <w:spacing w:after="20" w:before="20" w:line="252" w:lineRule="auto"/>
              <w:jc w:val="left"/>
            </w:pPr>
            <w:r>
              <w:rPr>
                <w:rFonts w:ascii="Calibri" w:hAnsi="Calibri" w:eastAsia="Microsoft YaHei" w:cs="Calibri"/>
                <w:sz w:val="16"/>
              </w:rPr>
              <w:t>Entrata</w:t>
            </w:r>
          </w:p>
        </w:tc>
        <w:tc>
          <w:tcPr>
            <w:tcW w:type="dxa" w:w="1638"/>
          </w:tcPr>
          <w:p>
            <w:pPr>
              <w:spacing w:after="20" w:before="20" w:line="252" w:lineRule="auto"/>
              <w:jc w:val="center"/>
            </w:pPr>
            <w:r>
              <w:rPr>
                <w:rFonts w:ascii="Calibri" w:hAnsi="Calibri" w:eastAsia="Microsoft YaHei" w:cs="Calibri"/>
                <w:sz w:val="16"/>
              </w:rPr>
              <w:t>Q4</w:t>
            </w:r>
          </w:p>
        </w:tc>
        <w:tc>
          <w:tcPr>
            <w:tcW w:type="dxa" w:w="658"/>
          </w:tcPr>
          <w:p>
            <w:pPr>
              <w:spacing w:after="20" w:before="20" w:line="252" w:lineRule="auto"/>
              <w:jc w:val="center"/>
            </w:pPr>
            <w:r>
              <w:rPr>
                <w:rFonts w:ascii="Calibri" w:hAnsi="Calibri" w:eastAsia="Microsoft YaHei" w:cs="Calibri"/>
                <w:sz w:val="16"/>
              </w:rPr>
              <w:t>500</w:t>
            </w:r>
          </w:p>
        </w:tc>
        <w:tc>
          <w:tcPr>
            <w:tcW w:type="dxa" w:w="1030"/>
          </w:tcPr>
          <w:p>
            <w:pPr>
              <w:spacing w:after="20" w:before="20" w:line="252" w:lineRule="auto"/>
              <w:jc w:val="center"/>
            </w:pPr>
            <w:r>
              <w:rPr>
                <w:rFonts w:ascii="Calibri" w:hAnsi="Calibri" w:eastAsia="Microsoft YaHei" w:cs="Calibri"/>
                <w:sz w:val="16"/>
              </w:rPr>
              <w:t>6.00%</w:t>
            </w:r>
          </w:p>
        </w:tc>
        <w:tc>
          <w:tcPr>
            <w:tcW w:type="dxa" w:w="911"/>
          </w:tcPr>
          <w:p>
            <w:pPr>
              <w:spacing w:after="20" w:before="20" w:line="252" w:lineRule="auto"/>
              <w:jc w:val="center"/>
            </w:pPr>
            <w:r>
              <w:rPr>
                <w:rFonts w:ascii="Calibri" w:hAnsi="Calibri" w:eastAsia="Microsoft YaHei" w:cs="Calibri"/>
                <w:sz w:val="16"/>
              </w:rPr>
              <w:t>30</w:t>
            </w:r>
          </w:p>
        </w:tc>
        <w:tc>
          <w:tcPr>
            <w:tcW w:type="dxa" w:w="1690"/>
          </w:tcPr>
          <w:p>
            <w:pPr>
              <w:spacing w:after="20" w:before="20" w:line="252" w:lineRule="auto"/>
              <w:jc w:val="left"/>
            </w:pPr>
            <w:r>
              <w:rPr>
                <w:rFonts w:ascii="Calibri" w:hAnsi="Calibri" w:eastAsia="Microsoft YaHei" w:cs="Calibri"/>
                <w:sz w:val="16"/>
              </w:rPr>
              <w:t>GS, JPM, Barclays</w:t>
            </w:r>
          </w:p>
        </w:tc>
        <w:tc>
          <w:tcPr>
            <w:tcW w:type="dxa" w:w="2621"/>
          </w:tcPr>
          <w:p>
            <w:pPr>
              <w:spacing w:after="20" w:before="20" w:line="252" w:lineRule="auto"/>
              <w:jc w:val="left"/>
            </w:pPr>
            <w:r>
              <w:rPr>
                <w:rFonts w:ascii="Calibri" w:hAnsi="Calibri" w:eastAsia="Microsoft YaHei" w:cs="Calibri"/>
                <w:sz w:val="16"/>
              </w:rPr>
              <w:t>NYSE: ENT; ~$500M target</w:t>
            </w:r>
          </w:p>
        </w:tc>
      </w:tr>
      <w:tr>
        <w:trPr>
          <w:cantSplit/>
        </w:trPr>
        <w:tc>
          <w:tcPr>
            <w:tcW w:type="dxa" w:w="1203"/>
            <w:shd w:val="clear" w:color="auto" w:fill="F2F5F9"/>
          </w:tcPr>
          <w:p>
            <w:pPr>
              <w:spacing w:after="20" w:before="20" w:line="252" w:lineRule="auto"/>
              <w:jc w:val="left"/>
            </w:pPr>
            <w:r>
              <w:rPr>
                <w:rFonts w:ascii="Calibri" w:hAnsi="Calibri" w:eastAsia="Microsoft YaHei" w:cs="Calibri"/>
                <w:sz w:val="16"/>
              </w:rPr>
              <w:t>SB Energy</w:t>
            </w:r>
          </w:p>
        </w:tc>
        <w:tc>
          <w:tcPr>
            <w:tcW w:type="dxa" w:w="1638"/>
            <w:shd w:val="clear" w:color="auto" w:fill="F2F5F9"/>
          </w:tcPr>
          <w:p>
            <w:pPr>
              <w:spacing w:after="20" w:before="20" w:line="252" w:lineRule="auto"/>
              <w:jc w:val="left"/>
            </w:pPr>
            <w:r>
              <w:rPr>
                <w:rFonts w:ascii="Calibri" w:hAnsi="Calibri" w:eastAsia="Microsoft YaHei" w:cs="Calibri"/>
                <w:sz w:val="16"/>
              </w:rPr>
              <w:t>Q4 (reportedly delayed)</w:t>
            </w:r>
          </w:p>
        </w:tc>
        <w:tc>
          <w:tcPr>
            <w:tcW w:type="dxa" w:w="658"/>
            <w:shd w:val="clear" w:color="auto" w:fill="F2F5F9"/>
          </w:tcPr>
          <w:p>
            <w:pPr>
              <w:spacing w:after="20" w:before="20" w:line="252" w:lineRule="auto"/>
              <w:jc w:val="center"/>
            </w:pPr>
            <w:r>
              <w:rPr>
                <w:rFonts w:ascii="Calibri" w:hAnsi="Calibri" w:eastAsia="Microsoft YaHei" w:cs="Calibri"/>
                <w:sz w:val="16"/>
              </w:rPr>
              <w:t>n/d</w:t>
            </w:r>
          </w:p>
        </w:tc>
        <w:tc>
          <w:tcPr>
            <w:tcW w:type="dxa" w:w="1030"/>
            <w:shd w:val="clear" w:color="auto" w:fill="F2F5F9"/>
          </w:tcPr>
          <w:p>
            <w:pPr>
              <w:spacing w:after="20" w:before="20" w:line="252" w:lineRule="auto"/>
              <w:jc w:val="center"/>
            </w:pPr>
            <w:r>
              <w:rPr>
                <w:rFonts w:ascii="Calibri" w:hAnsi="Calibri" w:eastAsia="Microsoft YaHei" w:cs="Calibri"/>
                <w:sz w:val="16"/>
              </w:rPr>
              <w:t>-</w:t>
            </w:r>
          </w:p>
        </w:tc>
        <w:tc>
          <w:tcPr>
            <w:tcW w:type="dxa" w:w="911"/>
            <w:shd w:val="clear" w:color="auto" w:fill="F2F5F9"/>
          </w:tcPr>
          <w:p>
            <w:pPr>
              <w:spacing w:after="20" w:before="20" w:line="252" w:lineRule="auto"/>
              <w:jc w:val="center"/>
            </w:pPr>
            <w:r>
              <w:rPr>
                <w:rFonts w:ascii="Calibri" w:hAnsi="Calibri" w:eastAsia="Microsoft YaHei" w:cs="Calibri"/>
                <w:sz w:val="16"/>
              </w:rPr>
              <w:t>n/d</w:t>
            </w:r>
          </w:p>
        </w:tc>
        <w:tc>
          <w:tcPr>
            <w:tcW w:type="dxa" w:w="1690"/>
            <w:shd w:val="clear" w:color="auto" w:fill="F2F5F9"/>
          </w:tcPr>
          <w:p>
            <w:pPr>
              <w:spacing w:after="20" w:before="20" w:line="252" w:lineRule="auto"/>
              <w:jc w:val="left"/>
            </w:pPr>
            <w:r>
              <w:rPr>
                <w:rFonts w:ascii="Calibri" w:hAnsi="Calibri" w:eastAsia="Microsoft YaHei" w:cs="Calibri"/>
                <w:sz w:val="16"/>
              </w:rPr>
              <w:t>JPM, GS, MS, Citi + others</w:t>
            </w:r>
          </w:p>
        </w:tc>
        <w:tc>
          <w:tcPr>
            <w:tcW w:type="dxa" w:w="2621"/>
            <w:shd w:val="clear" w:color="auto" w:fill="F2F5F9"/>
          </w:tcPr>
          <w:p>
            <w:pPr>
              <w:spacing w:after="20" w:before="20" w:line="252" w:lineRule="auto"/>
              <w:jc w:val="left"/>
            </w:pPr>
            <w:r>
              <w:rPr>
                <w:rFonts w:ascii="Calibri" w:hAnsi="Calibri" w:eastAsia="Microsoft YaHei" w:cs="Calibri"/>
                <w:sz w:val="16"/>
              </w:rPr>
              <w:t>S-1/A #2 on 9/21; NVIDIA $3B private placement</w:t>
            </w:r>
          </w:p>
        </w:tc>
      </w:tr>
      <w:tr>
        <w:trPr>
          <w:cantSplit/>
        </w:trPr>
        <w:tc>
          <w:tcPr>
            <w:tcW w:type="dxa" w:w="1203"/>
          </w:tcPr>
          <w:p>
            <w:pPr>
              <w:spacing w:after="20" w:before="20" w:line="252" w:lineRule="auto"/>
              <w:jc w:val="left"/>
            </w:pPr>
            <w:r>
              <w:rPr>
                <w:rFonts w:ascii="Calibri" w:hAnsi="Calibri" w:eastAsia="Microsoft YaHei" w:cs="Calibri"/>
                <w:sz w:val="16"/>
              </w:rPr>
              <w:t>Encore</w:t>
            </w:r>
          </w:p>
        </w:tc>
        <w:tc>
          <w:tcPr>
            <w:tcW w:type="dxa" w:w="1638"/>
          </w:tcPr>
          <w:p>
            <w:pPr>
              <w:spacing w:after="20" w:before="20" w:line="252" w:lineRule="auto"/>
              <w:jc w:val="center"/>
            </w:pPr>
            <w:r>
              <w:rPr>
                <w:rFonts w:ascii="Calibri" w:hAnsi="Calibri" w:eastAsia="Microsoft YaHei" w:cs="Calibri"/>
                <w:sz w:val="16"/>
              </w:rPr>
              <w:t>Q4</w:t>
            </w:r>
          </w:p>
        </w:tc>
        <w:tc>
          <w:tcPr>
            <w:tcW w:type="dxa" w:w="658"/>
          </w:tcPr>
          <w:p>
            <w:pPr>
              <w:spacing w:after="20" w:before="20" w:line="252" w:lineRule="auto"/>
              <w:jc w:val="center"/>
            </w:pPr>
            <w:r>
              <w:rPr>
                <w:rFonts w:ascii="Calibri" w:hAnsi="Calibri" w:eastAsia="Microsoft YaHei" w:cs="Calibri"/>
                <w:sz w:val="16"/>
              </w:rPr>
              <w:t>n/d</w:t>
            </w:r>
          </w:p>
        </w:tc>
        <w:tc>
          <w:tcPr>
            <w:tcW w:type="dxa" w:w="1030"/>
          </w:tcPr>
          <w:p>
            <w:pPr>
              <w:spacing w:after="20" w:before="20" w:line="252" w:lineRule="auto"/>
              <w:jc w:val="center"/>
            </w:pPr>
            <w:r>
              <w:rPr>
                <w:rFonts w:ascii="Calibri" w:hAnsi="Calibri" w:eastAsia="Microsoft YaHei" w:cs="Calibri"/>
                <w:sz w:val="16"/>
              </w:rPr>
              <w:t>-</w:t>
            </w:r>
          </w:p>
        </w:tc>
        <w:tc>
          <w:tcPr>
            <w:tcW w:type="dxa" w:w="911"/>
          </w:tcPr>
          <w:p>
            <w:pPr>
              <w:spacing w:after="20" w:before="20" w:line="252" w:lineRule="auto"/>
              <w:jc w:val="center"/>
            </w:pPr>
            <w:r>
              <w:rPr>
                <w:rFonts w:ascii="Calibri" w:hAnsi="Calibri" w:eastAsia="Microsoft YaHei" w:cs="Calibri"/>
                <w:sz w:val="16"/>
              </w:rPr>
              <w:t>n/d</w:t>
            </w:r>
          </w:p>
        </w:tc>
        <w:tc>
          <w:tcPr>
            <w:tcW w:type="dxa" w:w="1690"/>
          </w:tcPr>
          <w:p>
            <w:pPr>
              <w:spacing w:after="20" w:before="20" w:line="252" w:lineRule="auto"/>
              <w:jc w:val="center"/>
            </w:pPr>
            <w:r>
              <w:rPr>
                <w:rFonts w:ascii="Calibri" w:hAnsi="Calibri" w:eastAsia="Microsoft YaHei" w:cs="Calibri"/>
                <w:sz w:val="16"/>
              </w:rPr>
              <w:t>BofA, GS, MS</w:t>
            </w:r>
          </w:p>
        </w:tc>
        <w:tc>
          <w:tcPr>
            <w:tcW w:type="dxa" w:w="2621"/>
          </w:tcPr>
          <w:p>
            <w:pPr>
              <w:spacing w:after="20" w:before="20" w:line="252" w:lineRule="auto"/>
              <w:jc w:val="center"/>
            </w:pPr>
            <w:r>
              <w:rPr>
                <w:rFonts w:ascii="Calibri" w:hAnsi="Calibri" w:eastAsia="Microsoft YaHei" w:cs="Calibri"/>
                <w:sz w:val="16"/>
              </w:rPr>
              <w:t>size n/d</w:t>
            </w:r>
          </w:p>
        </w:tc>
      </w:tr>
      <w:tr>
        <w:trPr>
          <w:cantSplit/>
        </w:trPr>
        <w:tc>
          <w:tcPr>
            <w:tcW w:type="dxa" w:w="1203"/>
            <w:shd w:val="clear" w:color="auto" w:fill="F2F5F9"/>
          </w:tcPr>
          <w:p>
            <w:pPr>
              <w:spacing w:after="20" w:before="20" w:line="252" w:lineRule="auto"/>
              <w:jc w:val="left"/>
            </w:pPr>
            <w:r>
              <w:rPr>
                <w:rFonts w:ascii="Calibri" w:hAnsi="Calibri" w:eastAsia="Microsoft YaHei" w:cs="Calibri"/>
                <w:sz w:val="16"/>
              </w:rPr>
              <w:t>Aggreko</w:t>
            </w:r>
          </w:p>
        </w:tc>
        <w:tc>
          <w:tcPr>
            <w:tcW w:type="dxa" w:w="1638"/>
            <w:shd w:val="clear" w:color="auto" w:fill="F2F5F9"/>
          </w:tcPr>
          <w:p>
            <w:pPr>
              <w:spacing w:after="20" w:before="20" w:line="252" w:lineRule="auto"/>
              <w:jc w:val="center"/>
            </w:pPr>
            <w:r>
              <w:rPr>
                <w:rFonts w:ascii="Calibri" w:hAnsi="Calibri" w:eastAsia="Microsoft YaHei" w:cs="Calibri"/>
                <w:sz w:val="16"/>
              </w:rPr>
              <w:t>Q4</w:t>
            </w:r>
          </w:p>
        </w:tc>
        <w:tc>
          <w:tcPr>
            <w:tcW w:type="dxa" w:w="658"/>
            <w:shd w:val="clear" w:color="auto" w:fill="F2F5F9"/>
          </w:tcPr>
          <w:p>
            <w:pPr>
              <w:spacing w:after="20" w:before="20" w:line="252" w:lineRule="auto"/>
              <w:jc w:val="center"/>
            </w:pPr>
            <w:r>
              <w:rPr>
                <w:rFonts w:ascii="Calibri" w:hAnsi="Calibri" w:eastAsia="Microsoft YaHei" w:cs="Calibri"/>
                <w:sz w:val="16"/>
              </w:rPr>
              <w:t>n/d</w:t>
            </w:r>
          </w:p>
        </w:tc>
        <w:tc>
          <w:tcPr>
            <w:tcW w:type="dxa" w:w="1030"/>
            <w:shd w:val="clear" w:color="auto" w:fill="F2F5F9"/>
          </w:tcPr>
          <w:p>
            <w:pPr>
              <w:spacing w:after="20" w:before="20" w:line="252" w:lineRule="auto"/>
              <w:jc w:val="center"/>
            </w:pPr>
            <w:r>
              <w:rPr>
                <w:rFonts w:ascii="Calibri" w:hAnsi="Calibri" w:eastAsia="Microsoft YaHei" w:cs="Calibri"/>
                <w:sz w:val="16"/>
              </w:rPr>
              <w:t>-</w:t>
            </w:r>
          </w:p>
        </w:tc>
        <w:tc>
          <w:tcPr>
            <w:tcW w:type="dxa" w:w="911"/>
            <w:shd w:val="clear" w:color="auto" w:fill="F2F5F9"/>
          </w:tcPr>
          <w:p>
            <w:pPr>
              <w:spacing w:after="20" w:before="20" w:line="252" w:lineRule="auto"/>
              <w:jc w:val="center"/>
            </w:pPr>
            <w:r>
              <w:rPr>
                <w:rFonts w:ascii="Calibri" w:hAnsi="Calibri" w:eastAsia="Microsoft YaHei" w:cs="Calibri"/>
                <w:sz w:val="16"/>
              </w:rPr>
              <w:t>n/d</w:t>
            </w:r>
          </w:p>
        </w:tc>
        <w:tc>
          <w:tcPr>
            <w:tcW w:type="dxa" w:w="1690"/>
            <w:shd w:val="clear" w:color="auto" w:fill="F2F5F9"/>
          </w:tcPr>
          <w:p>
            <w:pPr>
              <w:spacing w:after="20" w:before="20" w:line="252" w:lineRule="auto"/>
              <w:jc w:val="center"/>
            </w:pPr>
            <w:r>
              <w:rPr>
                <w:rFonts w:ascii="Calibri" w:hAnsi="Calibri" w:eastAsia="Microsoft YaHei" w:cs="Calibri"/>
                <w:sz w:val="16"/>
              </w:rPr>
              <w:t>n/d</w:t>
            </w:r>
          </w:p>
        </w:tc>
        <w:tc>
          <w:tcPr>
            <w:tcW w:type="dxa" w:w="2621"/>
            <w:shd w:val="clear" w:color="auto" w:fill="F2F5F9"/>
          </w:tcPr>
          <w:p>
            <w:pPr>
              <w:spacing w:after="20" w:before="20" w:line="252" w:lineRule="auto"/>
              <w:jc w:val="left"/>
            </w:pPr>
            <w:r>
              <w:rPr>
                <w:rFonts w:ascii="Calibri" w:hAnsi="Calibri" w:eastAsia="Microsoft YaHei" w:cs="Calibri"/>
                <w:sz w:val="16"/>
              </w:rPr>
              <w:t>F-1 filed, NYSE: AGKO</w:t>
            </w:r>
          </w:p>
        </w:tc>
      </w:tr>
      <w:tr>
        <w:trPr>
          <w:cantSplit/>
        </w:trPr>
        <w:tc>
          <w:tcPr>
            <w:tcW w:type="dxa" w:w="1203"/>
          </w:tcPr>
          <w:p>
            <w:pPr>
              <w:spacing w:after="20" w:before="20" w:line="252" w:lineRule="auto"/>
              <w:jc w:val="left"/>
            </w:pPr>
            <w:r>
              <w:rPr>
                <w:rFonts w:ascii="Calibri" w:hAnsi="Calibri" w:eastAsia="Microsoft YaHei" w:cs="Calibri"/>
                <w:sz w:val="16"/>
              </w:rPr>
              <w:t>Nscale</w:t>
            </w:r>
          </w:p>
        </w:tc>
        <w:tc>
          <w:tcPr>
            <w:tcW w:type="dxa" w:w="1638"/>
          </w:tcPr>
          <w:p>
            <w:pPr>
              <w:spacing w:after="20" w:before="20" w:line="252" w:lineRule="auto"/>
              <w:jc w:val="center"/>
            </w:pPr>
            <w:r>
              <w:rPr>
                <w:rFonts w:ascii="Calibri" w:hAnsi="Calibri" w:eastAsia="Microsoft YaHei" w:cs="Calibri"/>
                <w:sz w:val="16"/>
              </w:rPr>
              <w:t>Q4</w:t>
            </w:r>
          </w:p>
        </w:tc>
        <w:tc>
          <w:tcPr>
            <w:tcW w:type="dxa" w:w="658"/>
          </w:tcPr>
          <w:p>
            <w:pPr>
              <w:spacing w:after="20" w:before="20" w:line="252" w:lineRule="auto"/>
              <w:jc w:val="center"/>
            </w:pPr>
            <w:r>
              <w:rPr>
                <w:rFonts w:ascii="Calibri" w:hAnsi="Calibri" w:eastAsia="Microsoft YaHei" w:cs="Calibri"/>
                <w:sz w:val="16"/>
              </w:rPr>
              <w:t>n/d</w:t>
            </w:r>
          </w:p>
        </w:tc>
        <w:tc>
          <w:tcPr>
            <w:tcW w:type="dxa" w:w="1030"/>
          </w:tcPr>
          <w:p>
            <w:pPr>
              <w:spacing w:after="20" w:before="20" w:line="252" w:lineRule="auto"/>
              <w:jc w:val="center"/>
            </w:pPr>
            <w:r>
              <w:rPr>
                <w:rFonts w:ascii="Calibri" w:hAnsi="Calibri" w:eastAsia="Microsoft YaHei" w:cs="Calibri"/>
                <w:sz w:val="16"/>
              </w:rPr>
              <w:t>-</w:t>
            </w:r>
          </w:p>
        </w:tc>
        <w:tc>
          <w:tcPr>
            <w:tcW w:type="dxa" w:w="911"/>
          </w:tcPr>
          <w:p>
            <w:pPr>
              <w:spacing w:after="20" w:before="20" w:line="252" w:lineRule="auto"/>
              <w:jc w:val="center"/>
            </w:pPr>
            <w:r>
              <w:rPr>
                <w:rFonts w:ascii="Calibri" w:hAnsi="Calibri" w:eastAsia="Microsoft YaHei" w:cs="Calibri"/>
                <w:sz w:val="16"/>
              </w:rPr>
              <w:t>n/d</w:t>
            </w:r>
          </w:p>
        </w:tc>
        <w:tc>
          <w:tcPr>
            <w:tcW w:type="dxa" w:w="1690"/>
          </w:tcPr>
          <w:p>
            <w:pPr>
              <w:spacing w:after="20" w:before="20" w:line="252" w:lineRule="auto"/>
              <w:jc w:val="center"/>
            </w:pPr>
            <w:r>
              <w:rPr>
                <w:rFonts w:ascii="Calibri" w:hAnsi="Calibri" w:eastAsia="Microsoft YaHei" w:cs="Calibri"/>
                <w:sz w:val="16"/>
              </w:rPr>
              <w:t>n/d</w:t>
            </w:r>
          </w:p>
        </w:tc>
        <w:tc>
          <w:tcPr>
            <w:tcW w:type="dxa" w:w="2621"/>
          </w:tcPr>
          <w:p>
            <w:pPr>
              <w:spacing w:after="20" w:before="20" w:line="252" w:lineRule="auto"/>
              <w:jc w:val="center"/>
            </w:pPr>
            <w:r>
              <w:rPr>
                <w:rFonts w:ascii="Calibri" w:hAnsi="Calibri" w:eastAsia="Microsoft YaHei" w:cs="Calibri"/>
                <w:sz w:val="16"/>
              </w:rPr>
              <w:t>NYSE filing</w:t>
            </w:r>
          </w:p>
        </w:tc>
      </w:tr>
      <w:tr>
        <w:trPr>
          <w:cantSplit/>
        </w:trPr>
        <w:tc>
          <w:tcPr>
            <w:tcW w:type="dxa" w:w="1203"/>
            <w:shd w:val="clear" w:color="auto" w:fill="F2F5F9"/>
          </w:tcPr>
          <w:p>
            <w:pPr>
              <w:spacing w:after="20" w:before="20" w:line="252" w:lineRule="auto"/>
              <w:jc w:val="left"/>
            </w:pPr>
            <w:r>
              <w:rPr>
                <w:rFonts w:ascii="Calibri" w:hAnsi="Calibri" w:eastAsia="Microsoft YaHei" w:cs="Calibri"/>
                <w:sz w:val="16"/>
              </w:rPr>
              <w:t>Inspire Brands</w:t>
            </w:r>
          </w:p>
        </w:tc>
        <w:tc>
          <w:tcPr>
            <w:tcW w:type="dxa" w:w="1638"/>
            <w:shd w:val="clear" w:color="auto" w:fill="F2F5F9"/>
          </w:tcPr>
          <w:p>
            <w:pPr>
              <w:spacing w:after="20" w:before="20" w:line="252" w:lineRule="auto"/>
              <w:jc w:val="left"/>
            </w:pPr>
            <w:r>
              <w:rPr>
                <w:rFonts w:ascii="Calibri" w:hAnsi="Calibri" w:eastAsia="Microsoft YaHei" w:cs="Calibri"/>
                <w:sz w:val="16"/>
              </w:rPr>
              <w:t>year-end / early 2027</w:t>
            </w:r>
          </w:p>
        </w:tc>
        <w:tc>
          <w:tcPr>
            <w:tcW w:type="dxa" w:w="658"/>
            <w:shd w:val="clear" w:color="auto" w:fill="F2F5F9"/>
          </w:tcPr>
          <w:p>
            <w:pPr>
              <w:spacing w:after="20" w:before="20" w:line="252" w:lineRule="auto"/>
              <w:jc w:val="center"/>
            </w:pPr>
            <w:r>
              <w:rPr>
                <w:rFonts w:ascii="Calibri" w:hAnsi="Calibri" w:eastAsia="Microsoft YaHei" w:cs="Calibri"/>
                <w:sz w:val="16"/>
              </w:rPr>
              <w:t>n/d</w:t>
            </w:r>
          </w:p>
        </w:tc>
        <w:tc>
          <w:tcPr>
            <w:tcW w:type="dxa" w:w="1030"/>
            <w:shd w:val="clear" w:color="auto" w:fill="F2F5F9"/>
          </w:tcPr>
          <w:p>
            <w:pPr>
              <w:spacing w:after="20" w:before="20" w:line="252" w:lineRule="auto"/>
              <w:jc w:val="center"/>
            </w:pPr>
            <w:r>
              <w:rPr>
                <w:rFonts w:ascii="Calibri" w:hAnsi="Calibri" w:eastAsia="Microsoft YaHei" w:cs="Calibri"/>
                <w:sz w:val="16"/>
              </w:rPr>
              <w:t>-</w:t>
            </w:r>
          </w:p>
        </w:tc>
        <w:tc>
          <w:tcPr>
            <w:tcW w:type="dxa" w:w="911"/>
            <w:shd w:val="clear" w:color="auto" w:fill="F2F5F9"/>
          </w:tcPr>
          <w:p>
            <w:pPr>
              <w:spacing w:after="20" w:before="20" w:line="252" w:lineRule="auto"/>
              <w:jc w:val="center"/>
            </w:pPr>
            <w:r>
              <w:rPr>
                <w:rFonts w:ascii="Calibri" w:hAnsi="Calibri" w:eastAsia="Microsoft YaHei" w:cs="Calibri"/>
                <w:sz w:val="16"/>
              </w:rPr>
              <w:t>n/d</w:t>
            </w:r>
          </w:p>
        </w:tc>
        <w:tc>
          <w:tcPr>
            <w:tcW w:type="dxa" w:w="1690"/>
            <w:shd w:val="clear" w:color="auto" w:fill="F2F5F9"/>
          </w:tcPr>
          <w:p>
            <w:pPr>
              <w:spacing w:after="20" w:before="20" w:line="252" w:lineRule="auto"/>
              <w:jc w:val="center"/>
            </w:pPr>
            <w:r>
              <w:rPr>
                <w:rFonts w:ascii="Calibri" w:hAnsi="Calibri" w:eastAsia="Microsoft YaHei" w:cs="Calibri"/>
                <w:sz w:val="16"/>
              </w:rPr>
              <w:t>n/d</w:t>
            </w:r>
          </w:p>
        </w:tc>
        <w:tc>
          <w:tcPr>
            <w:tcW w:type="dxa" w:w="2621"/>
            <w:shd w:val="clear" w:color="auto" w:fill="F2F5F9"/>
          </w:tcPr>
          <w:p>
            <w:pPr>
              <w:spacing w:after="20" w:before="20" w:line="252" w:lineRule="auto"/>
              <w:jc w:val="center"/>
            </w:pPr>
            <w:r>
              <w:rPr>
                <w:rFonts w:ascii="Calibri" w:hAnsi="Calibri" w:eastAsia="Microsoft YaHei" w:cs="Calibri"/>
                <w:sz w:val="16"/>
              </w:rPr>
              <w:t>timing may slip</w:t>
            </w:r>
          </w:p>
        </w:tc>
      </w:tr>
      <w:tr>
        <w:trPr>
          <w:cantSplit/>
        </w:trPr>
        <w:tc>
          <w:tcPr>
            <w:tcW w:type="dxa" w:w="1203"/>
          </w:tcPr>
          <w:p>
            <w:pPr>
              <w:spacing w:after="20" w:before="20" w:line="252" w:lineRule="auto"/>
              <w:jc w:val="left"/>
            </w:pPr>
            <w:r>
              <w:rPr>
                <w:rFonts w:ascii="Calibri" w:hAnsi="Calibri" w:eastAsia="Microsoft YaHei" w:cs="Calibri"/>
                <w:sz w:val="16"/>
              </w:rPr>
              <w:t>City Therapeutics</w:t>
            </w:r>
          </w:p>
        </w:tc>
        <w:tc>
          <w:tcPr>
            <w:tcW w:type="dxa" w:w="1638"/>
          </w:tcPr>
          <w:p>
            <w:pPr>
              <w:spacing w:after="20" w:before="20" w:line="252" w:lineRule="auto"/>
              <w:jc w:val="center"/>
            </w:pPr>
            <w:r>
              <w:rPr>
                <w:rFonts w:ascii="Calibri" w:hAnsi="Calibri" w:eastAsia="Microsoft YaHei" w:cs="Calibri"/>
                <w:sz w:val="16"/>
              </w:rPr>
              <w:t>Q4</w:t>
            </w:r>
          </w:p>
        </w:tc>
        <w:tc>
          <w:tcPr>
            <w:tcW w:type="dxa" w:w="658"/>
          </w:tcPr>
          <w:p>
            <w:pPr>
              <w:spacing w:after="20" w:before="20" w:line="252" w:lineRule="auto"/>
              <w:jc w:val="center"/>
            </w:pPr>
            <w:r>
              <w:rPr>
                <w:rFonts w:ascii="Calibri" w:hAnsi="Calibri" w:eastAsia="Microsoft YaHei" w:cs="Calibri"/>
                <w:sz w:val="16"/>
              </w:rPr>
              <w:t>n/d</w:t>
            </w:r>
          </w:p>
        </w:tc>
        <w:tc>
          <w:tcPr>
            <w:tcW w:type="dxa" w:w="1030"/>
          </w:tcPr>
          <w:p>
            <w:pPr>
              <w:spacing w:after="20" w:before="20" w:line="252" w:lineRule="auto"/>
              <w:jc w:val="center"/>
            </w:pPr>
            <w:r>
              <w:rPr>
                <w:rFonts w:ascii="Calibri" w:hAnsi="Calibri" w:eastAsia="Microsoft YaHei" w:cs="Calibri"/>
                <w:sz w:val="16"/>
              </w:rPr>
              <w:t>-</w:t>
            </w:r>
          </w:p>
        </w:tc>
        <w:tc>
          <w:tcPr>
            <w:tcW w:type="dxa" w:w="911"/>
          </w:tcPr>
          <w:p>
            <w:pPr>
              <w:spacing w:after="20" w:before="20" w:line="252" w:lineRule="auto"/>
              <w:jc w:val="center"/>
            </w:pPr>
            <w:r>
              <w:rPr>
                <w:rFonts w:ascii="Calibri" w:hAnsi="Calibri" w:eastAsia="Microsoft YaHei" w:cs="Calibri"/>
                <w:sz w:val="16"/>
              </w:rPr>
              <w:t>n/d</w:t>
            </w:r>
          </w:p>
        </w:tc>
        <w:tc>
          <w:tcPr>
            <w:tcW w:type="dxa" w:w="1690"/>
          </w:tcPr>
          <w:p>
            <w:pPr>
              <w:spacing w:after="20" w:before="20" w:line="252" w:lineRule="auto"/>
              <w:jc w:val="center"/>
            </w:pPr>
            <w:r>
              <w:rPr>
                <w:rFonts w:ascii="Calibri" w:hAnsi="Calibri" w:eastAsia="Microsoft YaHei" w:cs="Calibri"/>
                <w:sz w:val="16"/>
              </w:rPr>
              <w:t>GS, Jefferies</w:t>
            </w:r>
          </w:p>
        </w:tc>
        <w:tc>
          <w:tcPr>
            <w:tcW w:type="dxa" w:w="2621"/>
          </w:tcPr>
          <w:p>
            <w:pPr>
              <w:spacing w:after="20" w:before="20" w:line="252" w:lineRule="auto"/>
              <w:jc w:val="left"/>
            </w:pPr>
            <w:r>
              <w:rPr>
                <w:rFonts w:ascii="Calibri" w:hAnsi="Calibri" w:eastAsia="Microsoft YaHei" w:cs="Calibri"/>
                <w:sz w:val="16"/>
              </w:rPr>
              <w:t>biotech; size n/d</w:t>
            </w:r>
          </w:p>
        </w:tc>
      </w:tr>
      <w:tr>
        <w:trPr>
          <w:cantSplit/>
        </w:trPr>
        <w:tc>
          <w:tcPr>
            <w:tcW w:type="dxa" w:w="1203"/>
            <w:shd w:val="clear" w:color="auto" w:fill="F2F5F9"/>
          </w:tcPr>
          <w:p>
            <w:pPr>
              <w:spacing w:after="20" w:before="20" w:line="252" w:lineRule="auto"/>
              <w:jc w:val="left"/>
            </w:pPr>
            <w:r>
              <w:rPr>
                <w:rFonts w:ascii="Calibri" w:hAnsi="Calibri" w:eastAsia="Microsoft YaHei" w:cs="Calibri"/>
                <w:sz w:val="16"/>
              </w:rPr>
              <w:t>OpenAI</w:t>
            </w:r>
          </w:p>
        </w:tc>
        <w:tc>
          <w:tcPr>
            <w:tcW w:type="dxa" w:w="1638"/>
            <w:shd w:val="clear" w:color="auto" w:fill="F2F5F9"/>
          </w:tcPr>
          <w:p>
            <w:pPr>
              <w:spacing w:after="20" w:before="20" w:line="252" w:lineRule="auto"/>
              <w:jc w:val="center"/>
            </w:pPr>
            <w:r>
              <w:rPr>
                <w:rFonts w:ascii="Calibri" w:hAnsi="Calibri" w:eastAsia="Microsoft YaHei" w:cs="Calibri"/>
                <w:sz w:val="16"/>
              </w:rPr>
              <w:t>2027</w:t>
            </w:r>
          </w:p>
        </w:tc>
        <w:tc>
          <w:tcPr>
            <w:tcW w:type="dxa" w:w="658"/>
            <w:shd w:val="clear" w:color="auto" w:fill="F2F5F9"/>
          </w:tcPr>
          <w:p>
            <w:pPr>
              <w:spacing w:after="20" w:before="20" w:line="252" w:lineRule="auto"/>
              <w:jc w:val="center"/>
            </w:pPr>
            <w:r>
              <w:rPr>
                <w:rFonts w:ascii="Calibri" w:hAnsi="Calibri" w:eastAsia="Microsoft YaHei" w:cs="Calibri"/>
                <w:sz w:val="16"/>
              </w:rPr>
              <w:t>n/d</w:t>
            </w:r>
          </w:p>
        </w:tc>
        <w:tc>
          <w:tcPr>
            <w:tcW w:type="dxa" w:w="1030"/>
            <w:shd w:val="clear" w:color="auto" w:fill="F2F5F9"/>
          </w:tcPr>
          <w:p>
            <w:pPr>
              <w:spacing w:after="20" w:before="20" w:line="252" w:lineRule="auto"/>
              <w:jc w:val="center"/>
            </w:pPr>
            <w:r>
              <w:rPr>
                <w:rFonts w:ascii="Calibri" w:hAnsi="Calibri" w:eastAsia="Microsoft YaHei" w:cs="Calibri"/>
                <w:sz w:val="16"/>
              </w:rPr>
              <w:t>-</w:t>
            </w:r>
          </w:p>
        </w:tc>
        <w:tc>
          <w:tcPr>
            <w:tcW w:type="dxa" w:w="911"/>
            <w:shd w:val="clear" w:color="auto" w:fill="F2F5F9"/>
          </w:tcPr>
          <w:p>
            <w:pPr>
              <w:spacing w:after="20" w:before="20" w:line="252" w:lineRule="auto"/>
              <w:jc w:val="center"/>
            </w:pPr>
            <w:r>
              <w:rPr>
                <w:rFonts w:ascii="Calibri" w:hAnsi="Calibri" w:eastAsia="Microsoft YaHei" w:cs="Calibri"/>
                <w:sz w:val="16"/>
              </w:rPr>
              <w:t>n/d</w:t>
            </w:r>
          </w:p>
        </w:tc>
        <w:tc>
          <w:tcPr>
            <w:tcW w:type="dxa" w:w="1690"/>
            <w:shd w:val="clear" w:color="auto" w:fill="F2F5F9"/>
          </w:tcPr>
          <w:p>
            <w:pPr>
              <w:spacing w:after="20" w:before="20" w:line="252" w:lineRule="auto"/>
              <w:jc w:val="center"/>
            </w:pPr>
            <w:r>
              <w:rPr>
                <w:rFonts w:ascii="Calibri" w:hAnsi="Calibri" w:eastAsia="Microsoft YaHei" w:cs="Calibri"/>
                <w:sz w:val="16"/>
              </w:rPr>
              <w:t>n/d</w:t>
            </w:r>
          </w:p>
        </w:tc>
        <w:tc>
          <w:tcPr>
            <w:tcW w:type="dxa" w:w="2621"/>
            <w:shd w:val="clear" w:color="auto" w:fill="F2F5F9"/>
          </w:tcPr>
          <w:p>
            <w:pPr>
              <w:spacing w:after="20" w:before="20" w:line="252" w:lineRule="auto"/>
              <w:jc w:val="center"/>
            </w:pPr>
            <w:r>
              <w:rPr>
                <w:rFonts w:ascii="Calibri" w:hAnsi="Calibri" w:eastAsia="Microsoft YaHei" w:cs="Calibri"/>
                <w:sz w:val="16"/>
              </w:rPr>
              <w:t>pushed to 2027</w:t>
            </w:r>
          </w:p>
        </w:tc>
      </w:tr>
    </w:tbl>
    <w:p>
      <w:pPr>
        <w:spacing w:after="40"/>
      </w:pPr>
    </w:p>
    <w:p>
      <w:r>
        <w:rPr>
          <w:rFonts w:ascii="Calibri" w:hAnsi="Calibri" w:eastAsia="Microsoft YaHei" w:cs="Calibri"/>
          <w:i/>
          <w:sz w:val="21"/>
        </w:rPr>
        <w:t>n/d = not disclosed. Apart from Anthropic, sizes come from media reports or filings and may change; spreads are assumptions. Oura was postponed on 9/29. Other pipeline names (Switch, Holtec Nuclear, Tailored Brands, CoVolt Power, Wella, Iambic, Retension, TRex Bio, etc.) mostly have undisclosed sizes and are not estimated. Renaissance estimates 40-70 sizeable US IPOs by year-end could raise more than $125B, depending on whether the mega deals happen.</w:t>
      </w:r>
    </w:p>
    <w:p>
      <w:pPr>
        <w:pStyle w:val="Heading3"/>
      </w:pPr>
      <w:r>
        <w:rPr>
          <w:rFonts w:ascii="Calibri" w:hAnsi="Calibri" w:eastAsia="Microsoft YaHei" w:cs="Calibri"/>
          <w:b/>
          <w:color w:val="1F4E79"/>
          <w:sz w:val="24"/>
        </w:rPr>
        <w:t>17.4 The Anthropic scenario: the biggest Q4 fee variable</w:t>
      </w:r>
    </w:p>
    <w:p>
      <w:r>
        <w:rPr>
          <w:rFonts w:ascii="Calibri" w:hAnsi="Calibri" w:eastAsia="Microsoft YaHei" w:cs="Calibri"/>
          <w:sz w:val="21"/>
        </w:rPr>
        <w:t>Media reports say Anthropic is targeting a November listing after the midterms, raising up to about $100B at a valuation of about $2T, with a roadshow expected in mid-October, MS and GS leading and JPM and Citi involved; there is no public S-1 as of this writing and none of this is confirmed. OpenAI has been pushed to 2027. The table below is an assumption-driven scenario, not a forecast.</w:t>
      </w:r>
    </w:p>
    <w:tbl>
      <w:tblPr>
        <w:tblStyle w:val="TableGrid"/>
        <w:tblW w:type="auto" w:w="0"/>
        <w:jc w:val="center"/>
        <w:tblLayout w:type="fixed"/>
        <w:tblLook w:firstColumn="1" w:firstRow="1" w:lastColumn="0" w:lastRow="0" w:noHBand="0" w:noVBand="1" w:val="04A0"/>
      </w:tblPr>
      <w:tblGrid>
        <w:gridCol w:w="740"/>
        <w:gridCol w:w="1024"/>
        <w:gridCol w:w="1782"/>
        <w:gridCol w:w="2999"/>
        <w:gridCol w:w="3206"/>
      </w:tblGrid>
      <w:tr>
        <w:trPr>
          <w:tblHeader w:val="true"/>
          <w:cantSplit/>
        </w:trPr>
        <w:tc>
          <w:tcPr>
            <w:tcW w:type="dxa" w:w="740"/>
            <w:shd w:val="clear" w:color="auto" w:fill="1F4E79"/>
          </w:tcPr>
          <w:p>
            <w:pPr>
              <w:spacing w:after="20" w:before="20" w:line="252" w:lineRule="auto"/>
              <w:jc w:val="center"/>
            </w:pPr>
            <w:r>
              <w:rPr>
                <w:rFonts w:ascii="Calibri" w:hAnsi="Calibri" w:eastAsia="Microsoft YaHei" w:cs="Calibri"/>
                <w:b/>
                <w:color w:val="FFFFFF"/>
                <w:sz w:val="17"/>
              </w:rPr>
              <w:t>Size</w:t>
            </w:r>
          </w:p>
        </w:tc>
        <w:tc>
          <w:tcPr>
            <w:tcW w:type="dxa" w:w="1024"/>
            <w:shd w:val="clear" w:color="auto" w:fill="1F4E79"/>
          </w:tcPr>
          <w:p>
            <w:pPr>
              <w:spacing w:after="20" w:before="20" w:line="252" w:lineRule="auto"/>
              <w:jc w:val="center"/>
            </w:pPr>
            <w:r>
              <w:rPr>
                <w:rFonts w:ascii="Calibri" w:hAnsi="Calibri" w:eastAsia="Microsoft YaHei" w:cs="Calibri"/>
                <w:b/>
                <w:color w:val="FFFFFF"/>
                <w:sz w:val="17"/>
              </w:rPr>
              <w:t>Spread</w:t>
            </w:r>
          </w:p>
        </w:tc>
        <w:tc>
          <w:tcPr>
            <w:tcW w:type="dxa" w:w="1782"/>
            <w:shd w:val="clear" w:color="auto" w:fill="1F4E79"/>
          </w:tcPr>
          <w:p>
            <w:pPr>
              <w:spacing w:after="20" w:before="20" w:line="252" w:lineRule="auto"/>
              <w:jc w:val="center"/>
            </w:pPr>
            <w:r>
              <w:rPr>
                <w:rFonts w:ascii="Calibri" w:hAnsi="Calibri" w:eastAsia="Microsoft YaHei" w:cs="Calibri"/>
                <w:b/>
                <w:color w:val="FFFFFF"/>
                <w:sz w:val="17"/>
              </w:rPr>
              <w:t>Fee pool ($M)</w:t>
            </w:r>
          </w:p>
        </w:tc>
        <w:tc>
          <w:tcPr>
            <w:tcW w:type="dxa" w:w="2999"/>
            <w:shd w:val="clear" w:color="auto" w:fill="1F4E79"/>
          </w:tcPr>
          <w:p>
            <w:pPr>
              <w:spacing w:after="20" w:before="20" w:line="252" w:lineRule="auto"/>
              <w:jc w:val="center"/>
            </w:pPr>
            <w:r>
              <w:rPr>
                <w:rFonts w:ascii="Calibri" w:hAnsi="Calibri" w:eastAsia="Microsoft YaHei" w:cs="Calibri"/>
                <w:b/>
                <w:color w:val="FFFFFF"/>
                <w:sz w:val="17"/>
              </w:rPr>
              <w:t>Each lead bank, 20% ($M)</w:t>
            </w:r>
          </w:p>
        </w:tc>
        <w:tc>
          <w:tcPr>
            <w:tcW w:type="dxa" w:w="3206"/>
            <w:shd w:val="clear" w:color="auto" w:fill="1F4E79"/>
          </w:tcPr>
          <w:p>
            <w:pPr>
              <w:spacing w:after="20" w:before="20" w:line="252" w:lineRule="auto"/>
              <w:jc w:val="center"/>
            </w:pPr>
            <w:r>
              <w:rPr>
                <w:rFonts w:ascii="Calibri" w:hAnsi="Calibri" w:eastAsia="Microsoft YaHei" w:cs="Calibri"/>
                <w:b/>
                <w:color w:val="FFFFFF"/>
                <w:sz w:val="17"/>
              </w:rPr>
              <w:t>Each other major, 15% ($M)</w:t>
            </w:r>
          </w:p>
        </w:tc>
      </w:tr>
      <w:tr>
        <w:trPr>
          <w:cantSplit/>
        </w:trPr>
        <w:tc>
          <w:tcPr>
            <w:tcW w:type="dxa" w:w="740"/>
          </w:tcPr>
          <w:p>
            <w:pPr>
              <w:spacing w:after="20" w:before="20" w:line="252" w:lineRule="auto"/>
              <w:jc w:val="left"/>
            </w:pPr>
            <w:r>
              <w:rPr>
                <w:rFonts w:ascii="Calibri" w:hAnsi="Calibri" w:eastAsia="Microsoft YaHei" w:cs="Calibri"/>
                <w:sz w:val="17"/>
              </w:rPr>
              <w:t>$60B</w:t>
            </w:r>
          </w:p>
        </w:tc>
        <w:tc>
          <w:tcPr>
            <w:tcW w:type="dxa" w:w="1024"/>
          </w:tcPr>
          <w:p>
            <w:pPr>
              <w:spacing w:after="20" w:before="20" w:line="252" w:lineRule="auto"/>
              <w:jc w:val="center"/>
            </w:pPr>
            <w:r>
              <w:rPr>
                <w:rFonts w:ascii="Calibri" w:hAnsi="Calibri" w:eastAsia="Microsoft YaHei" w:cs="Calibri"/>
                <w:sz w:val="17"/>
              </w:rPr>
              <w:t>0.50%</w:t>
            </w:r>
          </w:p>
        </w:tc>
        <w:tc>
          <w:tcPr>
            <w:tcW w:type="dxa" w:w="1782"/>
          </w:tcPr>
          <w:p>
            <w:pPr>
              <w:spacing w:after="20" w:before="20" w:line="252" w:lineRule="auto"/>
              <w:jc w:val="center"/>
            </w:pPr>
            <w:r>
              <w:rPr>
                <w:rFonts w:ascii="Calibri" w:hAnsi="Calibri" w:eastAsia="Microsoft YaHei" w:cs="Calibri"/>
                <w:sz w:val="17"/>
              </w:rPr>
              <w:t>300</w:t>
            </w:r>
          </w:p>
        </w:tc>
        <w:tc>
          <w:tcPr>
            <w:tcW w:type="dxa" w:w="2999"/>
          </w:tcPr>
          <w:p>
            <w:pPr>
              <w:spacing w:after="20" w:before="20" w:line="252" w:lineRule="auto"/>
              <w:jc w:val="center"/>
            </w:pPr>
            <w:r>
              <w:rPr>
                <w:rFonts w:ascii="Calibri" w:hAnsi="Calibri" w:eastAsia="Microsoft YaHei" w:cs="Calibri"/>
                <w:sz w:val="17"/>
              </w:rPr>
              <w:t>60</w:t>
            </w:r>
          </w:p>
        </w:tc>
        <w:tc>
          <w:tcPr>
            <w:tcW w:type="dxa" w:w="3206"/>
          </w:tcPr>
          <w:p>
            <w:pPr>
              <w:spacing w:after="20" w:before="20" w:line="252" w:lineRule="auto"/>
              <w:jc w:val="center"/>
            </w:pPr>
            <w:r>
              <w:rPr>
                <w:rFonts w:ascii="Calibri" w:hAnsi="Calibri" w:eastAsia="Microsoft YaHei" w:cs="Calibri"/>
                <w:sz w:val="17"/>
              </w:rPr>
              <w:t>45</w:t>
            </w:r>
          </w:p>
        </w:tc>
      </w:tr>
      <w:tr>
        <w:trPr>
          <w:cantSplit/>
        </w:trPr>
        <w:tc>
          <w:tcPr>
            <w:tcW w:type="dxa" w:w="740"/>
            <w:shd w:val="clear" w:color="auto" w:fill="F2F5F9"/>
          </w:tcPr>
          <w:p>
            <w:pPr>
              <w:spacing w:after="20" w:before="20" w:line="252" w:lineRule="auto"/>
              <w:jc w:val="left"/>
            </w:pPr>
            <w:r>
              <w:rPr>
                <w:rFonts w:ascii="Calibri" w:hAnsi="Calibri" w:eastAsia="Microsoft YaHei" w:cs="Calibri"/>
                <w:sz w:val="17"/>
              </w:rPr>
              <w:t>$60B</w:t>
            </w:r>
          </w:p>
        </w:tc>
        <w:tc>
          <w:tcPr>
            <w:tcW w:type="dxa" w:w="1024"/>
            <w:shd w:val="clear" w:color="auto" w:fill="F2F5F9"/>
          </w:tcPr>
          <w:p>
            <w:pPr>
              <w:spacing w:after="20" w:before="20" w:line="252" w:lineRule="auto"/>
              <w:jc w:val="center"/>
            </w:pPr>
            <w:r>
              <w:rPr>
                <w:rFonts w:ascii="Calibri" w:hAnsi="Calibri" w:eastAsia="Microsoft YaHei" w:cs="Calibri"/>
                <w:sz w:val="17"/>
              </w:rPr>
              <w:t>0.67%</w:t>
            </w:r>
          </w:p>
        </w:tc>
        <w:tc>
          <w:tcPr>
            <w:tcW w:type="dxa" w:w="1782"/>
            <w:shd w:val="clear" w:color="auto" w:fill="F2F5F9"/>
          </w:tcPr>
          <w:p>
            <w:pPr>
              <w:spacing w:after="20" w:before="20" w:line="252" w:lineRule="auto"/>
              <w:jc w:val="center"/>
            </w:pPr>
            <w:r>
              <w:rPr>
                <w:rFonts w:ascii="Calibri" w:hAnsi="Calibri" w:eastAsia="Microsoft YaHei" w:cs="Calibri"/>
                <w:sz w:val="17"/>
              </w:rPr>
              <w:t>402</w:t>
            </w:r>
          </w:p>
        </w:tc>
        <w:tc>
          <w:tcPr>
            <w:tcW w:type="dxa" w:w="2999"/>
            <w:shd w:val="clear" w:color="auto" w:fill="F2F5F9"/>
          </w:tcPr>
          <w:p>
            <w:pPr>
              <w:spacing w:after="20" w:before="20" w:line="252" w:lineRule="auto"/>
              <w:jc w:val="center"/>
            </w:pPr>
            <w:r>
              <w:rPr>
                <w:rFonts w:ascii="Calibri" w:hAnsi="Calibri" w:eastAsia="Microsoft YaHei" w:cs="Calibri"/>
                <w:sz w:val="17"/>
              </w:rPr>
              <w:t>80</w:t>
            </w:r>
          </w:p>
        </w:tc>
        <w:tc>
          <w:tcPr>
            <w:tcW w:type="dxa" w:w="3206"/>
            <w:shd w:val="clear" w:color="auto" w:fill="F2F5F9"/>
          </w:tcPr>
          <w:p>
            <w:pPr>
              <w:spacing w:after="20" w:before="20" w:line="252" w:lineRule="auto"/>
              <w:jc w:val="center"/>
            </w:pPr>
            <w:r>
              <w:rPr>
                <w:rFonts w:ascii="Calibri" w:hAnsi="Calibri" w:eastAsia="Microsoft YaHei" w:cs="Calibri"/>
                <w:sz w:val="17"/>
              </w:rPr>
              <w:t>60</w:t>
            </w:r>
          </w:p>
        </w:tc>
      </w:tr>
      <w:tr>
        <w:trPr>
          <w:cantSplit/>
        </w:trPr>
        <w:tc>
          <w:tcPr>
            <w:tcW w:type="dxa" w:w="740"/>
          </w:tcPr>
          <w:p>
            <w:pPr>
              <w:spacing w:after="20" w:before="20" w:line="252" w:lineRule="auto"/>
              <w:jc w:val="left"/>
            </w:pPr>
            <w:r>
              <w:rPr>
                <w:rFonts w:ascii="Calibri" w:hAnsi="Calibri" w:eastAsia="Microsoft YaHei" w:cs="Calibri"/>
                <w:sz w:val="17"/>
              </w:rPr>
              <w:t>$60B</w:t>
            </w:r>
          </w:p>
        </w:tc>
        <w:tc>
          <w:tcPr>
            <w:tcW w:type="dxa" w:w="1024"/>
          </w:tcPr>
          <w:p>
            <w:pPr>
              <w:spacing w:after="20" w:before="20" w:line="252" w:lineRule="auto"/>
              <w:jc w:val="center"/>
            </w:pPr>
            <w:r>
              <w:rPr>
                <w:rFonts w:ascii="Calibri" w:hAnsi="Calibri" w:eastAsia="Microsoft YaHei" w:cs="Calibri"/>
                <w:sz w:val="17"/>
              </w:rPr>
              <w:t>1.00%</w:t>
            </w:r>
          </w:p>
        </w:tc>
        <w:tc>
          <w:tcPr>
            <w:tcW w:type="dxa" w:w="1782"/>
          </w:tcPr>
          <w:p>
            <w:pPr>
              <w:spacing w:after="20" w:before="20" w:line="252" w:lineRule="auto"/>
              <w:jc w:val="center"/>
            </w:pPr>
            <w:r>
              <w:rPr>
                <w:rFonts w:ascii="Calibri" w:hAnsi="Calibri" w:eastAsia="Microsoft YaHei" w:cs="Calibri"/>
                <w:sz w:val="17"/>
              </w:rPr>
              <w:t>600</w:t>
            </w:r>
          </w:p>
        </w:tc>
        <w:tc>
          <w:tcPr>
            <w:tcW w:type="dxa" w:w="2999"/>
          </w:tcPr>
          <w:p>
            <w:pPr>
              <w:spacing w:after="20" w:before="20" w:line="252" w:lineRule="auto"/>
              <w:jc w:val="center"/>
            </w:pPr>
            <w:r>
              <w:rPr>
                <w:rFonts w:ascii="Calibri" w:hAnsi="Calibri" w:eastAsia="Microsoft YaHei" w:cs="Calibri"/>
                <w:sz w:val="17"/>
              </w:rPr>
              <w:t>120</w:t>
            </w:r>
          </w:p>
        </w:tc>
        <w:tc>
          <w:tcPr>
            <w:tcW w:type="dxa" w:w="3206"/>
          </w:tcPr>
          <w:p>
            <w:pPr>
              <w:spacing w:after="20" w:before="20" w:line="252" w:lineRule="auto"/>
              <w:jc w:val="center"/>
            </w:pPr>
            <w:r>
              <w:rPr>
                <w:rFonts w:ascii="Calibri" w:hAnsi="Calibri" w:eastAsia="Microsoft YaHei" w:cs="Calibri"/>
                <w:sz w:val="17"/>
              </w:rPr>
              <w:t>90</w:t>
            </w:r>
          </w:p>
        </w:tc>
      </w:tr>
      <w:tr>
        <w:trPr>
          <w:cantSplit/>
        </w:trPr>
        <w:tc>
          <w:tcPr>
            <w:tcW w:type="dxa" w:w="740"/>
            <w:shd w:val="clear" w:color="auto" w:fill="F2F5F9"/>
          </w:tcPr>
          <w:p>
            <w:pPr>
              <w:spacing w:after="20" w:before="20" w:line="252" w:lineRule="auto"/>
              <w:jc w:val="left"/>
            </w:pPr>
            <w:r>
              <w:rPr>
                <w:rFonts w:ascii="Calibri" w:hAnsi="Calibri" w:eastAsia="Microsoft YaHei" w:cs="Calibri"/>
                <w:sz w:val="17"/>
              </w:rPr>
              <w:t>$100B</w:t>
            </w:r>
          </w:p>
        </w:tc>
        <w:tc>
          <w:tcPr>
            <w:tcW w:type="dxa" w:w="1024"/>
            <w:shd w:val="clear" w:color="auto" w:fill="F2F5F9"/>
          </w:tcPr>
          <w:p>
            <w:pPr>
              <w:spacing w:after="20" w:before="20" w:line="252" w:lineRule="auto"/>
              <w:jc w:val="center"/>
            </w:pPr>
            <w:r>
              <w:rPr>
                <w:rFonts w:ascii="Calibri" w:hAnsi="Calibri" w:eastAsia="Microsoft YaHei" w:cs="Calibri"/>
                <w:sz w:val="17"/>
              </w:rPr>
              <w:t>0.50%</w:t>
            </w:r>
          </w:p>
        </w:tc>
        <w:tc>
          <w:tcPr>
            <w:tcW w:type="dxa" w:w="1782"/>
            <w:shd w:val="clear" w:color="auto" w:fill="F2F5F9"/>
          </w:tcPr>
          <w:p>
            <w:pPr>
              <w:spacing w:after="20" w:before="20" w:line="252" w:lineRule="auto"/>
              <w:jc w:val="center"/>
            </w:pPr>
            <w:r>
              <w:rPr>
                <w:rFonts w:ascii="Calibri" w:hAnsi="Calibri" w:eastAsia="Microsoft YaHei" w:cs="Calibri"/>
                <w:sz w:val="17"/>
              </w:rPr>
              <w:t>500</w:t>
            </w:r>
          </w:p>
        </w:tc>
        <w:tc>
          <w:tcPr>
            <w:tcW w:type="dxa" w:w="2999"/>
            <w:shd w:val="clear" w:color="auto" w:fill="F2F5F9"/>
          </w:tcPr>
          <w:p>
            <w:pPr>
              <w:spacing w:after="20" w:before="20" w:line="252" w:lineRule="auto"/>
              <w:jc w:val="center"/>
            </w:pPr>
            <w:r>
              <w:rPr>
                <w:rFonts w:ascii="Calibri" w:hAnsi="Calibri" w:eastAsia="Microsoft YaHei" w:cs="Calibri"/>
                <w:sz w:val="17"/>
              </w:rPr>
              <w:t>100</w:t>
            </w:r>
          </w:p>
        </w:tc>
        <w:tc>
          <w:tcPr>
            <w:tcW w:type="dxa" w:w="3206"/>
            <w:shd w:val="clear" w:color="auto" w:fill="F2F5F9"/>
          </w:tcPr>
          <w:p>
            <w:pPr>
              <w:spacing w:after="20" w:before="20" w:line="252" w:lineRule="auto"/>
              <w:jc w:val="center"/>
            </w:pPr>
            <w:r>
              <w:rPr>
                <w:rFonts w:ascii="Calibri" w:hAnsi="Calibri" w:eastAsia="Microsoft YaHei" w:cs="Calibri"/>
                <w:sz w:val="17"/>
              </w:rPr>
              <w:t>75</w:t>
            </w:r>
          </w:p>
        </w:tc>
      </w:tr>
      <w:tr>
        <w:trPr>
          <w:cantSplit/>
        </w:trPr>
        <w:tc>
          <w:tcPr>
            <w:tcW w:type="dxa" w:w="740"/>
          </w:tcPr>
          <w:p>
            <w:pPr>
              <w:spacing w:after="20" w:before="20" w:line="252" w:lineRule="auto"/>
              <w:jc w:val="left"/>
            </w:pPr>
            <w:r>
              <w:rPr>
                <w:rFonts w:ascii="Calibri" w:hAnsi="Calibri" w:eastAsia="Microsoft YaHei" w:cs="Calibri"/>
                <w:sz w:val="17"/>
              </w:rPr>
              <w:t>$100B</w:t>
            </w:r>
          </w:p>
        </w:tc>
        <w:tc>
          <w:tcPr>
            <w:tcW w:type="dxa" w:w="1024"/>
          </w:tcPr>
          <w:p>
            <w:pPr>
              <w:spacing w:after="20" w:before="20" w:line="252" w:lineRule="auto"/>
              <w:jc w:val="center"/>
            </w:pPr>
            <w:r>
              <w:rPr>
                <w:rFonts w:ascii="Calibri" w:hAnsi="Calibri" w:eastAsia="Microsoft YaHei" w:cs="Calibri"/>
                <w:sz w:val="17"/>
              </w:rPr>
              <w:t>0.67%</w:t>
            </w:r>
          </w:p>
        </w:tc>
        <w:tc>
          <w:tcPr>
            <w:tcW w:type="dxa" w:w="1782"/>
          </w:tcPr>
          <w:p>
            <w:pPr>
              <w:spacing w:after="20" w:before="20" w:line="252" w:lineRule="auto"/>
              <w:jc w:val="center"/>
            </w:pPr>
            <w:r>
              <w:rPr>
                <w:rFonts w:ascii="Calibri" w:hAnsi="Calibri" w:eastAsia="Microsoft YaHei" w:cs="Calibri"/>
                <w:sz w:val="17"/>
              </w:rPr>
              <w:t>670</w:t>
            </w:r>
          </w:p>
        </w:tc>
        <w:tc>
          <w:tcPr>
            <w:tcW w:type="dxa" w:w="2999"/>
          </w:tcPr>
          <w:p>
            <w:pPr>
              <w:spacing w:after="20" w:before="20" w:line="252" w:lineRule="auto"/>
              <w:jc w:val="center"/>
            </w:pPr>
            <w:r>
              <w:rPr>
                <w:rFonts w:ascii="Calibri" w:hAnsi="Calibri" w:eastAsia="Microsoft YaHei" w:cs="Calibri"/>
                <w:sz w:val="17"/>
              </w:rPr>
              <w:t>134</w:t>
            </w:r>
          </w:p>
        </w:tc>
        <w:tc>
          <w:tcPr>
            <w:tcW w:type="dxa" w:w="3206"/>
          </w:tcPr>
          <w:p>
            <w:pPr>
              <w:spacing w:after="20" w:before="20" w:line="252" w:lineRule="auto"/>
              <w:jc w:val="center"/>
            </w:pPr>
            <w:r>
              <w:rPr>
                <w:rFonts w:ascii="Calibri" w:hAnsi="Calibri" w:eastAsia="Microsoft YaHei" w:cs="Calibri"/>
                <w:sz w:val="17"/>
              </w:rPr>
              <w:t>101</w:t>
            </w:r>
          </w:p>
        </w:tc>
      </w:tr>
      <w:tr>
        <w:trPr>
          <w:cantSplit/>
        </w:trPr>
        <w:tc>
          <w:tcPr>
            <w:tcW w:type="dxa" w:w="740"/>
            <w:shd w:val="clear" w:color="auto" w:fill="F2F5F9"/>
          </w:tcPr>
          <w:p>
            <w:pPr>
              <w:spacing w:after="20" w:before="20" w:line="252" w:lineRule="auto"/>
              <w:jc w:val="left"/>
            </w:pPr>
            <w:r>
              <w:rPr>
                <w:rFonts w:ascii="Calibri" w:hAnsi="Calibri" w:eastAsia="Microsoft YaHei" w:cs="Calibri"/>
                <w:sz w:val="17"/>
              </w:rPr>
              <w:t>$100B</w:t>
            </w:r>
          </w:p>
        </w:tc>
        <w:tc>
          <w:tcPr>
            <w:tcW w:type="dxa" w:w="1024"/>
            <w:shd w:val="clear" w:color="auto" w:fill="F2F5F9"/>
          </w:tcPr>
          <w:p>
            <w:pPr>
              <w:spacing w:after="20" w:before="20" w:line="252" w:lineRule="auto"/>
              <w:jc w:val="center"/>
            </w:pPr>
            <w:r>
              <w:rPr>
                <w:rFonts w:ascii="Calibri" w:hAnsi="Calibri" w:eastAsia="Microsoft YaHei" w:cs="Calibri"/>
                <w:sz w:val="17"/>
              </w:rPr>
              <w:t>1.00%</w:t>
            </w:r>
          </w:p>
        </w:tc>
        <w:tc>
          <w:tcPr>
            <w:tcW w:type="dxa" w:w="1782"/>
            <w:shd w:val="clear" w:color="auto" w:fill="F2F5F9"/>
          </w:tcPr>
          <w:p>
            <w:pPr>
              <w:spacing w:after="20" w:before="20" w:line="252" w:lineRule="auto"/>
              <w:jc w:val="center"/>
            </w:pPr>
            <w:r>
              <w:rPr>
                <w:rFonts w:ascii="Calibri" w:hAnsi="Calibri" w:eastAsia="Microsoft YaHei" w:cs="Calibri"/>
                <w:sz w:val="17"/>
              </w:rPr>
              <w:t>1,000</w:t>
            </w:r>
          </w:p>
        </w:tc>
        <w:tc>
          <w:tcPr>
            <w:tcW w:type="dxa" w:w="2999"/>
            <w:shd w:val="clear" w:color="auto" w:fill="F2F5F9"/>
          </w:tcPr>
          <w:p>
            <w:pPr>
              <w:spacing w:after="20" w:before="20" w:line="252" w:lineRule="auto"/>
              <w:jc w:val="center"/>
            </w:pPr>
            <w:r>
              <w:rPr>
                <w:rFonts w:ascii="Calibri" w:hAnsi="Calibri" w:eastAsia="Microsoft YaHei" w:cs="Calibri"/>
                <w:sz w:val="17"/>
              </w:rPr>
              <w:t>200</w:t>
            </w:r>
          </w:p>
        </w:tc>
        <w:tc>
          <w:tcPr>
            <w:tcW w:type="dxa" w:w="3206"/>
            <w:shd w:val="clear" w:color="auto" w:fill="F2F5F9"/>
          </w:tcPr>
          <w:p>
            <w:pPr>
              <w:spacing w:after="20" w:before="20" w:line="252" w:lineRule="auto"/>
              <w:jc w:val="center"/>
            </w:pPr>
            <w:r>
              <w:rPr>
                <w:rFonts w:ascii="Calibri" w:hAnsi="Calibri" w:eastAsia="Microsoft YaHei" w:cs="Calibri"/>
                <w:sz w:val="17"/>
              </w:rPr>
              <w:t>150</w:t>
            </w:r>
          </w:p>
        </w:tc>
      </w:tr>
    </w:tbl>
    <w:p>
      <w:pPr>
        <w:spacing w:after="40"/>
      </w:pPr>
    </w:p>
    <w:tbl>
      <w:tblPr>
        <w:tblStyle w:val="TableGrid"/>
        <w:tblW w:type="auto" w:w="0"/>
        <w:jc w:val="center"/>
        <w:tblLayout w:type="fixed"/>
        <w:tblLook w:firstColumn="1" w:firstRow="1" w:lastColumn="0" w:lastRow="0" w:noHBand="0" w:noVBand="1" w:val="04A0"/>
      </w:tblPr>
      <w:tblGrid>
        <w:gridCol w:w="2672"/>
        <w:gridCol w:w="1660"/>
        <w:gridCol w:w="1319"/>
        <w:gridCol w:w="1577"/>
        <w:gridCol w:w="2523"/>
      </w:tblGrid>
      <w:tr>
        <w:trPr>
          <w:tblHeader w:val="true"/>
          <w:cantSplit/>
        </w:trPr>
        <w:tc>
          <w:tcPr>
            <w:tcW w:type="dxa" w:w="2672"/>
            <w:shd w:val="clear" w:color="auto" w:fill="1F4E79"/>
          </w:tcPr>
          <w:p>
            <w:pPr>
              <w:spacing w:after="20" w:before="20" w:line="252" w:lineRule="auto"/>
              <w:jc w:val="center"/>
            </w:pPr>
            <w:r>
              <w:rPr>
                <w:rFonts w:ascii="Calibri" w:hAnsi="Calibri" w:eastAsia="Microsoft YaHei" w:cs="Calibri"/>
                <w:b/>
                <w:color w:val="FFFFFF"/>
                <w:sz w:val="17"/>
              </w:rPr>
              <w:t>Bank (base case: $100B, 0.67%)</w:t>
            </w:r>
          </w:p>
        </w:tc>
        <w:tc>
          <w:tcPr>
            <w:tcW w:type="dxa" w:w="1660"/>
            <w:shd w:val="clear" w:color="auto" w:fill="1F4E79"/>
          </w:tcPr>
          <w:p>
            <w:pPr>
              <w:spacing w:after="20" w:before="20" w:line="252" w:lineRule="auto"/>
              <w:jc w:val="center"/>
            </w:pPr>
            <w:r>
              <w:rPr>
                <w:rFonts w:ascii="Calibri" w:hAnsi="Calibri" w:eastAsia="Microsoft YaHei" w:cs="Calibri"/>
                <w:b/>
                <w:color w:val="FFFFFF"/>
                <w:sz w:val="17"/>
              </w:rPr>
              <w:t>Share assumption</w:t>
            </w:r>
          </w:p>
        </w:tc>
        <w:tc>
          <w:tcPr>
            <w:tcW w:type="dxa" w:w="1319"/>
            <w:shd w:val="clear" w:color="auto" w:fill="1F4E79"/>
          </w:tcPr>
          <w:p>
            <w:pPr>
              <w:spacing w:after="20" w:before="20" w:line="252" w:lineRule="auto"/>
              <w:jc w:val="center"/>
            </w:pPr>
            <w:r>
              <w:rPr>
                <w:rFonts w:ascii="Calibri" w:hAnsi="Calibri" w:eastAsia="Microsoft YaHei" w:cs="Calibri"/>
                <w:b/>
                <w:color w:val="FFFFFF"/>
                <w:sz w:val="17"/>
              </w:rPr>
              <w:t>Est. fee ($M)</w:t>
            </w:r>
          </w:p>
        </w:tc>
        <w:tc>
          <w:tcPr>
            <w:tcW w:type="dxa" w:w="1577"/>
            <w:shd w:val="clear" w:color="auto" w:fill="1F4E79"/>
          </w:tcPr>
          <w:p>
            <w:pPr>
              <w:spacing w:after="20" w:before="20" w:line="252" w:lineRule="auto"/>
              <w:jc w:val="center"/>
            </w:pPr>
            <w:r>
              <w:rPr>
                <w:rFonts w:ascii="Calibri" w:hAnsi="Calibri" w:eastAsia="Microsoft YaHei" w:cs="Calibri"/>
                <w:b/>
                <w:color w:val="FFFFFF"/>
                <w:sz w:val="17"/>
              </w:rPr>
              <w:t>Q3E IB fees ($M)</w:t>
            </w:r>
          </w:p>
        </w:tc>
        <w:tc>
          <w:tcPr>
            <w:tcW w:type="dxa" w:w="2523"/>
            <w:shd w:val="clear" w:color="auto" w:fill="1F4E79"/>
          </w:tcPr>
          <w:p>
            <w:pPr>
              <w:spacing w:after="20" w:before="20" w:line="252" w:lineRule="auto"/>
              <w:jc w:val="center"/>
            </w:pPr>
            <w:r>
              <w:rPr>
                <w:rFonts w:ascii="Calibri" w:hAnsi="Calibri" w:eastAsia="Microsoft YaHei" w:cs="Calibri"/>
                <w:b/>
                <w:color w:val="FFFFFF"/>
                <w:sz w:val="17"/>
              </w:rPr>
              <w:t>As % of a quarter's IB fees</w:t>
            </w:r>
          </w:p>
        </w:tc>
      </w:tr>
      <w:tr>
        <w:trPr>
          <w:cantSplit/>
        </w:trPr>
        <w:tc>
          <w:tcPr>
            <w:tcW w:type="dxa" w:w="2672"/>
          </w:tcPr>
          <w:p>
            <w:pPr>
              <w:spacing w:after="20" w:before="20" w:line="252" w:lineRule="auto"/>
              <w:jc w:val="left"/>
            </w:pPr>
            <w:r>
              <w:rPr>
                <w:rFonts w:ascii="Calibri" w:hAnsi="Calibri" w:eastAsia="Microsoft YaHei" w:cs="Calibri"/>
                <w:sz w:val="17"/>
              </w:rPr>
              <w:t>MS</w:t>
            </w:r>
          </w:p>
        </w:tc>
        <w:tc>
          <w:tcPr>
            <w:tcW w:type="dxa" w:w="1660"/>
          </w:tcPr>
          <w:p>
            <w:pPr>
              <w:spacing w:after="20" w:before="20" w:line="252" w:lineRule="auto"/>
              <w:jc w:val="center"/>
            </w:pPr>
            <w:r>
              <w:rPr>
                <w:rFonts w:ascii="Calibri" w:hAnsi="Calibri" w:eastAsia="Microsoft YaHei" w:cs="Calibri"/>
                <w:sz w:val="17"/>
              </w:rPr>
              <w:t>20%</w:t>
            </w:r>
          </w:p>
        </w:tc>
        <w:tc>
          <w:tcPr>
            <w:tcW w:type="dxa" w:w="1319"/>
          </w:tcPr>
          <w:p>
            <w:pPr>
              <w:spacing w:after="20" w:before="20" w:line="252" w:lineRule="auto"/>
              <w:jc w:val="center"/>
            </w:pPr>
            <w:r>
              <w:rPr>
                <w:rFonts w:ascii="Calibri" w:hAnsi="Calibri" w:eastAsia="Microsoft YaHei" w:cs="Calibri"/>
                <w:sz w:val="17"/>
              </w:rPr>
              <w:t>134</w:t>
            </w:r>
          </w:p>
        </w:tc>
        <w:tc>
          <w:tcPr>
            <w:tcW w:type="dxa" w:w="1577"/>
          </w:tcPr>
          <w:p>
            <w:pPr>
              <w:spacing w:after="20" w:before="20" w:line="252" w:lineRule="auto"/>
              <w:jc w:val="center"/>
            </w:pPr>
            <w:r>
              <w:rPr>
                <w:rFonts w:ascii="Calibri" w:hAnsi="Calibri" w:eastAsia="Microsoft YaHei" w:cs="Calibri"/>
                <w:sz w:val="17"/>
              </w:rPr>
              <w:t>2,751</w:t>
            </w:r>
          </w:p>
        </w:tc>
        <w:tc>
          <w:tcPr>
            <w:tcW w:type="dxa" w:w="2523"/>
          </w:tcPr>
          <w:p>
            <w:pPr>
              <w:spacing w:after="20" w:before="20" w:line="252" w:lineRule="auto"/>
              <w:jc w:val="center"/>
            </w:pPr>
            <w:r>
              <w:rPr>
                <w:rFonts w:ascii="Calibri" w:hAnsi="Calibri" w:eastAsia="Microsoft YaHei" w:cs="Calibri"/>
                <w:sz w:val="17"/>
              </w:rPr>
              <w:t>4.9%</w:t>
            </w:r>
          </w:p>
        </w:tc>
      </w:tr>
      <w:tr>
        <w:trPr>
          <w:cantSplit/>
        </w:trPr>
        <w:tc>
          <w:tcPr>
            <w:tcW w:type="dxa" w:w="2672"/>
            <w:shd w:val="clear" w:color="auto" w:fill="F2F5F9"/>
          </w:tcPr>
          <w:p>
            <w:pPr>
              <w:spacing w:after="20" w:before="20" w:line="252" w:lineRule="auto"/>
              <w:jc w:val="left"/>
            </w:pPr>
            <w:r>
              <w:rPr>
                <w:rFonts w:ascii="Calibri" w:hAnsi="Calibri" w:eastAsia="Microsoft YaHei" w:cs="Calibri"/>
                <w:sz w:val="17"/>
              </w:rPr>
              <w:t>GS</w:t>
            </w:r>
          </w:p>
        </w:tc>
        <w:tc>
          <w:tcPr>
            <w:tcW w:type="dxa" w:w="1660"/>
            <w:shd w:val="clear" w:color="auto" w:fill="F2F5F9"/>
          </w:tcPr>
          <w:p>
            <w:pPr>
              <w:spacing w:after="20" w:before="20" w:line="252" w:lineRule="auto"/>
              <w:jc w:val="center"/>
            </w:pPr>
            <w:r>
              <w:rPr>
                <w:rFonts w:ascii="Calibri" w:hAnsi="Calibri" w:eastAsia="Microsoft YaHei" w:cs="Calibri"/>
                <w:sz w:val="17"/>
              </w:rPr>
              <w:t>20%</w:t>
            </w:r>
          </w:p>
        </w:tc>
        <w:tc>
          <w:tcPr>
            <w:tcW w:type="dxa" w:w="1319"/>
            <w:shd w:val="clear" w:color="auto" w:fill="F2F5F9"/>
          </w:tcPr>
          <w:p>
            <w:pPr>
              <w:spacing w:after="20" w:before="20" w:line="252" w:lineRule="auto"/>
              <w:jc w:val="center"/>
            </w:pPr>
            <w:r>
              <w:rPr>
                <w:rFonts w:ascii="Calibri" w:hAnsi="Calibri" w:eastAsia="Microsoft YaHei" w:cs="Calibri"/>
                <w:sz w:val="17"/>
              </w:rPr>
              <w:t>134</w:t>
            </w:r>
          </w:p>
        </w:tc>
        <w:tc>
          <w:tcPr>
            <w:tcW w:type="dxa" w:w="1577"/>
            <w:shd w:val="clear" w:color="auto" w:fill="F2F5F9"/>
          </w:tcPr>
          <w:p>
            <w:pPr>
              <w:spacing w:after="20" w:before="20" w:line="252" w:lineRule="auto"/>
              <w:jc w:val="center"/>
            </w:pPr>
            <w:r>
              <w:rPr>
                <w:rFonts w:ascii="Calibri" w:hAnsi="Calibri" w:eastAsia="Microsoft YaHei" w:cs="Calibri"/>
                <w:sz w:val="17"/>
              </w:rPr>
              <w:t>3,100</w:t>
            </w:r>
          </w:p>
        </w:tc>
        <w:tc>
          <w:tcPr>
            <w:tcW w:type="dxa" w:w="2523"/>
            <w:shd w:val="clear" w:color="auto" w:fill="F2F5F9"/>
          </w:tcPr>
          <w:p>
            <w:pPr>
              <w:spacing w:after="20" w:before="20" w:line="252" w:lineRule="auto"/>
              <w:jc w:val="center"/>
            </w:pPr>
            <w:r>
              <w:rPr>
                <w:rFonts w:ascii="Calibri" w:hAnsi="Calibri" w:eastAsia="Microsoft YaHei" w:cs="Calibri"/>
                <w:sz w:val="17"/>
              </w:rPr>
              <w:t>4.3%</w:t>
            </w:r>
          </w:p>
        </w:tc>
      </w:tr>
      <w:tr>
        <w:trPr>
          <w:cantSplit/>
        </w:trPr>
        <w:tc>
          <w:tcPr>
            <w:tcW w:type="dxa" w:w="2672"/>
          </w:tcPr>
          <w:p>
            <w:pPr>
              <w:spacing w:after="20" w:before="20" w:line="252" w:lineRule="auto"/>
              <w:jc w:val="left"/>
            </w:pPr>
            <w:r>
              <w:rPr>
                <w:rFonts w:ascii="Calibri" w:hAnsi="Calibri" w:eastAsia="Microsoft YaHei" w:cs="Calibri"/>
                <w:sz w:val="17"/>
              </w:rPr>
              <w:t>JPM</w:t>
            </w:r>
          </w:p>
        </w:tc>
        <w:tc>
          <w:tcPr>
            <w:tcW w:type="dxa" w:w="1660"/>
          </w:tcPr>
          <w:p>
            <w:pPr>
              <w:spacing w:after="20" w:before="20" w:line="252" w:lineRule="auto"/>
              <w:jc w:val="center"/>
            </w:pPr>
            <w:r>
              <w:rPr>
                <w:rFonts w:ascii="Calibri" w:hAnsi="Calibri" w:eastAsia="Microsoft YaHei" w:cs="Calibri"/>
                <w:sz w:val="17"/>
              </w:rPr>
              <w:t>15%</w:t>
            </w:r>
          </w:p>
        </w:tc>
        <w:tc>
          <w:tcPr>
            <w:tcW w:type="dxa" w:w="1319"/>
          </w:tcPr>
          <w:p>
            <w:pPr>
              <w:spacing w:after="20" w:before="20" w:line="252" w:lineRule="auto"/>
              <w:jc w:val="center"/>
            </w:pPr>
            <w:r>
              <w:rPr>
                <w:rFonts w:ascii="Calibri" w:hAnsi="Calibri" w:eastAsia="Microsoft YaHei" w:cs="Calibri"/>
                <w:sz w:val="17"/>
              </w:rPr>
              <w:t>101</w:t>
            </w:r>
          </w:p>
        </w:tc>
        <w:tc>
          <w:tcPr>
            <w:tcW w:type="dxa" w:w="1577"/>
          </w:tcPr>
          <w:p>
            <w:pPr>
              <w:spacing w:after="20" w:before="20" w:line="252" w:lineRule="auto"/>
              <w:jc w:val="center"/>
            </w:pPr>
            <w:r>
              <w:rPr>
                <w:rFonts w:ascii="Calibri" w:hAnsi="Calibri" w:eastAsia="Microsoft YaHei" w:cs="Calibri"/>
                <w:sz w:val="17"/>
              </w:rPr>
              <w:t>3,048</w:t>
            </w:r>
          </w:p>
        </w:tc>
        <w:tc>
          <w:tcPr>
            <w:tcW w:type="dxa" w:w="2523"/>
          </w:tcPr>
          <w:p>
            <w:pPr>
              <w:spacing w:after="20" w:before="20" w:line="252" w:lineRule="auto"/>
              <w:jc w:val="center"/>
            </w:pPr>
            <w:r>
              <w:rPr>
                <w:rFonts w:ascii="Calibri" w:hAnsi="Calibri" w:eastAsia="Microsoft YaHei" w:cs="Calibri"/>
                <w:sz w:val="17"/>
              </w:rPr>
              <w:t>3.3%</w:t>
            </w:r>
          </w:p>
        </w:tc>
      </w:tr>
      <w:tr>
        <w:trPr>
          <w:cantSplit/>
        </w:trPr>
        <w:tc>
          <w:tcPr>
            <w:tcW w:type="dxa" w:w="2672"/>
            <w:shd w:val="clear" w:color="auto" w:fill="F2F5F9"/>
          </w:tcPr>
          <w:p>
            <w:pPr>
              <w:spacing w:after="20" w:before="20" w:line="252" w:lineRule="auto"/>
              <w:jc w:val="left"/>
            </w:pPr>
            <w:r>
              <w:rPr>
                <w:rFonts w:ascii="Calibri" w:hAnsi="Calibri" w:eastAsia="Microsoft YaHei" w:cs="Calibri"/>
                <w:sz w:val="17"/>
              </w:rPr>
              <w:t>C</w:t>
            </w:r>
          </w:p>
        </w:tc>
        <w:tc>
          <w:tcPr>
            <w:tcW w:type="dxa" w:w="1660"/>
            <w:shd w:val="clear" w:color="auto" w:fill="F2F5F9"/>
          </w:tcPr>
          <w:p>
            <w:pPr>
              <w:spacing w:after="20" w:before="20" w:line="252" w:lineRule="auto"/>
              <w:jc w:val="center"/>
            </w:pPr>
            <w:r>
              <w:rPr>
                <w:rFonts w:ascii="Calibri" w:hAnsi="Calibri" w:eastAsia="Microsoft YaHei" w:cs="Calibri"/>
                <w:sz w:val="17"/>
              </w:rPr>
              <w:t>15%</w:t>
            </w:r>
          </w:p>
        </w:tc>
        <w:tc>
          <w:tcPr>
            <w:tcW w:type="dxa" w:w="1319"/>
            <w:shd w:val="clear" w:color="auto" w:fill="F2F5F9"/>
          </w:tcPr>
          <w:p>
            <w:pPr>
              <w:spacing w:after="20" w:before="20" w:line="252" w:lineRule="auto"/>
              <w:jc w:val="center"/>
            </w:pPr>
            <w:r>
              <w:rPr>
                <w:rFonts w:ascii="Calibri" w:hAnsi="Calibri" w:eastAsia="Microsoft YaHei" w:cs="Calibri"/>
                <w:sz w:val="17"/>
              </w:rPr>
              <w:t>101</w:t>
            </w:r>
          </w:p>
        </w:tc>
        <w:tc>
          <w:tcPr>
            <w:tcW w:type="dxa" w:w="1577"/>
            <w:shd w:val="clear" w:color="auto" w:fill="F2F5F9"/>
          </w:tcPr>
          <w:p>
            <w:pPr>
              <w:spacing w:after="20" w:before="20" w:line="252" w:lineRule="auto"/>
              <w:jc w:val="center"/>
            </w:pPr>
            <w:r>
              <w:rPr>
                <w:rFonts w:ascii="Calibri" w:hAnsi="Calibri" w:eastAsia="Microsoft YaHei" w:cs="Calibri"/>
                <w:sz w:val="17"/>
              </w:rPr>
              <w:t>1,208</w:t>
            </w:r>
          </w:p>
        </w:tc>
        <w:tc>
          <w:tcPr>
            <w:tcW w:type="dxa" w:w="2523"/>
            <w:shd w:val="clear" w:color="auto" w:fill="F2F5F9"/>
          </w:tcPr>
          <w:p>
            <w:pPr>
              <w:spacing w:after="20" w:before="20" w:line="252" w:lineRule="auto"/>
              <w:jc w:val="center"/>
            </w:pPr>
            <w:r>
              <w:rPr>
                <w:rFonts w:ascii="Calibri" w:hAnsi="Calibri" w:eastAsia="Microsoft YaHei" w:cs="Calibri"/>
                <w:sz w:val="17"/>
              </w:rPr>
              <w:t>8.3%</w:t>
            </w:r>
          </w:p>
        </w:tc>
      </w:tr>
    </w:tbl>
    <w:p>
      <w:pPr>
        <w:spacing w:after="40"/>
      </w:pP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Where the assumptions come from</w:t>
      </w:r>
      <w:r>
        <w:rPr>
          <w:rFonts w:ascii="Calibri" w:hAnsi="Calibri" w:eastAsia="Microsoft YaHei" w:cs="Calibri"/>
          <w:sz w:val="21"/>
        </w:rPr>
        <w:t>: spreads of 0.5% / 0.67% / 1.0% span the mega-deal range (SpaceX about 0.67%, SK hynix about 0.97%); shares follow SpaceX's 20% (lead) and 15% (other major).</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b/>
          <w:sz w:val="21"/>
        </w:rPr>
        <w:t>Implication</w:t>
      </w:r>
      <w:r>
        <w:rPr>
          <w:rFonts w:ascii="Calibri" w:hAnsi="Calibri" w:eastAsia="Microsoft YaHei" w:cs="Calibri"/>
          <w:sz w:val="21"/>
        </w:rPr>
        <w:t xml:space="preserve">: even the largest IPO ever amounts, in the base case, to only about 4%-5% of a quarter's IB fees for the lead banks and about 8% for C; the point is </w:t>
      </w:r>
      <w:r>
        <w:rPr>
          <w:rFonts w:ascii="Calibri" w:hAnsi="Calibri" w:eastAsia="Microsoft YaHei" w:cs="Calibri"/>
          <w:b/>
          <w:sz w:val="21"/>
        </w:rPr>
        <w:t>timing</w:t>
      </w:r>
      <w:r>
        <w:rPr>
          <w:rFonts w:ascii="Calibri" w:hAnsi="Calibri" w:eastAsia="Microsoft YaHei" w:cs="Calibri"/>
          <w:sz w:val="21"/>
        </w:rPr>
        <w:t>: if it lands in November it is incremental to Q4, not Q3. If the large AI IPOs slip to 2027, Q4 IB fees rely more on M&amp;A and debt.</w:t>
      </w:r>
    </w:p>
    <w:p>
      <w:pPr>
        <w:pStyle w:val="Heading3"/>
      </w:pPr>
      <w:r>
        <w:rPr>
          <w:rFonts w:ascii="Calibri" w:hAnsi="Calibri" w:eastAsia="Microsoft YaHei" w:cs="Calibri"/>
          <w:b/>
          <w:color w:val="1F4E79"/>
          <w:sz w:val="24"/>
        </w:rPr>
        <w:t>17.5 Limits of the IPO section</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Coverage: 18 deals, about 70% of Q3 proceeds excluding SK hynix; the remaining dozen or so deals are small.</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Per-bank splits: apart from SK hynix and SpaceX, which have press reports, splits weight 'lead / global coordinator = 2, joint bookrunner = 1, other = 0.5-1'; 'Other underwriters' include smaller dealers not listed individually.</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Recognition: IPO fees are generally recognised at pricing / settlement, so deals around quarter-end may fall into the next quarter; banks' reported IB fees also include M&amp;A, debt and leveraged finance, while only IPOs are broken out here.</w:t>
      </w:r>
    </w:p>
    <w:p>
      <w:pPr>
        <w:tabs>
          <w:tab w:pos="369" w:val="left"/>
        </w:tabs>
        <w:spacing w:after="60"/>
        <w:ind w:left="369" w:hanging="283"/>
      </w:pPr>
      <w:r>
        <w:rPr>
          <w:rFonts w:ascii="Calibri" w:hAnsi="Calibri" w:eastAsia="Microsoft YaHei" w:cs="Calibri"/>
          <w:b w:val="0"/>
          <w:color w:val="1F4E79"/>
          <w:sz w:val="21"/>
        </w:rPr>
        <w:t>•</w:t>
        <w:tab/>
      </w:r>
      <w:r>
        <w:rPr>
          <w:rFonts w:ascii="Calibri" w:hAnsi="Calibri" w:eastAsia="Microsoft YaHei" w:cs="Calibri"/>
          <w:sz w:val="21"/>
        </w:rPr>
        <w:t>The large China / Hong Kong IPOs (CXMT about $8.6B, Zhongji Innolight $6.8-7.8B) are underwritten by Chinese or international banks; of the US banks only GS and MS take part (in Zhongji Innolight) and they are not in the table above.</w:t>
      </w:r>
    </w:p>
    <w:sectPr w:rsidR="00FC693F" w:rsidRPr="0006063C" w:rsidSect="00034616">
      <w:footerReference w:type="default" r:id="rId9"/>
      <w:headerReference w:type="default" r:id="rId10"/>
      <w:pgSz w:w="11906" w:h="16838"/>
      <w:pgMar w:top="1134"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s="Calibri"/>
        <w:color w:val="555555"/>
        <w:sz w:val="18"/>
      </w:rPr>
      <w:t xml:space="preserve">Page </w:t>
    </w:r>
    <w:r>
      <w:rPr>
        <w:rFonts w:ascii="Calibri" w:hAnsi="Calibri" w:eastAsia="Microsoft YaHei" w:cs="Calibri"/>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s="Calibri"/>
        <w:color w:val="555555"/>
        <w:sz w:val="17"/>
      </w:rPr>
      <w:t>US Financials - Q3 2026 earnings 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Calibri" w:hAnsi="Calibri" w:eastAsia="Microsoft YaHei" w:cs="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eastAsia="Microsoft YaHei" w:cs="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Microsoft YaHei" w:cs="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Calibri" w:hAnsi="Calibri" w:eastAsia="Microsoft YaHei" w:cs="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Calibri" w:hAnsi="Calibri" w:eastAsia="Microsoft YaHei" w:cs="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Financials Ahead of the Q3 2026 Earnings Season (Illustrated Edition)</dc:title>
  <dc:subject/>
  <dc:creator>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