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 w:cs="Calibri"/>
          <w:b/>
          <w:color w:val="1F4E79"/>
          <w:sz w:val="44"/>
        </w:rPr>
        <w:t>美股金融板块 2026 年 Q3 财报季前瞻(图文版)</w:t>
      </w:r>
    </w:p>
    <w:p>
      <w:r>
        <w:rPr>
          <w:rFonts w:ascii="Calibri" w:hAnsi="Calibri" w:eastAsia="Microsoft YaHei" w:cs="Calibri"/>
          <w:sz w:val="21"/>
        </w:rPr>
        <w:t>数据截止 2026-10-01 收盘;2026-10-02 撰写。本文档是研究报告正文加图表、压力测试、AFS/HTM 影响与 IPO 梳理的合订本。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阅读指南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9"/>
        <w:gridCol w:w="5807"/>
        <w:gridCol w:w="1575"/>
      </w:tblGrid>
      <w:tr>
        <w:trPr>
          <w:tblHeader w:val="true"/>
          <w:cantSplit/>
        </w:trPr>
        <w:tc>
          <w:tcPr>
            <w:tcW w:type="dxa" w:w="236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580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适合谁读</w:t>
            </w:r>
          </w:p>
        </w:tc>
      </w:tr>
      <w:tr>
        <w:trPr>
          <w:cantSplit/>
        </w:trPr>
        <w:tc>
          <w:tcPr>
            <w:tcW w:type="dxa" w:w="23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第一部分(第 0-10 节)</w:t>
            </w:r>
          </w:p>
        </w:tc>
        <w:tc>
          <w:tcPr>
            <w:tcW w:type="dxa" w:w="580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研究报告正文:结论、宏观、方法、分部门、逐家 EPS 预测、分层名单、风险、历史类比、投资建议、局限</w:t>
            </w:r>
          </w:p>
        </w:tc>
        <w:tc>
          <w:tcPr>
            <w:tcW w:type="dxa" w:w="15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想要完整论证的读者</w:t>
            </w:r>
          </w:p>
        </w:tc>
      </w:tr>
      <w:tr>
        <w:trPr>
          <w:cantSplit/>
        </w:trPr>
        <w:tc>
          <w:tcPr>
            <w:tcW w:type="dxa" w:w="23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第二部分(第 11-17 节)</w:t>
            </w:r>
          </w:p>
        </w:tc>
        <w:tc>
          <w:tcPr>
            <w:tcW w:type="dxa" w:w="580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图表与补充分析:期限结构、存款成本与贷款收入、分部门收入、EPS/P/E、AFS/HTM、压力测试、IPO</w:t>
            </w:r>
          </w:p>
        </w:tc>
        <w:tc>
          <w:tcPr>
            <w:tcW w:type="dxa" w:w="157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想要直观理解的读者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建议阅读顺序</w:t>
      </w:r>
      <w:r>
        <w:rPr>
          <w:rFonts w:ascii="Calibri" w:hAnsi="Calibri" w:eastAsia="Microsoft YaHei" w:cs="Calibri"/>
          <w:sz w:val="21"/>
        </w:rPr>
        <w:t>:先读第 0 节(结论),再翻第二部分的图 1-4(利率),然后图 5-9(收入、EPS、估值),最后图 10-15(AFS/HTM、压力测试、IPO)。需要论证细节时回到第一部分。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口径与期间可比性约定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期间</w:t>
      </w:r>
      <w:r>
        <w:rPr>
          <w:rFonts w:ascii="Calibri" w:hAnsi="Calibri" w:eastAsia="Microsoft YaHei" w:cs="Calibri"/>
          <w:sz w:val="21"/>
        </w:rPr>
        <w:t>:</w:t>
      </w:r>
      <w:r>
        <w:rPr>
          <w:rFonts w:ascii="Consolas" w:hAnsi="Consolas" w:eastAsia="Microsoft YaHei" w:cs="Consolas"/>
          <w:color w:val="8B1A1A"/>
          <w:sz w:val="19"/>
        </w:rPr>
        <w:t>24Q3</w:t>
      </w:r>
      <w:r>
        <w:rPr>
          <w:rFonts w:ascii="Calibri" w:hAnsi="Calibri" w:eastAsia="Microsoft YaHei" w:cs="Calibri"/>
          <w:sz w:val="21"/>
        </w:rPr>
        <w:t xml:space="preserve"> 到 </w:t>
      </w:r>
      <w:r>
        <w:rPr>
          <w:rFonts w:ascii="Consolas" w:hAnsi="Consolas" w:eastAsia="Microsoft YaHei" w:cs="Consolas"/>
          <w:color w:val="8B1A1A"/>
          <w:sz w:val="19"/>
        </w:rPr>
        <w:t>26Q2</w:t>
      </w:r>
      <w:r>
        <w:rPr>
          <w:rFonts w:ascii="Calibri" w:hAnsi="Calibri" w:eastAsia="Microsoft YaHei" w:cs="Calibri"/>
          <w:sz w:val="21"/>
        </w:rPr>
        <w:t xml:space="preserve"> 为日历季度的实际值;</w:t>
      </w:r>
      <w:r>
        <w:rPr>
          <w:rFonts w:ascii="Consolas" w:hAnsi="Consolas" w:eastAsia="Microsoft YaHei" w:cs="Consolas"/>
          <w:color w:val="8B1A1A"/>
          <w:sz w:val="19"/>
        </w:rPr>
        <w:t>26Q3E</w:t>
      </w:r>
      <w:r>
        <w:rPr>
          <w:rFonts w:ascii="Calibri" w:hAnsi="Calibri" w:eastAsia="Microsoft YaHei" w:cs="Calibri"/>
          <w:sz w:val="21"/>
        </w:rPr>
        <w:t xml:space="preserve"> 是本报告的预测(紫色/带 E)。</w:t>
      </w:r>
      <w:r>
        <w:rPr>
          <w:rFonts w:ascii="Calibri" w:hAnsi="Calibri" w:eastAsia="Microsoft YaHei" w:cs="Calibri"/>
          <w:b/>
          <w:sz w:val="21"/>
        </w:rPr>
        <w:t>同比</w:t>
      </w:r>
      <w:r>
        <w:rPr>
          <w:rFonts w:ascii="Calibri" w:hAnsi="Calibri" w:eastAsia="Microsoft YaHei" w:cs="Calibri"/>
          <w:sz w:val="21"/>
        </w:rPr>
        <w:t>对比 Q3'25,</w:t>
      </w:r>
      <w:r>
        <w:rPr>
          <w:rFonts w:ascii="Calibri" w:hAnsi="Calibri" w:eastAsia="Microsoft YaHei" w:cs="Calibri"/>
          <w:b/>
          <w:sz w:val="21"/>
        </w:rPr>
        <w:t>环比</w:t>
      </w:r>
      <w:r>
        <w:rPr>
          <w:rFonts w:ascii="Calibri" w:hAnsi="Calibri" w:eastAsia="Microsoft YaHei" w:cs="Calibri"/>
          <w:sz w:val="21"/>
        </w:rPr>
        <w:t>对比 Q2'26。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一次性项目</w:t>
      </w:r>
      <w:r>
        <w:rPr>
          <w:rFonts w:ascii="Calibri" w:hAnsi="Calibri" w:eastAsia="Microsoft YaHei" w:cs="Calibri"/>
          <w:sz w:val="21"/>
        </w:rPr>
        <w:t>:JPM 的 Q2'26 含约 $5.4B 的 Visa 一次性收益,在环比比较和 EPS 趋势中单独标出或剔除(图 5 用斜线标出,图 6、图 7 已剔除)。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第四季度</w:t>
      </w:r>
      <w:r>
        <w:rPr>
          <w:rFonts w:ascii="Calibri" w:hAnsi="Calibri" w:eastAsia="Microsoft YaHei" w:cs="Calibri"/>
          <w:sz w:val="21"/>
        </w:rPr>
        <w:t>:XBRL 不单独披露 Q4,用「全年 − 前三季」推出;因此 EPS 为近似值。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收入口径</w:t>
      </w:r>
      <w:r>
        <w:rPr>
          <w:rFonts w:ascii="Calibri" w:hAnsi="Calibri" w:eastAsia="Microsoft YaHei" w:cs="Calibri"/>
          <w:sz w:val="21"/>
        </w:rPr>
        <w:t>:总收入 = 净利息收入 + 非息收入(GAAP,不含 FTE 调整)。交易线是损益表里的交易类收入,不含做市相关的净利息收入,因此低于管理层口径的 Markets 收入(例如 JPM Q2 的 Markets $12.1B 对应图中交易线 $9.0B)。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颜色</w:t>
      </w:r>
      <w:r>
        <w:rPr>
          <w:rFonts w:ascii="Calibri" w:hAnsi="Calibri" w:eastAsia="Microsoft YaHei" w:cs="Calibri"/>
          <w:sz w:val="21"/>
        </w:rPr>
        <w:t>:蓝=净利息收入,橙=投行费用,绿=交易/做市,灰=其他非息,紫=预测;红=负债端或不利,深蓝=资产端。每家银行在所有图里使用同一种颜色。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单位</w:t>
      </w:r>
      <w:r>
        <w:rPr>
          <w:rFonts w:ascii="Calibri" w:hAnsi="Calibri" w:eastAsia="Microsoft YaHei" w:cs="Calibri"/>
          <w:sz w:val="21"/>
        </w:rPr>
        <w:t>:除注明外为十亿美元($bn);bp = 基点(0.01%);</w:t>
      </w:r>
      <w:r>
        <w:rPr>
          <w:rFonts w:ascii="Consolas" w:hAnsi="Consolas" w:eastAsia="Microsoft YaHei" w:cs="Consolas"/>
          <w:color w:val="8B1A1A"/>
          <w:sz w:val="19"/>
        </w:rPr>
        <w:t>$M</w:t>
      </w:r>
      <w:r>
        <w:rPr>
          <w:rFonts w:ascii="Calibri" w:hAnsi="Calibri" w:eastAsia="Microsoft YaHei" w:cs="Calibri"/>
          <w:sz w:val="21"/>
        </w:rPr>
        <w:t xml:space="preserve"> = 百万美元。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估算与披露的区分</w:t>
      </w:r>
      <w:r>
        <w:rPr>
          <w:rFonts w:ascii="Calibri" w:hAnsi="Calibri" w:eastAsia="Microsoft YaHei" w:cs="Calibri"/>
          <w:sz w:val="21"/>
        </w:rPr>
        <w:t>:IPO 费用中,招股书披露的标「披露」,其余标「估算」;各行分成按角色加权,是估算,不是银行披露。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关键发现速览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曲线</w:t>
      </w:r>
      <w:r>
        <w:rPr>
          <w:rFonts w:ascii="Calibri" w:hAnsi="Calibri" w:eastAsia="Microsoft YaHei" w:cs="Calibri"/>
          <w:sz w:val="21"/>
        </w:rPr>
        <w:t>:Q3 国债曲线整体上移 32-90bp,5Y 涨幅最大(+90bp),10Y 到 5.29%,2s10s 从 30bp 升到 41bp。政策利率季均只 +4bp,期末 +25bp。(图 1-3)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重定价</w:t>
      </w:r>
      <w:r>
        <w:rPr>
          <w:rFonts w:ascii="Calibri" w:hAnsi="Calibri" w:eastAsia="Microsoft YaHei" w:cs="Calibri"/>
          <w:sz w:val="21"/>
        </w:rPr>
        <w:t>:每 $1000 亿重定价的资产,按 5Y 利率变动年化多收约 $0.90B;存款成本在 β=40% 下,按季均多付约 $15M、按期末利率多付约 $100M。收入端先到,存款成本后追。(图 4)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收入</w:t>
      </w:r>
      <w:r>
        <w:rPr>
          <w:rFonts w:ascii="Calibri" w:hAnsi="Calibri" w:eastAsia="Microsoft YaHei" w:cs="Calibri"/>
          <w:sz w:val="21"/>
        </w:rPr>
        <w:t>:JPM -1.1%、BAC -4.8%、C -2.4%、WFC -1.1%、GS -13.8%、MS -3.0% 是 Q3E 总收入相对 Q2'26(JPM 已剔除 Visa)的变化;同比则全部为正(+4.4% 到 +15.5%)。环比下降主要来自交易和 IB。(图 5-6)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AFS/HTM</w:t>
      </w:r>
      <w:r>
        <w:rPr>
          <w:rFonts w:ascii="Calibri" w:hAnsi="Calibri" w:eastAsia="Microsoft YaHei" w:cs="Calibri"/>
          <w:sz w:val="21"/>
        </w:rPr>
        <w:t>:BAC 的 HTM 未实现损失 $82.1B,WFC $32.4B,JPM $18.2B;这些不进监管资本,但是经济账面价值的隐性损失。(图 10-12)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压力测试</w:t>
      </w:r>
      <w:r>
        <w:rPr>
          <w:rFonts w:ascii="Calibri" w:hAnsi="Calibri" w:eastAsia="Microsoft YaHei" w:cs="Calibri"/>
          <w:sz w:val="21"/>
        </w:rPr>
        <w:t>:再加息 100bp(平行),含 HTM 经济损失的净影响为 JPM -$14.0B(占 TCE -4.7%)、BAC -$21.3B(占 TCE -10.3%)、C -$7.9B(占 TCE -4.7%)、WFC -$11.4B(占 TCE -8.1%)、GS -$4.6B(占 TCE -4.6%)、MS -$3.5B(占 TCE -4.1%)。BAC 最敏感,几乎全部来自 HTM。(图 13-14)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IPO</w:t>
      </w:r>
      <w:r>
        <w:rPr>
          <w:rFonts w:ascii="Calibri" w:hAnsi="Calibri" w:eastAsia="Microsoft YaHei" w:cs="Calibri"/>
          <w:sz w:val="21"/>
        </w:rPr>
        <w:t>:我们梳理的 Q3 共 18 单、募资约 $32.6B,估算承销费合计约 $611M,其中 SK hynix 约 $258M;对六大行合计约 $376M,占各行 Q3E 投行费用的 0.5%-6.9%。Q4 的最大变量是 Anthropic(媒体报道,尚无公开 S-1)。(图 15)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8"/>
        <w:gridCol w:w="7403"/>
      </w:tblGrid>
      <w:tr>
        <w:trPr>
          <w:tblHeader w:val="true"/>
          <w:cantSplit/>
        </w:trPr>
        <w:tc>
          <w:tcPr>
            <w:tcW w:type="dxa" w:w="234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40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/ NIM</w:t>
            </w:r>
          </w:p>
        </w:tc>
        <w:tc>
          <w:tcPr>
            <w:tcW w:type="dxa" w:w="74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净利息收入 / 净息差</w:t>
            </w:r>
          </w:p>
        </w:tc>
      </w:tr>
      <w:tr>
        <w:trPr>
          <w:cantSplit/>
        </w:trPr>
        <w:tc>
          <w:tcPr>
            <w:tcW w:type="dxa" w:w="23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AFS / HTM</w:t>
            </w:r>
          </w:p>
        </w:tc>
        <w:tc>
          <w:tcPr>
            <w:tcW w:type="dxa" w:w="74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可供出售证券(按公允价值入 AOCI)/ 持有至到期证券(按摊余成本,浮亏不入资本)</w:t>
            </w:r>
          </w:p>
        </w:tc>
      </w:tr>
      <w:tr>
        <w:trPr>
          <w:cantSplit/>
        </w:trPr>
        <w:tc>
          <w:tcPr>
            <w:tcW w:type="dxa" w:w="23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AOCI</w:t>
            </w:r>
          </w:p>
        </w:tc>
        <w:tc>
          <w:tcPr>
            <w:tcW w:type="dxa" w:w="74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累计其他综合收益,AFS 浮盈浮亏的累计</w:t>
            </w:r>
          </w:p>
        </w:tc>
      </w:tr>
      <w:tr>
        <w:trPr>
          <w:cantSplit/>
        </w:trPr>
        <w:tc>
          <w:tcPr>
            <w:tcW w:type="dxa" w:w="23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TCE / TBV</w:t>
            </w:r>
          </w:p>
        </w:tc>
        <w:tc>
          <w:tcPr>
            <w:tcW w:type="dxa" w:w="74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有形普通股权益 / 有形账面价值 = 权益 − 商誉 − 无形资产 − 优先股</w:t>
            </w:r>
          </w:p>
        </w:tc>
      </w:tr>
      <w:tr>
        <w:trPr>
          <w:cantSplit/>
        </w:trPr>
        <w:tc>
          <w:tcPr>
            <w:tcW w:type="dxa" w:w="23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IB / S&amp;T</w:t>
            </w:r>
          </w:p>
        </w:tc>
        <w:tc>
          <w:tcPr>
            <w:tcW w:type="dxa" w:w="74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投行业务 / 销售与交易</w:t>
            </w:r>
          </w:p>
        </w:tc>
      </w:tr>
      <w:tr>
        <w:trPr>
          <w:cantSplit/>
        </w:trPr>
        <w:tc>
          <w:tcPr>
            <w:tcW w:type="dxa" w:w="23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2s10s</w:t>
            </w:r>
          </w:p>
        </w:tc>
        <w:tc>
          <w:tcPr>
            <w:tcW w:type="dxa" w:w="74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10 年期减 2 年期国债收益率</w:t>
            </w:r>
          </w:p>
        </w:tc>
      </w:tr>
      <w:tr>
        <w:trPr>
          <w:cantSplit/>
        </w:trPr>
        <w:tc>
          <w:tcPr>
            <w:tcW w:type="dxa" w:w="23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熊陡 / 熊平</w:t>
            </w:r>
          </w:p>
        </w:tc>
        <w:tc>
          <w:tcPr>
            <w:tcW w:type="dxa" w:w="74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利率上行且曲线变陡 / 变平</w:t>
            </w:r>
          </w:p>
        </w:tc>
      </w:tr>
      <w:tr>
        <w:trPr>
          <w:cantSplit/>
        </w:trPr>
        <w:tc>
          <w:tcPr>
            <w:tcW w:type="dxa" w:w="23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β(存款 beta)</w:t>
            </w:r>
          </w:p>
        </w:tc>
        <w:tc>
          <w:tcPr>
            <w:tcW w:type="dxa" w:w="74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存款利率变动 ÷ 政策利率变动</w:t>
            </w:r>
          </w:p>
        </w:tc>
      </w:tr>
      <w:tr>
        <w:trPr>
          <w:cantSplit/>
        </w:trPr>
        <w:tc>
          <w:tcPr>
            <w:tcW w:type="dxa" w:w="23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久期</w:t>
            </w:r>
          </w:p>
        </w:tc>
        <w:tc>
          <w:tcPr>
            <w:tcW w:type="dxa" w:w="74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利率每变动 1 个百分点,价格近似反向变动的百分比</w:t>
            </w:r>
          </w:p>
        </w:tc>
      </w:tr>
      <w:tr>
        <w:trPr>
          <w:cantSplit/>
        </w:trPr>
        <w:tc>
          <w:tcPr>
            <w:tcW w:type="dxa" w:w="23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P/E (TTM)</w:t>
            </w:r>
          </w:p>
        </w:tc>
        <w:tc>
          <w:tcPr>
            <w:tcW w:type="dxa" w:w="74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股价 ÷ 过去 12 个月 EPS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图表索引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0"/>
        <w:gridCol w:w="1544"/>
        <w:gridCol w:w="6259"/>
        <w:gridCol w:w="887"/>
      </w:tblGrid>
      <w:tr>
        <w:trPr>
          <w:tblHeader w:val="true"/>
          <w:cantSplit/>
        </w:trPr>
        <w:tc>
          <w:tcPr>
            <w:tcW w:type="dxa" w:w="106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图</w:t>
            </w:r>
          </w:p>
        </w:tc>
        <w:tc>
          <w:tcPr>
            <w:tcW w:type="dxa" w:w="154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25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88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1-3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f01-f03</w:t>
            </w:r>
          </w:p>
        </w:tc>
        <w:tc>
          <w:tcPr>
            <w:tcW w:type="dxa" w:w="62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国债收益率曲线形状与 Q3 各期限变动;各季度末的政策利率与基准利率;Q3 日度路径与 2s10s</w:t>
            </w:r>
          </w:p>
        </w:tc>
        <w:tc>
          <w:tcPr>
            <w:tcW w:type="dxa" w:w="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6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4</w:t>
            </w:r>
          </w:p>
        </w:tc>
        <w:tc>
          <w:tcPr>
            <w:tcW w:type="dxa" w:w="15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f04</w:t>
            </w:r>
          </w:p>
        </w:tc>
        <w:tc>
          <w:tcPr>
            <w:tcW w:type="dxa" w:w="62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不同期限利率变动对存款成本与贷款收入的传导</w:t>
            </w:r>
          </w:p>
        </w:tc>
        <w:tc>
          <w:tcPr>
            <w:tcW w:type="dxa" w:w="8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5-6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f05-f06</w:t>
            </w:r>
          </w:p>
        </w:tc>
        <w:tc>
          <w:tcPr>
            <w:tcW w:type="dxa" w:w="62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六大行近 9 个季度分部门收入(含 Q3E);Q3E 的环比与同比分部门变化</w:t>
            </w:r>
          </w:p>
        </w:tc>
        <w:tc>
          <w:tcPr>
            <w:tcW w:type="dxa" w:w="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06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7-9</w:t>
            </w:r>
          </w:p>
        </w:tc>
        <w:tc>
          <w:tcPr>
            <w:tcW w:type="dxa" w:w="15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f07-f09</w:t>
            </w:r>
          </w:p>
        </w:tc>
        <w:tc>
          <w:tcPr>
            <w:tcW w:type="dxa" w:w="62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EPS 历史与 Q3E;滚动 12 个月 P/E;股价、板块、波动率、10Y、油价与按揭利率</w:t>
            </w:r>
          </w:p>
        </w:tc>
        <w:tc>
          <w:tcPr>
            <w:tcW w:type="dxa" w:w="8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10-12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f10, f11</w:t>
            </w:r>
          </w:p>
        </w:tc>
        <w:tc>
          <w:tcPr>
            <w:tcW w:type="dxa" w:w="62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HTM、AFS 的摊余成本与公允价值;Q3 利率上行对账面价值的冲击</w:t>
            </w:r>
          </w:p>
        </w:tc>
        <w:tc>
          <w:tcPr>
            <w:tcW w:type="dxa" w:w="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06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13-14</w:t>
            </w:r>
          </w:p>
        </w:tc>
        <w:tc>
          <w:tcPr>
            <w:tcW w:type="dxa" w:w="15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f12, f13</w:t>
            </w:r>
          </w:p>
        </w:tc>
        <w:tc>
          <w:tcPr>
            <w:tcW w:type="dxa" w:w="625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加息压力测试:构成柱状图与热力图</w:t>
            </w:r>
          </w:p>
        </w:tc>
        <w:tc>
          <w:tcPr>
            <w:tcW w:type="dxa" w:w="8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10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15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f14</w:t>
            </w:r>
          </w:p>
        </w:tc>
        <w:tc>
          <w:tcPr>
            <w:tcW w:type="dxa" w:w="62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IPO 承销费估算与 Q4 Anthropic 情景</w:t>
            </w:r>
          </w:p>
        </w:tc>
        <w:tc>
          <w:tcPr>
            <w:tcW w:type="dxa" w:w="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  <w:color w:val="1F4E79"/>
          <w:sz w:val="34"/>
        </w:rPr>
        <w:t>第一部分 研究报告正文</w:t>
      </w:r>
    </w:p>
    <w:p>
      <w:pPr>
        <w:ind w:left="283"/>
        <w:pBdr>
          <w:left w:val="single" w:sz="18" w:space="6" w:color="1F4E79"/>
        </w:pBdr>
        <w:shd w:val="clear" w:color="auto" w:fill="F2F5F9"/>
      </w:pPr>
      <w:r>
        <w:rPr>
          <w:rFonts w:ascii="Calibri" w:hAnsi="Calibri" w:eastAsia="Microsoft YaHei" w:cs="Calibri"/>
          <w:color w:val="333333"/>
          <w:sz w:val="19"/>
        </w:rPr>
        <w:t>数据截止:2026-10-01 收盘价,2026-10-02 撰写。银行财报窗口:10/13(JPM、C、WFC、GS)、10/14(BAC、MS)、10/15(PNC、SCHW、USB)、10/16 前后(TFC、MTB、CFG、HBAN、BNY、RF)、10/19(FITB)、10/20(KEY)、10/22(COF)。10/27-28 还有 FOMC,落在财报季中间。</w:t>
      </w:r>
    </w:p>
    <w:p>
      <w:pPr>
        <w:ind w:left="283"/>
        <w:pBdr>
          <w:left w:val="single" w:sz="18" w:space="6" w:color="1F4E79"/>
        </w:pBdr>
        <w:shd w:val="clear" w:color="auto" w:fill="F2F5F9"/>
      </w:pPr>
      <w:r>
        <w:rPr>
          <w:rFonts w:ascii="Calibri" w:hAnsi="Calibri" w:eastAsia="Microsoft YaHei" w:cs="Calibri"/>
          <w:color w:val="333333"/>
          <w:sz w:val="19"/>
        </w:rPr>
        <w:t>这是基于公开信息的情景分析,不是个性化投资建议。所有"超预期概率"是在文中假设下的模型输出,不是历史频率。第 9 节列出了方法局限,请先读。</w:t>
      </w:r>
    </w:p>
    <w:p>
      <w:pPr>
        <w:ind w:left="283"/>
        <w:pBdr>
          <w:left w:val="single" w:sz="18" w:space="6" w:color="1F4E79"/>
        </w:pBdr>
        <w:shd w:val="clear" w:color="auto" w:fill="F2F5F9"/>
      </w:pPr>
      <w:r>
        <w:rPr>
          <w:rFonts w:ascii="Calibri" w:hAnsi="Calibri" w:eastAsia="Microsoft YaHei" w:cs="Calibri"/>
          <w:color w:val="333333"/>
          <w:sz w:val="19"/>
        </w:rPr>
        <w:t>复现:</w:t>
      </w:r>
      <w:r>
        <w:rPr>
          <w:rFonts w:ascii="Consolas" w:hAnsi="Consolas" w:eastAsia="Microsoft YaHei" w:cs="Consolas"/>
          <w:color w:val="8B1A1A"/>
          <w:sz w:val="17"/>
        </w:rPr>
        <w:t>research/scripts/</w:t>
      </w:r>
      <w:r>
        <w:rPr>
          <w:rFonts w:ascii="Calibri" w:hAnsi="Calibri" w:eastAsia="Microsoft YaHei" w:cs="Calibri"/>
          <w:color w:val="333333"/>
          <w:sz w:val="19"/>
        </w:rPr>
        <w:t xml:space="preserve"> 下的脚本;各表在 </w:t>
      </w:r>
      <w:r>
        <w:rPr>
          <w:rFonts w:ascii="Consolas" w:hAnsi="Consolas" w:eastAsia="Microsoft YaHei" w:cs="Consolas"/>
          <w:color w:val="8B1A1A"/>
          <w:sz w:val="17"/>
        </w:rPr>
        <w:t>research/output/*.csv</w:t>
      </w:r>
      <w:r>
        <w:rPr>
          <w:rFonts w:ascii="Calibri" w:hAnsi="Calibri" w:eastAsia="Microsoft YaHei" w:cs="Calibri"/>
          <w:color w:val="333333"/>
          <w:sz w:val="19"/>
        </w:rPr>
        <w:t xml:space="preserve">;共识与出处在 </w:t>
      </w:r>
      <w:r>
        <w:rPr>
          <w:rFonts w:ascii="Consolas" w:hAnsi="Consolas" w:eastAsia="Microsoft YaHei" w:cs="Consolas"/>
          <w:color w:val="8B1A1A"/>
          <w:sz w:val="17"/>
        </w:rPr>
        <w:t>research/data/consensus_q3_2026.csv</w:t>
      </w:r>
      <w:r>
        <w:rPr>
          <w:rFonts w:ascii="Calibri" w:hAnsi="Calibri" w:eastAsia="Microsoft YaHei" w:cs="Calibri"/>
          <w:color w:val="333333"/>
          <w:sz w:val="19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0. 结论先行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1.</w:t>
        <w:tab/>
      </w:r>
      <w:r>
        <w:rPr>
          <w:rFonts w:ascii="Calibri" w:hAnsi="Calibri" w:eastAsia="Microsoft YaHei" w:cs="Calibri"/>
          <w:b/>
          <w:sz w:val="21"/>
        </w:rPr>
        <w:t>本季度分化的主轴有三条,不是一条。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(a) 资本市场敞口的方向。Q2 是创纪录季度,Q3 全面降温,IB 和交易的"环比回落幅度"各家差别很大。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(b) 利率冲击在损益表和资产负债表上的时点错位。Q3 长端上行约 85bp,但政策利率季均只 +4bp。固定利率资产重定价快于负债,这是 NII 的顺风,但要到 Q4 和 2027 才充分兑现。AFS 证券的 AOCI 损失在这个季度就已经发生。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(c) Q2 基数里的一次性项目(Visa B-2 交易所互换收益、并购会计),决定了"环比下降"有多少是假的。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2.</w:t>
        <w:tab/>
      </w:r>
      <w:r>
        <w:rPr>
          <w:rFonts w:ascii="Calibri" w:hAnsi="Calibri" w:eastAsia="Microsoft YaHei" w:cs="Calibri"/>
          <w:b/>
          <w:sz w:val="21"/>
        </w:rPr>
        <w:t>"IPO 火热"这个前提对 Q3 不成立,至少对费用收入不成立。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Q2 才是 IPO 高峰。Q3 去掉巨型交易后的 IPO 明显降温,宣布的并购金额环比下降约 41%。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巨型 IPO 费率极低(SK hynix 的承销费率约 0.97%),募资额会高估费用收入。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管理层指引也分化:JPM 说 IB 费同比"中高十几个百分点",C 说"低个位数",BAC 说同比 −10% 以上($1.6–1.8B),PNC 说费用收入环比 −5%。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3.</w:t>
        <w:tab/>
      </w:r>
      <w:r>
        <w:rPr>
          <w:rFonts w:ascii="Calibri" w:hAnsi="Calibri" w:eastAsia="Microsoft YaHei" w:cs="Calibri"/>
          <w:b/>
          <w:sz w:val="21"/>
        </w:rPr>
        <w:t>模型给出的排序(详见第 4、5 节):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b/>
          <w:sz w:val="21"/>
        </w:rPr>
        <w:t>EPS 大概率超共识</w:t>
      </w:r>
      <w:r>
        <w:rPr>
          <w:rFonts w:ascii="Calibri" w:hAnsi="Calibri" w:eastAsia="Microsoft YaHei" w:cs="Calibri"/>
          <w:sz w:val="21"/>
        </w:rPr>
        <w:t>:C、FITB、MS、JPM、TFC(低置信)、BNY(先验)。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b/>
          <w:sz w:val="21"/>
        </w:rPr>
        <w:t>中性</w:t>
      </w:r>
      <w:r>
        <w:rPr>
          <w:rFonts w:ascii="Calibri" w:hAnsi="Calibri" w:eastAsia="Microsoft YaHei" w:cs="Calibri"/>
          <w:sz w:val="21"/>
        </w:rPr>
        <w:t>:USB、KEY、PNC、MTB、CFG、WFC、COF。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b/>
          <w:sz w:val="21"/>
        </w:rPr>
        <w:t>EPS 大概率低于共识</w:t>
      </w:r>
      <w:r>
        <w:rPr>
          <w:rFonts w:ascii="Calibri" w:hAnsi="Calibri" w:eastAsia="Microsoft YaHei" w:cs="Calibri"/>
          <w:sz w:val="21"/>
        </w:rPr>
        <w:t>:GS(−8%)、BAC(−5%)、HBAN(−8%),SCHW 小幅偏弱。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4.</w:t>
        <w:tab/>
      </w:r>
      <w:r>
        <w:rPr>
          <w:rFonts w:ascii="Calibri" w:hAnsi="Calibri" w:eastAsia="Microsoft YaHei" w:cs="Calibri"/>
          <w:b/>
          <w:sz w:val="21"/>
        </w:rPr>
        <w:t>"EPS 超预期"和"股价上涨"是两件事。</w:t>
      </w:r>
      <w:r>
        <w:rPr>
          <w:rFonts w:ascii="Calibri" w:hAnsi="Calibri" w:eastAsia="Microsoft YaHei" w:cs="Calibri"/>
          <w:sz w:val="21"/>
        </w:rPr>
        <w:t xml:space="preserve"> 这一季尤其如此,因为: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板块 9 月已经大跌(XLF 9 月 −7.1%,KBWB −8.1%),离 52 周高点还差 8–25%。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低预期、低仓位的名字(C、MS、JPM、TFC)胜率更高。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已经跑赢的高估值名字(STT YTD +39%、BNY +26%、BEN +41%)容易"利好出尽"。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5.</w:t>
        <w:tab/>
      </w:r>
      <w:r>
        <w:rPr>
          <w:rFonts w:ascii="Calibri" w:hAnsi="Calibri" w:eastAsia="Microsoft YaHei" w:cs="Calibri"/>
          <w:b/>
          <w:sz w:val="21"/>
        </w:rPr>
        <w:t>最大的尾部风险不在盈利,在利率路径。</w:t>
      </w:r>
      <w:r>
        <w:rPr>
          <w:rFonts w:ascii="Calibri" w:hAnsi="Calibri" w:eastAsia="Microsoft YaHei" w:cs="Calibri"/>
          <w:sz w:val="21"/>
        </w:rPr>
        <w:t xml:space="preserve"> 10Y 在 5.3%,是本世纪最大的单季国债收益率上升。若 10 月 CPI 或 FOMC 继续推高长端,AOCI/TBV 和信贷成本的叙事会盖过 Q3 的 EPS。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1. 宏观底盘(2026 Q3)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5"/>
        <w:gridCol w:w="7396"/>
      </w:tblGrid>
      <w:tr>
        <w:trPr>
          <w:tblHeader w:val="true"/>
          <w:cantSplit/>
        </w:trPr>
        <w:tc>
          <w:tcPr>
            <w:tcW w:type="dxa" w:w="235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39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数据</w:t>
            </w:r>
          </w:p>
        </w:tc>
      </w:tr>
      <w:tr>
        <w:trPr>
          <w:cantSplit/>
        </w:trPr>
        <w:tc>
          <w:tcPr>
            <w:tcW w:type="dxa" w:w="23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联邦基金目标</w:t>
            </w:r>
          </w:p>
        </w:tc>
        <w:tc>
          <w:tcPr>
            <w:tcW w:type="dxa" w:w="73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9/16 加息 25bp 至 3.75–4.00%(Warsh 任主席);IORB 3.90%</w:t>
            </w:r>
          </w:p>
        </w:tc>
      </w:tr>
      <w:tr>
        <w:trPr>
          <w:cantSplit/>
        </w:trPr>
        <w:tc>
          <w:tcPr>
            <w:tcW w:type="dxa" w:w="23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SEP 年底中位数</w:t>
            </w:r>
          </w:p>
        </w:tc>
        <w:tc>
          <w:tcPr>
            <w:tcW w:type="dxa" w:w="73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4.1%;PCE 3.7%</w:t>
            </w:r>
          </w:p>
        </w:tc>
      </w:tr>
      <w:tr>
        <w:trPr>
          <w:cantSplit/>
        </w:trPr>
        <w:tc>
          <w:tcPr>
            <w:tcW w:type="dxa" w:w="23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油价</w:t>
            </w:r>
          </w:p>
        </w:tc>
        <w:tc>
          <w:tcPr>
            <w:tcW w:type="dxa" w:w="73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WTI 约 $96,Brent 约 $114(伊朗战争冲击)</w:t>
            </w:r>
          </w:p>
        </w:tc>
      </w:tr>
      <w:tr>
        <w:trPr>
          <w:cantSplit/>
        </w:trPr>
        <w:tc>
          <w:tcPr>
            <w:tcW w:type="dxa" w:w="23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国债曲线 Q3 变动</w:t>
            </w:r>
          </w:p>
        </w:tc>
        <w:tc>
          <w:tcPr>
            <w:tcW w:type="dxa" w:w="73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2Y +74bp,5Y +90bp,10Y +85bp,30Y +73bp(熊陡)</w:t>
            </w:r>
          </w:p>
        </w:tc>
      </w:tr>
      <w:tr>
        <w:trPr>
          <w:cantSplit/>
        </w:trPr>
        <w:tc>
          <w:tcPr>
            <w:tcW w:type="dxa" w:w="23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10Y 收益率</w:t>
            </w:r>
          </w:p>
        </w:tc>
        <w:tc>
          <w:tcPr>
            <w:tcW w:type="dxa" w:w="73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9/30 为 5.29%,10/1 触及 5.34%,是本世纪最大的单季上行</w:t>
            </w:r>
          </w:p>
        </w:tc>
      </w:tr>
      <w:tr>
        <w:trPr>
          <w:cantSplit/>
        </w:trPr>
        <w:tc>
          <w:tcPr>
            <w:tcW w:type="dxa" w:w="23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Q3 季均政策利率变动</w:t>
            </w:r>
          </w:p>
        </w:tc>
        <w:tc>
          <w:tcPr>
            <w:tcW w:type="dxa" w:w="73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仅 +4bp</w:t>
            </w:r>
          </w:p>
        </w:tc>
      </w:tr>
      <w:tr>
        <w:trPr>
          <w:cantSplit/>
        </w:trPr>
        <w:tc>
          <w:tcPr>
            <w:tcW w:type="dxa" w:w="23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2s10s</w:t>
            </w:r>
          </w:p>
        </w:tc>
        <w:tc>
          <w:tcPr>
            <w:tcW w:type="dxa" w:w="73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9/22 一度收窄到约 22bp(上年同期约 54bp)</w:t>
            </w:r>
          </w:p>
        </w:tc>
      </w:tr>
      <w:tr>
        <w:trPr>
          <w:cantSplit/>
        </w:trPr>
        <w:tc>
          <w:tcPr>
            <w:tcW w:type="dxa" w:w="23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股市</w:t>
            </w:r>
          </w:p>
        </w:tc>
        <w:tc>
          <w:tcPr>
            <w:tcW w:type="dxa" w:w="73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SPY Q3 +2.4%,XLK +2.9%,SMH −7.1%(但 YTD +71.6%),XLF Q3 ±0%,KRE −6.7%,TLT −9.0%</w:t>
            </w:r>
          </w:p>
        </w:tc>
      </w:tr>
      <w:tr>
        <w:trPr>
          <w:cantSplit/>
        </w:trPr>
        <w:tc>
          <w:tcPr>
            <w:tcW w:type="dxa" w:w="23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信用</w:t>
            </w:r>
          </w:p>
        </w:tc>
        <w:tc>
          <w:tcPr>
            <w:tcW w:type="dxa" w:w="73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FDIC Q2:行业净核销率 0.57%(−2bp QoQ),逾期+非应计 1.44%,整体仍在改善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传导链(对银行盈利)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资产端:新增和到期再投资的固定利率资产(MBS、贷款)收益率上升约 75–120bp(RF 披露约 $3B 到期资产可再投资 +75–100bp;PNC 的证券重组新买入收益率高出 120bp)。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负债端:存款 beta 滞后。Q3 季均政策利率只涨 4bp,存款成本还没追上。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结果:NII 与 NIM 环比抬升是明确的,但幅度被"存款竞争加剧、现金库存(如 FITB 的 Comerica 过渡现金)、日数效应"拆分。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同时:AFS 证券的公允价值下降直接冲击 AOCI/TBV;HTM 的损失不进资本,但是"经济 TBV"的隐性损失。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需求端:Moynihan 明确说"若利率再升,融资需求会放缓"。IB 的 DCM、杠杆融资、IPO 窗口对长端上行很敏感。</w:t>
      </w:r>
    </w:p>
    <w:p>
      <w:r>
        <w:rPr>
          <w:rFonts w:ascii="Calibri" w:hAnsi="Calibri" w:eastAsia="Microsoft YaHei" w:cs="Calibri"/>
          <w:b/>
          <w:sz w:val="21"/>
        </w:rPr>
        <w:t>10-Q 披露的 12 个月 NII 敏感度(截至 6/30,+100bp 平行移动)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4"/>
        <w:gridCol w:w="8417"/>
      </w:tblGrid>
      <w:tr>
        <w:trPr>
          <w:tblHeader w:val="true"/>
          <w:cantSplit/>
        </w:trPr>
        <w:tc>
          <w:tcPr>
            <w:tcW w:type="dxa" w:w="133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银行</w:t>
            </w:r>
          </w:p>
        </w:tc>
        <w:tc>
          <w:tcPr>
            <w:tcW w:type="dxa" w:w="841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+100bp 影响</w:t>
            </w:r>
          </w:p>
        </w:tc>
      </w:tr>
      <w:tr>
        <w:trPr>
          <w:cantSplit/>
        </w:trPr>
        <w:tc>
          <w:tcPr>
            <w:tcW w:type="dxa" w:w="13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JPM</w:t>
            </w:r>
          </w:p>
        </w:tc>
        <w:tc>
          <w:tcPr>
            <w:tcW w:type="dxa" w:w="841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+$1.8B(其中长端 +$1.1B)</w:t>
            </w:r>
          </w:p>
        </w:tc>
      </w:tr>
      <w:tr>
        <w:trPr>
          <w:cantSplit/>
        </w:trPr>
        <w:tc>
          <w:tcPr>
            <w:tcW w:type="dxa" w:w="13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WFC</w:t>
            </w:r>
          </w:p>
        </w:tc>
        <w:tc>
          <w:tcPr>
            <w:tcW w:type="dxa" w:w="841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+$1.3B</w:t>
            </w:r>
          </w:p>
        </w:tc>
      </w:tr>
      <w:tr>
        <w:trPr>
          <w:cantSplit/>
        </w:trPr>
        <w:tc>
          <w:tcPr>
            <w:tcW w:type="dxa" w:w="13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BAC</w:t>
            </w:r>
          </w:p>
        </w:tc>
        <w:tc>
          <w:tcPr>
            <w:tcW w:type="dxa" w:w="841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+$1.0B(大部分来自短端)</w:t>
            </w:r>
          </w:p>
        </w:tc>
      </w:tr>
      <w:tr>
        <w:trPr>
          <w:cantSplit/>
        </w:trPr>
        <w:tc>
          <w:tcPr>
            <w:tcW w:type="dxa" w:w="13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C</w:t>
            </w:r>
          </w:p>
        </w:tc>
        <w:tc>
          <w:tcPr>
            <w:tcW w:type="dxa" w:w="841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资产敏感;AOCI 初始 −约 $3B(披露文本)</w:t>
            </w:r>
          </w:p>
        </w:tc>
      </w:tr>
      <w:tr>
        <w:trPr>
          <w:cantSplit/>
        </w:trPr>
        <w:tc>
          <w:tcPr>
            <w:tcW w:type="dxa" w:w="13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SCHW</w:t>
            </w:r>
          </w:p>
        </w:tc>
        <w:tc>
          <w:tcPr>
            <w:tcW w:type="dxa" w:w="841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NII +3.6%</w:t>
            </w:r>
          </w:p>
        </w:tc>
      </w:tr>
      <w:tr>
        <w:trPr>
          <w:cantSplit/>
        </w:trPr>
        <w:tc>
          <w:tcPr>
            <w:tcW w:type="dxa" w:w="13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CFG</w:t>
            </w:r>
          </w:p>
        </w:tc>
        <w:tc>
          <w:tcPr>
            <w:tcW w:type="dxa" w:w="841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+0.9%</w:t>
            </w:r>
          </w:p>
        </w:tc>
      </w:tr>
      <w:tr>
        <w:trPr>
          <w:cantSplit/>
        </w:trPr>
        <w:tc>
          <w:tcPr>
            <w:tcW w:type="dxa" w:w="13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FITB</w:t>
            </w:r>
          </w:p>
        </w:tc>
        <w:tc>
          <w:tcPr>
            <w:tcW w:type="dxa" w:w="841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+0.42%(第一年,斜坡)。EVE 在 ±100bp 都为负,刻意转向资产敏感</w:t>
            </w:r>
          </w:p>
        </w:tc>
      </w:tr>
      <w:tr>
        <w:trPr>
          <w:cantSplit/>
        </w:trPr>
        <w:tc>
          <w:tcPr>
            <w:tcW w:type="dxa" w:w="13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MTB</w:t>
            </w:r>
          </w:p>
        </w:tc>
        <w:tc>
          <w:tcPr>
            <w:tcW w:type="dxa" w:w="841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−0.18%(轻微负债敏感)</w:t>
            </w:r>
          </w:p>
        </w:tc>
      </w:tr>
      <w:tr>
        <w:trPr>
          <w:cantSplit/>
        </w:trPr>
        <w:tc>
          <w:tcPr>
            <w:tcW w:type="dxa" w:w="13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RF</w:t>
            </w:r>
          </w:p>
        </w:tc>
        <w:tc>
          <w:tcPr>
            <w:tcW w:type="dxa" w:w="841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+$62M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sz w:val="21"/>
        </w:rPr>
        <w:t>这些是静态资产负债表的模型值,依赖存款 beta 假设,不能当作 Q3 的预测。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2. 方法与数学框架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2.1 EPS 桥(第 4 节的预测用的就是这个)</w:t>
      </w:r>
    </w:p>
    <w:p>
      <w:pPr>
        <w:spacing w:before="80"/>
        <w:jc w:val="center"/>
      </w:pPr>
      <w:r>
        <w:rPr>
          <w:rFonts w:ascii="Cambria Math" w:hAnsi="Cambria Math" w:eastAsia="Microsoft YaHei" w:cs="Cambria Math"/>
          <w:i/>
          <w:sz w:val="24"/>
        </w:rPr>
        <w:t>EPS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Q</w:t>
      </w:r>
      <w:r>
        <w:rPr>
          <w:rFonts w:ascii="Cambria Math" w:hAnsi="Cambria Math" w:eastAsia="Microsoft YaHei" w:cs="Cambria Math"/>
          <w:i w:val="0"/>
          <w:sz w:val="24"/>
          <w:vertAlign w:val="subscript"/>
        </w:rPr>
        <w:t>3</w:t>
      </w:r>
      <w:r>
        <w:rPr>
          <w:rFonts w:ascii="Cambria Math" w:hAnsi="Cambria Math" w:eastAsia="Microsoft YaHei" w:cs="Cambria Math"/>
          <w:i w:val="0"/>
          <w:sz w:val="24"/>
        </w:rPr>
        <w:t>=</w:t>
      </w:r>
      <w:r>
        <w:rPr>
          <w:rFonts w:ascii="Cambria Math" w:hAnsi="Cambria Math" w:eastAsia="Microsoft YaHei" w:cs="Cambria Math"/>
          <w:i/>
          <w:sz w:val="24"/>
        </w:rPr>
        <w:t>(</w:t>
      </w:r>
      <w:r>
        <w:rPr>
          <w:rFonts w:ascii="Cambria Math" w:hAnsi="Cambria Math" w:eastAsia="Microsoft YaHei" w:cs="Cambria Math"/>
          <w:i w:val="0"/>
          <w:sz w:val="24"/>
        </w:rPr>
        <w:t>(</w:t>
      </w:r>
      <w:r>
        <w:rPr>
          <w:rFonts w:ascii="Cambria Math" w:hAnsi="Cambria Math" w:eastAsia="Microsoft YaHei" w:cs="Cambria Math"/>
          <w:i/>
          <w:sz w:val="24"/>
        </w:rPr>
        <w:t>PBT</w:t>
      </w:r>
      <w:r>
        <w:rPr>
          <w:rFonts w:ascii="Cambria Math" w:hAnsi="Cambria Math" w:eastAsia="Microsoft YaHei" w:cs="Cambria Math"/>
          <w:i/>
          <w:sz w:val="24"/>
          <w:vertAlign w:val="superscript"/>
        </w:rPr>
        <w:t>clean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Q</w:t>
      </w:r>
      <w:r>
        <w:rPr>
          <w:rFonts w:ascii="Cambria Math" w:hAnsi="Cambria Math" w:eastAsia="Microsoft YaHei" w:cs="Cambria Math"/>
          <w:i w:val="0"/>
          <w:sz w:val="24"/>
          <w:vertAlign w:val="subscript"/>
        </w:rPr>
        <w:t>2</w:t>
      </w:r>
      <w:r>
        <w:rPr>
          <w:rFonts w:ascii="Cambria Math" w:hAnsi="Cambria Math" w:eastAsia="Microsoft YaHei" w:cs="Cambria Math"/>
          <w:i w:val="0"/>
          <w:sz w:val="24"/>
        </w:rPr>
        <w:t>+Σ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i</w:t>
      </w:r>
      <w:r>
        <w:rPr>
          <w:rFonts w:ascii="Cambria Math" w:hAnsi="Cambria Math" w:eastAsia="Microsoft YaHei" w:cs="Cambria Math"/>
          <w:i w:val="0"/>
          <w:sz w:val="24"/>
        </w:rPr>
        <w:t xml:space="preserve"> </w:t>
      </w:r>
      <w:r>
        <w:rPr>
          <w:rFonts w:ascii="Cambria Math" w:hAnsi="Cambria Math" w:eastAsia="Microsoft YaHei" w:cs="Cambria Math"/>
          <w:i/>
          <w:sz w:val="24"/>
        </w:rPr>
        <w:t>Δ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i</w:t>
      </w:r>
      <w:r>
        <w:rPr>
          <w:rFonts w:ascii="Cambria Math" w:hAnsi="Cambria Math" w:eastAsia="Microsoft YaHei" w:cs="Cambria Math"/>
          <w:i w:val="0"/>
          <w:sz w:val="24"/>
        </w:rPr>
        <w:t>)(1-</w:t>
      </w:r>
      <w:r>
        <w:rPr>
          <w:rFonts w:ascii="Cambria Math" w:hAnsi="Cambria Math" w:eastAsia="Microsoft YaHei" w:cs="Cambria Math"/>
          <w:i/>
          <w:sz w:val="24"/>
        </w:rPr>
        <w:t>t</w:t>
      </w:r>
      <w:r>
        <w:rPr>
          <w:rFonts w:ascii="Cambria Math" w:hAnsi="Cambria Math" w:eastAsia="Microsoft YaHei" w:cs="Cambria Math"/>
          <w:i w:val="0"/>
          <w:sz w:val="24"/>
          <w:vertAlign w:val="subscript"/>
        </w:rPr>
        <w:t>3</w:t>
      </w:r>
      <w:r>
        <w:rPr>
          <w:rFonts w:ascii="Cambria Math" w:hAnsi="Cambria Math" w:eastAsia="Microsoft YaHei" w:cs="Cambria Math"/>
          <w:i w:val="0"/>
          <w:sz w:val="24"/>
        </w:rPr>
        <w:t>)-</w:t>
      </w:r>
      <w:r>
        <w:rPr>
          <w:rFonts w:ascii="Cambria Math" w:hAnsi="Cambria Math" w:eastAsia="Microsoft YaHei" w:cs="Cambria Math"/>
          <w:i/>
          <w:sz w:val="24"/>
        </w:rPr>
        <w:t>Pref)/(Shares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Q</w:t>
      </w:r>
      <w:r>
        <w:rPr>
          <w:rFonts w:ascii="Cambria Math" w:hAnsi="Cambria Math" w:eastAsia="Microsoft YaHei" w:cs="Cambria Math"/>
          <w:i w:val="0"/>
          <w:sz w:val="24"/>
          <w:vertAlign w:val="subscript"/>
        </w:rPr>
        <w:t>3</w:t>
      </w:r>
      <w:r>
        <w:rPr>
          <w:rFonts w:ascii="Cambria Math" w:hAnsi="Cambria Math" w:eastAsia="Microsoft YaHei" w:cs="Cambria Math"/>
          <w:i/>
          <w:sz w:val="24"/>
        </w:rPr>
        <w:t>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mbria Math" w:hAnsi="Cambria Math" w:eastAsia="Microsoft YaHei" w:cs="Cambria Math"/>
          <w:i/>
          <w:sz w:val="21"/>
        </w:rPr>
        <w:t>PBT</w:t>
      </w:r>
      <w:r>
        <w:rPr>
          <w:rFonts w:ascii="Cambria Math" w:hAnsi="Cambria Math" w:eastAsia="Microsoft YaHei" w:cs="Cambria Math"/>
          <w:i/>
          <w:sz w:val="21"/>
          <w:vertAlign w:val="superscript"/>
        </w:rPr>
        <w:t>clean</w:t>
      </w:r>
      <w:r>
        <w:rPr>
          <w:rFonts w:ascii="Cambria Math" w:hAnsi="Cambria Math" w:eastAsia="Microsoft YaHei" w:cs="Cambria Math"/>
          <w:i/>
          <w:sz w:val="21"/>
          <w:vertAlign w:val="subscript"/>
        </w:rPr>
        <w:t>Q</w:t>
      </w:r>
      <w:r>
        <w:rPr>
          <w:rFonts w:ascii="Cambria Math" w:hAnsi="Cambria Math" w:eastAsia="Microsoft YaHei" w:cs="Cambria Math"/>
          <w:i w:val="0"/>
          <w:sz w:val="21"/>
          <w:vertAlign w:val="subscript"/>
        </w:rPr>
        <w:t>2</w:t>
      </w:r>
      <w:r>
        <w:rPr>
          <w:rFonts w:ascii="Calibri" w:hAnsi="Calibri" w:eastAsia="Microsoft YaHei" w:cs="Calibri"/>
          <w:sz w:val="21"/>
        </w:rPr>
        <w:t>:把 Q2 的一次性项目剔除后的税前利润。JPM 取 6.14 的"干净 EPS"倒推;PNC 取调整后 EPS 4.85;FITB 保留 GAAP 并单独建模合并费用。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mbria Math" w:hAnsi="Cambria Math" w:eastAsia="Microsoft YaHei" w:cs="Cambria Math"/>
          <w:i/>
          <w:sz w:val="21"/>
        </w:rPr>
        <w:t>Δ</w:t>
      </w:r>
      <w:r>
        <w:rPr>
          <w:rFonts w:ascii="Cambria Math" w:hAnsi="Cambria Math" w:eastAsia="Microsoft YaHei" w:cs="Cambria Math"/>
          <w:i/>
          <w:sz w:val="21"/>
          <w:vertAlign w:val="subscript"/>
        </w:rPr>
        <w:t>i</w:t>
      </w:r>
      <w:r>
        <w:rPr>
          <w:rFonts w:ascii="Calibri" w:hAnsi="Calibri" w:eastAsia="Microsoft YaHei" w:cs="Calibri"/>
          <w:sz w:val="21"/>
        </w:rPr>
        <w:t>:每一项都来自管理层指引或 Q2 财报,带标准差,并可挂在三个共同因子之一: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onsolas" w:hAnsi="Consolas" w:eastAsia="Microsoft YaHei" w:cs="Consolas"/>
          <w:color w:val="8B1A1A"/>
          <w:sz w:val="19"/>
        </w:rPr>
        <w:t>mkt</w:t>
      </w:r>
      <w:r>
        <w:rPr>
          <w:rFonts w:ascii="Calibri" w:hAnsi="Calibri" w:eastAsia="Microsoft YaHei" w:cs="Calibri"/>
          <w:sz w:val="21"/>
        </w:rPr>
        <w:t>:资本市场活跃度,所有银行共用同一次抽样。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onsolas" w:hAnsi="Consolas" w:eastAsia="Microsoft YaHei" w:cs="Consolas"/>
          <w:color w:val="8B1A1A"/>
          <w:sz w:val="19"/>
        </w:rPr>
        <w:t>rate</w:t>
      </w:r>
      <w:r>
        <w:rPr>
          <w:rFonts w:ascii="Calibri" w:hAnsi="Calibri" w:eastAsia="Microsoft YaHei" w:cs="Calibri"/>
          <w:sz w:val="21"/>
        </w:rPr>
        <w:t>:NII 的意外。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onsolas" w:hAnsi="Consolas" w:eastAsia="Microsoft YaHei" w:cs="Consolas"/>
          <w:color w:val="8B1A1A"/>
          <w:sz w:val="19"/>
        </w:rPr>
        <w:t>credit</w:t>
      </w:r>
      <w:r>
        <w:rPr>
          <w:rFonts w:ascii="Calibri" w:hAnsi="Calibri" w:eastAsia="Microsoft YaHei" w:cs="Calibri"/>
          <w:sz w:val="21"/>
        </w:rPr>
        <w:t>:拨备。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 xml:space="preserve">补偿(奖金)冲抵项对 </w:t>
      </w:r>
      <w:r>
        <w:rPr>
          <w:rFonts w:ascii="Consolas" w:hAnsi="Consolas" w:eastAsia="Microsoft YaHei" w:cs="Consolas"/>
          <w:color w:val="8B1A1A"/>
          <w:sz w:val="19"/>
        </w:rPr>
        <w:t>mkt</w:t>
      </w:r>
      <w:r>
        <w:rPr>
          <w:rFonts w:ascii="Calibri" w:hAnsi="Calibri" w:eastAsia="Microsoft YaHei" w:cs="Calibri"/>
          <w:sz w:val="21"/>
        </w:rPr>
        <w:t xml:space="preserve"> 取负载荷:收入降,奖金计提也降。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外加 2.5% 的乘性模型风险项。做 40,000 次蒙特卡洛。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2.2 久期缺口与 AOCI/TBV</w:t>
      </w:r>
    </w:p>
    <w:p>
      <w:pPr>
        <w:spacing w:before="80"/>
        <w:jc w:val="center"/>
      </w:pPr>
      <w:r>
        <w:rPr>
          <w:rFonts w:ascii="Cambria Math" w:hAnsi="Cambria Math" w:eastAsia="Microsoft YaHei" w:cs="Cambria Math"/>
          <w:i/>
          <w:sz w:val="24"/>
        </w:rPr>
        <w:t>Δ</w:t>
      </w:r>
      <w:r>
        <w:rPr>
          <w:rFonts w:ascii="Cambria Math" w:hAnsi="Cambria Math" w:eastAsia="Microsoft YaHei" w:cs="Cambria Math"/>
          <w:i w:val="0"/>
          <w:sz w:val="24"/>
        </w:rPr>
        <w:t xml:space="preserve"> </w:t>
      </w:r>
      <w:r>
        <w:rPr>
          <w:rFonts w:ascii="Cambria Math" w:hAnsi="Cambria Math" w:eastAsia="Microsoft YaHei" w:cs="Cambria Math"/>
          <w:i/>
          <w:sz w:val="24"/>
        </w:rPr>
        <w:t>TCE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AFS</w:t>
      </w:r>
      <w:r>
        <w:rPr>
          <w:rFonts w:ascii="Cambria Math" w:hAnsi="Cambria Math" w:eastAsia="Microsoft YaHei" w:cs="Cambria Math"/>
          <w:i w:val="0"/>
          <w:sz w:val="24"/>
        </w:rPr>
        <w:t>=-</w:t>
      </w:r>
      <w:r>
        <w:rPr>
          <w:rFonts w:ascii="Cambria Math" w:hAnsi="Cambria Math" w:eastAsia="Microsoft YaHei" w:cs="Cambria Math"/>
          <w:i/>
          <w:sz w:val="24"/>
        </w:rPr>
        <w:t>D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AFS</w:t>
      </w:r>
      <w:r>
        <w:rPr>
          <w:rFonts w:ascii="Cambria Math" w:hAnsi="Cambria Math" w:eastAsia="Microsoft YaHei" w:cs="Cambria Math"/>
          <w:i w:val="0"/>
          <w:sz w:val="24"/>
        </w:rPr>
        <w:t>·</w:t>
      </w:r>
      <w:r>
        <w:rPr>
          <w:rFonts w:ascii="Cambria Math" w:hAnsi="Cambria Math" w:eastAsia="Microsoft YaHei" w:cs="Cambria Math"/>
          <w:i/>
          <w:sz w:val="24"/>
        </w:rPr>
        <w:t>Δ</w:t>
      </w:r>
      <w:r>
        <w:rPr>
          <w:rFonts w:ascii="Cambria Math" w:hAnsi="Cambria Math" w:eastAsia="Microsoft YaHei" w:cs="Cambria Math"/>
          <w:i w:val="0"/>
          <w:sz w:val="24"/>
        </w:rPr>
        <w:t xml:space="preserve"> </w:t>
      </w:r>
      <w:r>
        <w:rPr>
          <w:rFonts w:ascii="Cambria Math" w:hAnsi="Cambria Math" w:eastAsia="Microsoft YaHei" w:cs="Cambria Math"/>
          <w:i/>
          <w:sz w:val="24"/>
        </w:rPr>
        <w:t>y</w:t>
      </w:r>
      <w:r>
        <w:rPr>
          <w:rFonts w:ascii="Cambria Math" w:hAnsi="Cambria Math" w:eastAsia="Microsoft YaHei" w:cs="Cambria Math"/>
          <w:i w:val="0"/>
          <w:sz w:val="24"/>
        </w:rPr>
        <w:t xml:space="preserve">· </w:t>
      </w:r>
      <w:r>
        <w:rPr>
          <w:rFonts w:ascii="Cambria Math" w:hAnsi="Cambria Math" w:eastAsia="Microsoft YaHei" w:cs="Cambria Math"/>
          <w:i/>
          <w:sz w:val="24"/>
        </w:rPr>
        <w:t>AC</w:t>
      </w:r>
      <w:r>
        <w:rPr>
          <w:rFonts w:ascii="Cambria Math" w:hAnsi="Cambria Math" w:eastAsia="Microsoft YaHei" w:cs="Cambria Math"/>
          <w:i/>
          <w:sz w:val="24"/>
          <w:vertAlign w:val="subscript"/>
        </w:rPr>
        <w:t>AFS</w:t>
      </w:r>
      <w:r>
        <w:rPr>
          <w:rFonts w:ascii="Cambria Math" w:hAnsi="Cambria Math" w:eastAsia="Microsoft YaHei" w:cs="Cambria Math"/>
          <w:i w:val="0"/>
          <w:sz w:val="24"/>
        </w:rPr>
        <w:t>·(1-</w:t>
      </w:r>
      <w:r>
        <w:rPr>
          <w:rFonts w:ascii="Cambria Math" w:hAnsi="Cambria Math" w:eastAsia="Microsoft YaHei" w:cs="Cambria Math"/>
          <w:i/>
          <w:sz w:val="24"/>
        </w:rPr>
        <w:t>τ</w:t>
      </w:r>
      <w:r>
        <w:rPr>
          <w:rFonts w:ascii="Cambria Math" w:hAnsi="Cambria Math" w:eastAsia="Microsoft YaHei" w:cs="Cambria Math"/>
          <w:i w:val="0"/>
          <w:sz w:val="24"/>
        </w:rPr>
        <w:t>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mbria Math" w:hAnsi="Cambria Math" w:eastAsia="Microsoft YaHei" w:cs="Cambria Math"/>
          <w:i/>
          <w:sz w:val="21"/>
        </w:rPr>
        <w:t>D</w:t>
      </w:r>
      <w:r>
        <w:rPr>
          <w:rFonts w:ascii="Calibri" w:hAnsi="Calibri" w:eastAsia="Microsoft YaHei" w:cs="Calibri"/>
          <w:sz w:val="21"/>
        </w:rPr>
        <w:t xml:space="preserve"> 不是披露值,而是用季度序列回归出的有效久期:</w:t>
      </w:r>
      <w:r>
        <w:rPr>
          <w:rFonts w:ascii="Cambria Math" w:hAnsi="Cambria Math" w:eastAsia="Microsoft YaHei" w:cs="Cambria Math"/>
          <w:i/>
          <w:sz w:val="21"/>
        </w:rPr>
        <w:t>Δ</w:t>
      </w:r>
      <w:r>
        <w:rPr>
          <w:rFonts w:ascii="Cambria Math" w:hAnsi="Cambria Math" w:eastAsia="Microsoft YaHei" w:cs="Cambria Math"/>
          <w:i w:val="0"/>
          <w:sz w:val="21"/>
        </w:rPr>
        <w:t>(</w:t>
      </w:r>
      <w:r>
        <w:rPr>
          <w:rFonts w:ascii="Cambria Math" w:hAnsi="Cambria Math" w:eastAsia="Microsoft YaHei" w:cs="Cambria Math"/>
          <w:i/>
          <w:sz w:val="21"/>
        </w:rPr>
        <w:t>UL</w:t>
      </w:r>
      <w:r>
        <w:rPr>
          <w:rFonts w:ascii="Cambria Math" w:hAnsi="Cambria Math" w:eastAsia="Microsoft YaHei" w:cs="Cambria Math"/>
          <w:i w:val="0"/>
          <w:sz w:val="21"/>
        </w:rPr>
        <w:t>%)=-</w:t>
      </w:r>
      <w:r>
        <w:rPr>
          <w:rFonts w:ascii="Cambria Math" w:hAnsi="Cambria Math" w:eastAsia="Microsoft YaHei" w:cs="Cambria Math"/>
          <w:i/>
          <w:sz w:val="21"/>
        </w:rPr>
        <w:t>D</w:t>
      </w:r>
      <w:r>
        <w:rPr>
          <w:rFonts w:ascii="Cambria Math" w:hAnsi="Cambria Math" w:eastAsia="Microsoft YaHei" w:cs="Cambria Math"/>
          <w:i w:val="0"/>
          <w:sz w:val="21"/>
        </w:rPr>
        <w:t xml:space="preserve"> </w:t>
      </w:r>
      <w:r>
        <w:rPr>
          <w:rFonts w:ascii="Cambria Math" w:hAnsi="Cambria Math" w:eastAsia="Microsoft YaHei" w:cs="Cambria Math"/>
          <w:i/>
          <w:sz w:val="21"/>
        </w:rPr>
        <w:t>Δ</w:t>
      </w:r>
      <w:r>
        <w:rPr>
          <w:rFonts w:ascii="Cambria Math" w:hAnsi="Cambria Math" w:eastAsia="Microsoft YaHei" w:cs="Cambria Math"/>
          <w:i w:val="0"/>
          <w:sz w:val="21"/>
        </w:rPr>
        <w:t xml:space="preserve"> </w:t>
      </w:r>
      <w:r>
        <w:rPr>
          <w:rFonts w:ascii="Cambria Math" w:hAnsi="Cambria Math" w:eastAsia="Microsoft YaHei" w:cs="Cambria Math"/>
          <w:i/>
          <w:sz w:val="21"/>
        </w:rPr>
        <w:t>y</w:t>
      </w:r>
      <w:r>
        <w:rPr>
          <w:rFonts w:ascii="Cambria Math" w:hAnsi="Cambria Math" w:eastAsia="Microsoft YaHei" w:cs="Cambria Math"/>
          <w:i w:val="0"/>
          <w:sz w:val="21"/>
        </w:rPr>
        <w:t>+roll</w:t>
      </w:r>
      <w:r>
        <w:rPr>
          <w:rFonts w:ascii="Calibri" w:hAnsi="Calibri" w:eastAsia="Microsoft YaHei" w:cs="Calibri"/>
          <w:sz w:val="21"/>
        </w:rPr>
        <w:t>。UL% 是未实现损失占摊余成本的比例,AFS 对 5Y/10Y 混合利率回归,HTM 对 30 年期按揭利率回归。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 xml:space="preserve">Q3 的 </w:t>
      </w:r>
      <w:r>
        <w:rPr>
          <w:rFonts w:ascii="Cambria Math" w:hAnsi="Cambria Math" w:eastAsia="Microsoft YaHei" w:cs="Cambria Math"/>
          <w:i/>
          <w:sz w:val="21"/>
        </w:rPr>
        <w:t>Δ</w:t>
      </w:r>
      <w:r>
        <w:rPr>
          <w:rFonts w:ascii="Cambria Math" w:hAnsi="Cambria Math" w:eastAsia="Microsoft YaHei" w:cs="Cambria Math"/>
          <w:i w:val="0"/>
          <w:sz w:val="21"/>
        </w:rPr>
        <w:t xml:space="preserve"> </w:t>
      </w:r>
      <w:r>
        <w:rPr>
          <w:rFonts w:ascii="Cambria Math" w:hAnsi="Cambria Math" w:eastAsia="Microsoft YaHei" w:cs="Cambria Math"/>
          <w:i/>
          <w:sz w:val="21"/>
        </w:rPr>
        <w:t>y</w:t>
      </w:r>
      <w:r>
        <w:rPr>
          <w:rFonts w:ascii="Calibri" w:hAnsi="Calibri" w:eastAsia="Microsoft YaHei" w:cs="Calibri"/>
          <w:sz w:val="21"/>
        </w:rPr>
        <w:t>:5Y/10Y 混合约 +87.5bp,按揭利率 +54bp,税率取 24%。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 xml:space="preserve">回归 R² &lt; 0.5 或久期不合理时,用固定值兜底(AFS 3.0 年、HTM 4.5 年),并在 </w:t>
      </w:r>
      <w:r>
        <w:rPr>
          <w:rFonts w:ascii="Consolas" w:hAnsi="Consolas" w:eastAsia="Microsoft YaHei" w:cs="Consolas"/>
          <w:color w:val="8B1A1A"/>
          <w:sz w:val="19"/>
        </w:rPr>
        <w:t>risk_scorecard.csv</w:t>
      </w:r>
      <w:r>
        <w:rPr>
          <w:rFonts w:ascii="Calibri" w:hAnsi="Calibri" w:eastAsia="Microsoft YaHei" w:cs="Calibri"/>
          <w:sz w:val="21"/>
        </w:rPr>
        <w:t xml:space="preserve"> 的 </w:t>
      </w:r>
      <w:r>
        <w:rPr>
          <w:rFonts w:ascii="Consolas" w:hAnsi="Consolas" w:eastAsia="Microsoft YaHei" w:cs="Consolas"/>
          <w:color w:val="8B1A1A"/>
          <w:sz w:val="19"/>
        </w:rPr>
        <w:t>afs_src</w:t>
      </w:r>
      <w:r>
        <w:rPr>
          <w:rFonts w:ascii="Calibri" w:hAnsi="Calibri" w:eastAsia="Microsoft YaHei" w:cs="Calibri"/>
          <w:sz w:val="21"/>
        </w:rPr>
        <w:t xml:space="preserve"> / </w:t>
      </w:r>
      <w:r>
        <w:rPr>
          <w:rFonts w:ascii="Consolas" w:hAnsi="Consolas" w:eastAsia="Microsoft YaHei" w:cs="Consolas"/>
          <w:color w:val="8B1A1A"/>
          <w:sz w:val="19"/>
        </w:rPr>
        <w:t>htm_src</w:t>
      </w:r>
      <w:r>
        <w:rPr>
          <w:rFonts w:ascii="Calibri" w:hAnsi="Calibri" w:eastAsia="Microsoft YaHei" w:cs="Calibri"/>
          <w:sz w:val="21"/>
        </w:rPr>
        <w:t xml:space="preserve"> 里标注。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校验</w:t>
      </w:r>
      <w:r>
        <w:rPr>
          <w:rFonts w:ascii="Calibri" w:hAnsi="Calibri" w:eastAsia="Microsoft YaHei" w:cs="Calibri"/>
          <w:sz w:val="21"/>
        </w:rPr>
        <w:t>:同一套口径算出 BAC 的 TCE 为 $206.0B,与 Barron's 引用的 $206B 一致;BAC HTM 未实现损失 $82.1B,与其补充材料的 $82B 一致。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2.3 杠杆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杠杆倍数 = 总资产 / TCE。TCE = 权益 − 商誉 − 无形资产 − 优先股。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杠杆越高,同样的 AOCI 冲击占 TCE 的比例越大。BNY 25.8 倍、STT 24.4 倍、SCHW 和 GS 约 21 倍,而 PNC 12.2 倍、COF 11.2 倍。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3. 分部门拆解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3.1 零售与商业银行:存贷利差与久期错配</w:t>
      </w:r>
    </w:p>
    <w:p>
      <w:r>
        <w:rPr>
          <w:rFonts w:ascii="Calibri" w:hAnsi="Calibri" w:eastAsia="Microsoft YaHei" w:cs="Calibri"/>
          <w:sz w:val="21"/>
        </w:rPr>
        <w:t>关键点是 NII 环比,以及它是不是"高质量"的 NII。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5"/>
        <w:gridCol w:w="4553"/>
        <w:gridCol w:w="4553"/>
      </w:tblGrid>
      <w:tr>
        <w:trPr>
          <w:tblHeader w:val="true"/>
          <w:cantSplit/>
        </w:trPr>
        <w:tc>
          <w:tcPr>
            <w:tcW w:type="dxa" w:w="64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银行</w:t>
            </w:r>
          </w:p>
        </w:tc>
        <w:tc>
          <w:tcPr>
            <w:tcW w:type="dxa" w:w="455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Q3 NII 指引 / 线索</w:t>
            </w:r>
          </w:p>
        </w:tc>
        <w:tc>
          <w:tcPr>
            <w:tcW w:type="dxa" w:w="455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评论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USB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同比 +4–6%,偏高端;NIM 在 Q3、Q4 改善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贷款环比 +3.0%,固定资产重定价;但 Q3 要一次性计提约 $160M Amazon 小企业组合准备金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PNC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环比 +3–3.5%;贷款 +1–2%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FirstBank 整合;费用收入环比 −5–5.5%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FITB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环比 +2–2.5%,CFO 称"偏高端";NIM 在 3.30% 中段,存款增长强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证券久期部署谨慎;现金超过 $200 亿压低 NIM 约 1bp/10 亿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CFG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NII 环比 +2.5–3.5%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费用持平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KEY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 NII +9–11%,Q4 NIM 退出率 3.00–3.05%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倒推 Q3 NII 约 $1.30B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RF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环比约 +2%;NIM 稳定到小幅上升;年底 3.70%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 个额外天数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TFC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环比约 +1.5%;全年 NII 增速被下调到 1–1.5%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存款成本略高、贷款利差收窄(Q2 NIM −4bp)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HBAN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 NII 增速从 39–43% 下调到约 35%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倒推 Q3 NII 约持平(Q2 $2,052M);存款竞争、贷款量弱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MTB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 NII 在 $7.2–7.35B 的下半区间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下半年 NIM 在 3.60% 中段,略降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WFC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全年约 $50B(其中 Markets $2B)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H1 $24.4B,隐含 H2 约 $25.6B;NIM 在 Q3、Q4 稳定</w:t>
            </w:r>
          </w:p>
        </w:tc>
      </w:tr>
      <w:tr>
        <w:trPr>
          <w:cantSplit/>
        </w:trPr>
        <w:tc>
          <w:tcPr>
            <w:tcW w:type="dxa" w:w="64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JPM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全年总 NII 约 $105.5B(上调)</w:t>
            </w:r>
          </w:p>
        </w:tc>
        <w:tc>
          <w:tcPr>
            <w:tcW w:type="dxa" w:w="455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H1 $50.9B,隐含 H2 $54.6B</w:t>
            </w:r>
          </w:p>
        </w:tc>
      </w:tr>
      <w:tr>
        <w:trPr>
          <w:cantSplit/>
        </w:trPr>
        <w:tc>
          <w:tcPr>
            <w:tcW w:type="dxa" w:w="64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BAC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全年 NII 增速"偏高端"(6–8%)</w:t>
            </w:r>
          </w:p>
        </w:tc>
        <w:tc>
          <w:tcPr>
            <w:tcW w:type="dxa" w:w="455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收益率在升;但 Markets NII 与 S&amp;T 重叠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为什么利率上升会让银行分化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资产敏感且 fixed-rate 资产占比高、到期近的银行(USB、FITB、KEY、PNC、CFG)有明确的 NII 顺风。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存款竞争更强、加了 Cadence/Comerica 这类并购的银行,NII 的"并购会计"和"现金过渡"噪声大(HBAN、FITB)。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零售存款基础大但被迫付更高存款成本的银行(TFC、MTB),NII 增速最先被下调。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3.2 投行(IB)</w:t>
      </w:r>
    </w:p>
    <w:p>
      <w:r>
        <w:rPr>
          <w:rFonts w:ascii="Calibri" w:hAnsi="Calibri" w:eastAsia="Microsoft YaHei" w:cs="Calibri"/>
          <w:b/>
          <w:sz w:val="21"/>
        </w:rPr>
        <w:t>对"IPO 市场很热"的核实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Q2 是峰值:JPM IB 费 $3.2B(+30% 同比),BAC $2.1B(+50%),C +44%。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Q3 去掉巨型交易后的 IPO、以及已宣布并购金额均明显低于 Q2。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费用不等于募资额:SK hynix 级别的巨型发行承销费率只有 0.97% 左右,所以"募资规模大"不会自动变成 IB 费用。</w:t>
      </w:r>
    </w:p>
    <w:p>
      <w:r>
        <w:rPr>
          <w:rFonts w:ascii="Calibri" w:hAnsi="Calibri" w:eastAsia="Microsoft YaHei" w:cs="Calibri"/>
          <w:b/>
          <w:sz w:val="21"/>
        </w:rPr>
        <w:t>各家 Q3 IB 指引(同比 / 环比)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2"/>
        <w:gridCol w:w="4948"/>
        <w:gridCol w:w="2002"/>
        <w:gridCol w:w="1840"/>
      </w:tblGrid>
      <w:tr>
        <w:trPr>
          <w:tblHeader w:val="true"/>
          <w:cantSplit/>
        </w:trPr>
        <w:tc>
          <w:tcPr>
            <w:tcW w:type="dxa" w:w="96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银行</w:t>
            </w:r>
          </w:p>
        </w:tc>
        <w:tc>
          <w:tcPr>
            <w:tcW w:type="dxa" w:w="494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指引</w:t>
            </w:r>
          </w:p>
        </w:tc>
        <w:tc>
          <w:tcPr>
            <w:tcW w:type="dxa" w:w="200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隐含 Q3 IB 费</w:t>
            </w:r>
          </w:p>
        </w:tc>
        <w:tc>
          <w:tcPr>
            <w:tcW w:type="dxa" w:w="184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环比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JPM</w:t>
            </w:r>
          </w:p>
        </w:tc>
        <w:tc>
          <w:tcPr>
            <w:tcW w:type="dxa" w:w="49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同比"中高十几个百分点"(Q3'25 $2.6B)</w:t>
            </w:r>
          </w:p>
        </w:tc>
        <w:tc>
          <w:tcPr>
            <w:tcW w:type="dxa" w:w="200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约 $3.0B</w:t>
            </w:r>
          </w:p>
        </w:tc>
        <w:tc>
          <w:tcPr>
            <w:tcW w:type="dxa" w:w="1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约 −5%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C</w:t>
            </w:r>
          </w:p>
        </w:tc>
        <w:tc>
          <w:tcPr>
            <w:tcW w:type="dxa" w:w="49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同比"低个位数 + 看最后几笔交易"</w:t>
            </w:r>
          </w:p>
        </w:tc>
        <w:tc>
          <w:tcPr>
            <w:tcW w:type="dxa" w:w="200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未给绝对值</w:t>
            </w:r>
          </w:p>
        </w:tc>
        <w:tc>
          <w:tcPr>
            <w:tcW w:type="dxa" w:w="1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估计环比回落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BAC</w:t>
            </w:r>
          </w:p>
        </w:tc>
        <w:tc>
          <w:tcPr>
            <w:tcW w:type="dxa" w:w="49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同比 −10% 以上,$1.6–1.8B(Q3'25 $2.0B)</w:t>
            </w:r>
          </w:p>
        </w:tc>
        <w:tc>
          <w:tcPr>
            <w:tcW w:type="dxa" w:w="200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$1.6–1.8B</w:t>
            </w:r>
          </w:p>
        </w:tc>
        <w:tc>
          <w:tcPr>
            <w:tcW w:type="dxa" w:w="1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约 −20%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GS</w:t>
            </w:r>
          </w:p>
        </w:tc>
        <w:tc>
          <w:tcPr>
            <w:tcW w:type="dxa" w:w="49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"投资线大幅走弱";MS Research 称 IB 略降</w:t>
            </w:r>
          </w:p>
        </w:tc>
        <w:tc>
          <w:tcPr>
            <w:tcW w:type="dxa" w:w="200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—</w:t>
            </w:r>
          </w:p>
        </w:tc>
        <w:tc>
          <w:tcPr>
            <w:tcW w:type="dxa" w:w="1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小幅下降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MS</w:t>
            </w:r>
          </w:p>
        </w:tc>
        <w:tc>
          <w:tcPr>
            <w:tcW w:type="dxa" w:w="494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100+ 在手私募卖方委托,IB 费有望 &gt; $2B</w:t>
            </w:r>
          </w:p>
        </w:tc>
        <w:tc>
          <w:tcPr>
            <w:tcW w:type="dxa" w:w="200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—</w:t>
            </w:r>
          </w:p>
        </w:tc>
        <w:tc>
          <w:tcPr>
            <w:tcW w:type="dxa" w:w="1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持平 / 小幅上升</w:t>
            </w:r>
          </w:p>
        </w:tc>
      </w:tr>
      <w:tr>
        <w:trPr>
          <w:cantSplit/>
        </w:trPr>
        <w:tc>
          <w:tcPr>
            <w:tcW w:type="dxa" w:w="96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PNC</w:t>
            </w:r>
          </w:p>
        </w:tc>
        <w:tc>
          <w:tcPr>
            <w:tcW w:type="dxa" w:w="494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费用收入 −5 到 −5.5%,主因资本市场</w:t>
            </w:r>
          </w:p>
        </w:tc>
        <w:tc>
          <w:tcPr>
            <w:tcW w:type="dxa" w:w="200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—</w:t>
            </w:r>
          </w:p>
        </w:tc>
        <w:tc>
          <w:tcPr>
            <w:tcW w:type="dxa" w:w="1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6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USB</w:t>
            </w:r>
          </w:p>
        </w:tc>
        <w:tc>
          <w:tcPr>
            <w:tcW w:type="dxa" w:w="49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BTIG 并入,约 $200M/季</w:t>
            </w:r>
          </w:p>
        </w:tc>
        <w:tc>
          <w:tcPr>
            <w:tcW w:type="dxa" w:w="200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—</w:t>
            </w:r>
          </w:p>
        </w:tc>
        <w:tc>
          <w:tcPr>
            <w:tcW w:type="dxa" w:w="1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上升(收购拉动)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解释分歧</w:t>
      </w:r>
      <w:r>
        <w:rPr>
          <w:rFonts w:ascii="Calibri" w:hAnsi="Calibri" w:eastAsia="Microsoft YaHei" w:cs="Calibri"/>
          <w:sz w:val="21"/>
        </w:rPr>
        <w:t>:JPM、MS 的优势在大型企业和 AI/科技融资的 ECM 与 M&amp;A;BAC 自己承认"在活跃业务上仓位偏小"。这是结构性分歧,不是噪声。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3.3 销售与交易(S&amp;T):权益 vs. 固收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6"/>
        <w:gridCol w:w="4896"/>
        <w:gridCol w:w="4029"/>
      </w:tblGrid>
      <w:tr>
        <w:trPr>
          <w:tblHeader w:val="true"/>
          <w:cantSplit/>
        </w:trPr>
        <w:tc>
          <w:tcPr>
            <w:tcW w:type="dxa" w:w="82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银行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Q3 指引</w:t>
            </w:r>
          </w:p>
        </w:tc>
        <w:tc>
          <w:tcPr>
            <w:tcW w:type="dxa" w:w="402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我们的假设</w:t>
            </w:r>
          </w:p>
        </w:tc>
      </w:tr>
      <w:tr>
        <w:trPr>
          <w:cantSplit/>
        </w:trPr>
        <w:tc>
          <w:tcPr>
            <w:tcW w:type="dxa" w:w="8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JPM</w:t>
            </w:r>
          </w:p>
        </w:tc>
        <w:tc>
          <w:tcPr>
            <w:tcW w:type="dxa" w:w="48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Markets 同比"中高十几个百分点"(Q3'25 $8.9B)</w:t>
            </w:r>
          </w:p>
        </w:tc>
        <w:tc>
          <w:tcPr>
            <w:tcW w:type="dxa" w:w="402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约 $10.4B,Q2 $12.1B 为纪录,环比约 −14%</w:t>
            </w:r>
          </w:p>
        </w:tc>
      </w:tr>
      <w:tr>
        <w:trPr>
          <w:cantSplit/>
        </w:trPr>
        <w:tc>
          <w:tcPr>
            <w:tcW w:type="dxa" w:w="82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BAC</w:t>
            </w:r>
          </w:p>
        </w:tc>
        <w:tc>
          <w:tcPr>
            <w:tcW w:type="dxa" w:w="48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S&amp;T 同比大致持平($5.4B);权益上升,固收下降;亚洲 PB 余额下降</w:t>
            </w:r>
          </w:p>
        </w:tc>
        <w:tc>
          <w:tcPr>
            <w:tcW w:type="dxa" w:w="402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约 $5.5B,Q2 $7.1B,环比约 −22%</w:t>
            </w:r>
          </w:p>
        </w:tc>
      </w:tr>
      <w:tr>
        <w:trPr>
          <w:cantSplit/>
        </w:trPr>
        <w:tc>
          <w:tcPr>
            <w:tcW w:type="dxa" w:w="8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C</w:t>
            </w:r>
          </w:p>
        </w:tc>
        <w:tc>
          <w:tcPr>
            <w:tcW w:type="dxa" w:w="4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Markets 同比"中个位数"</w:t>
            </w:r>
          </w:p>
        </w:tc>
        <w:tc>
          <w:tcPr>
            <w:tcW w:type="dxa" w:w="402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约 −$0.7B 环比</w:t>
            </w:r>
          </w:p>
        </w:tc>
      </w:tr>
      <w:tr>
        <w:trPr>
          <w:cantSplit/>
        </w:trPr>
        <w:tc>
          <w:tcPr>
            <w:tcW w:type="dxa" w:w="82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GS</w:t>
            </w:r>
          </w:p>
        </w:tc>
        <w:tc>
          <w:tcPr>
            <w:tcW w:type="dxa" w:w="48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权益"仍然非常强",FICC"相对更软"</w:t>
            </w:r>
          </w:p>
        </w:tc>
        <w:tc>
          <w:tcPr>
            <w:tcW w:type="dxa" w:w="402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权益 −$0.3B,FICC −$0.6B 环比</w:t>
            </w:r>
          </w:p>
        </w:tc>
      </w:tr>
      <w:tr>
        <w:trPr>
          <w:cantSplit/>
        </w:trPr>
        <w:tc>
          <w:tcPr>
            <w:tcW w:type="dxa" w:w="8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MS</w:t>
            </w:r>
          </w:p>
        </w:tc>
        <w:tc>
          <w:tcPr>
            <w:tcW w:type="dxa" w:w="4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"3Q is no 2Q"</w:t>
            </w:r>
          </w:p>
        </w:tc>
        <w:tc>
          <w:tcPr>
            <w:tcW w:type="dxa" w:w="402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权益 −$0.45B,FICC −$0.25B</w:t>
            </w:r>
          </w:p>
        </w:tc>
      </w:tr>
      <w:tr>
        <w:trPr>
          <w:cantSplit/>
        </w:trPr>
        <w:tc>
          <w:tcPr>
            <w:tcW w:type="dxa" w:w="82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WFC</w:t>
            </w:r>
          </w:p>
        </w:tc>
        <w:tc>
          <w:tcPr>
            <w:tcW w:type="dxa" w:w="4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无明确指引</w:t>
            </w:r>
          </w:p>
        </w:tc>
        <w:tc>
          <w:tcPr>
            <w:tcW w:type="dxa" w:w="402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非息收入环比 −$0.45B(Q2 有异常强势)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股债配置与期限结构的含义</w:t>
      </w:r>
      <w:r>
        <w:rPr>
          <w:rFonts w:ascii="Calibri" w:hAnsi="Calibri" w:eastAsia="Microsoft YaHei" w:cs="Calibri"/>
          <w:sz w:val="21"/>
        </w:rPr>
        <w:t>:权益端(PB、衍生品、现金股票)Q3 仍强,这对 GS/MS/C 有利;固收端受长端利率快速上行、利差波动影响,但大幅波动本身对做市也是收入。是否"赚钱"最终看对冲:收益率冲击那种单边行情,持有库存的自营头寸风险大,客户流动为主的做市收入受益。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3.4 经纪、财富管理、资管、ETF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SCHW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Q2 NIM 环比 +12bp 到 3.00%,净利息收入 $3,357M(+19% 同比),客户活期清算现金 $4,857 亿。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Fitch 认为 cash sorting 压力已趋缓,但现金占客户资产比例仍低于历史水平。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它的银行证券组合久期约 3.5 年,有约 4% 浮动利率,所以高利率+重定价是利好。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但共识已经把 EPS 推到 $1.67(3 个月前 $1.57),且 AOCI 已占 TCE 的 −43%、杠杆 21 倍。我们的模型给出 $1.65,略弱于共识。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MS 财富管理</w:t>
      </w:r>
      <w:r>
        <w:rPr>
          <w:rFonts w:ascii="Calibri" w:hAnsi="Calibri" w:eastAsia="Microsoft YaHei" w:cs="Calibri"/>
          <w:sz w:val="21"/>
        </w:rPr>
        <w:t>:Q2 净新增资产创纪录 $148B,一半以上来自 IPO 相关的员工计划流入。Q3 要看转化为付费资产的比例。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BAC 财富(Merrill + 私人银行)</w:t>
      </w:r>
      <w:r>
        <w:rPr>
          <w:rFonts w:ascii="Calibri" w:hAnsi="Calibri" w:eastAsia="Microsoft YaHei" w:cs="Calibri"/>
          <w:sz w:val="21"/>
        </w:rPr>
        <w:t>:AUM 费 +10–15% 同比。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资管费用的"市值联动"</w:t>
      </w:r>
      <w:r>
        <w:rPr>
          <w:rFonts w:ascii="Calibri" w:hAnsi="Calibri" w:eastAsia="Microsoft YaHei" w:cs="Calibri"/>
          <w:sz w:val="21"/>
        </w:rPr>
        <w:t>:Q3 标普 500 季均环比约 +4.8%(期末仅 +2%)。费用按期初或平均 AUM 计算的公司(BLK、TROW、AMP、LPL)会受益于均值抬升,但它们股价对期末市值更敏感。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ETF 与资管公司股价</w:t>
      </w:r>
      <w:r>
        <w:rPr>
          <w:rFonts w:ascii="Calibri" w:hAnsi="Calibri" w:eastAsia="Microsoft YaHei" w:cs="Calibri"/>
          <w:sz w:val="21"/>
        </w:rPr>
        <w:t>:Q3 BLK +10.6%、IVZ +15.1%、BEN −2.5%、TROW −7.3%。BEN YTD +41%、1y +48%,预期高。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3.5 交易所、另类资管、支付、抵押贷款</w:t>
      </w:r>
    </w:p>
    <w:p>
      <w:r>
        <w:rPr>
          <w:rFonts w:ascii="Calibri" w:hAnsi="Calibri" w:eastAsia="Microsoft YaHei" w:cs="Calibri"/>
          <w:sz w:val="21"/>
        </w:rPr>
        <w:t>这些不在我们的 EPS 驱动模型里,仅用价格和定性判断: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160"/>
        <w:gridCol w:w="2531"/>
        <w:gridCol w:w="2634"/>
      </w:tblGrid>
      <w:tr>
        <w:trPr>
          <w:tblHeader w:val="true"/>
          <w:cantSplit/>
        </w:trPr>
        <w:tc>
          <w:tcPr>
            <w:tcW w:type="dxa" w:w="242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Q3</w:t>
            </w:r>
          </w:p>
        </w:tc>
        <w:tc>
          <w:tcPr>
            <w:tcW w:type="dxa" w:w="253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YTD</w:t>
            </w:r>
          </w:p>
        </w:tc>
        <w:tc>
          <w:tcPr>
            <w:tcW w:type="dxa" w:w="263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交易所 CME / ICE / NDAQ / CBOE</w:t>
            </w:r>
          </w:p>
        </w:tc>
        <w:tc>
          <w:tcPr>
            <w:tcW w:type="dxa" w:w="21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+19% / +24% / +17% / +14%</w:t>
            </w:r>
          </w:p>
        </w:tc>
        <w:tc>
          <w:tcPr>
            <w:tcW w:type="dxa" w:w="25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~0 / −5% / −5% / +11%</w:t>
            </w:r>
          </w:p>
        </w:tc>
        <w:tc>
          <w:tcPr>
            <w:tcW w:type="dxa" w:w="263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受利率波动和衍生品量驱动,已经强势兑现</w:t>
            </w:r>
          </w:p>
        </w:tc>
      </w:tr>
      <w:tr>
        <w:trPr>
          <w:cantSplit/>
        </w:trPr>
        <w:tc>
          <w:tcPr>
            <w:tcW w:type="dxa" w:w="242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另类资管 BX / KKR / APO / ARES / CG / OWL</w:t>
            </w:r>
          </w:p>
        </w:tc>
        <w:tc>
          <w:tcPr>
            <w:tcW w:type="dxa" w:w="216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−4% / 0% / −2% / +6% / −5% / +6%</w:t>
            </w:r>
          </w:p>
        </w:tc>
        <w:tc>
          <w:tcPr>
            <w:tcW w:type="dxa" w:w="25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−25% / −28% / −20% / −25% / −30% / −36%</w:t>
            </w:r>
          </w:p>
        </w:tc>
        <w:tc>
          <w:tcPr>
            <w:tcW w:type="dxa" w:w="26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离高点 −24 到 −44%;市场担心私募信贷估值与 IPO 变现节奏,估值已压缩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抵押贷款 UWMC / RKT / PFSI</w:t>
            </w:r>
          </w:p>
        </w:tc>
        <w:tc>
          <w:tcPr>
            <w:tcW w:type="dxa" w:w="21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−48% / −27% / −29%</w:t>
            </w:r>
          </w:p>
        </w:tc>
        <w:tc>
          <w:tcPr>
            <w:tcW w:type="dxa" w:w="25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−70% / −38% / −53%</w:t>
            </w:r>
          </w:p>
        </w:tc>
        <w:tc>
          <w:tcPr>
            <w:tcW w:type="dxa" w:w="263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按揭利率上行直接冲击</w:t>
            </w:r>
          </w:p>
        </w:tc>
      </w:tr>
      <w:tr>
        <w:trPr>
          <w:cantSplit/>
        </w:trPr>
        <w:tc>
          <w:tcPr>
            <w:tcW w:type="dxa" w:w="242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支付 / 数据 V / MA / FIS / FISV / GPN</w:t>
            </w:r>
          </w:p>
        </w:tc>
        <w:tc>
          <w:tcPr>
            <w:tcW w:type="dxa" w:w="216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+5% / +8% / −14% / −8% / +13%</w:t>
            </w:r>
          </w:p>
        </w:tc>
        <w:tc>
          <w:tcPr>
            <w:tcW w:type="dxa" w:w="25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+3% / −3% / −49% / −32% / +5%</w:t>
            </w:r>
          </w:p>
        </w:tc>
        <w:tc>
          <w:tcPr>
            <w:tcW w:type="dxa" w:w="263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V/MA 稳,FIS/FISV 受其他逻辑拖累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信用卡 / 消费 AXP / ALLY / SYF</w:t>
            </w:r>
          </w:p>
        </w:tc>
        <w:tc>
          <w:tcPr>
            <w:tcW w:type="dxa" w:w="216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−10% / −18% / −6%</w:t>
            </w:r>
          </w:p>
        </w:tc>
        <w:tc>
          <w:tcPr>
            <w:tcW w:type="dxa" w:w="25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−18% / −15% / −13%</w:t>
            </w:r>
          </w:p>
        </w:tc>
        <w:tc>
          <w:tcPr>
            <w:tcW w:type="dxa" w:w="263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拨备与消费者信用压力的担忧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4. 逐家 EPS 预测与超共识概率</w:t>
      </w:r>
    </w:p>
    <w:p>
      <w:r>
        <w:rPr>
          <w:rFonts w:ascii="Consolas" w:hAnsi="Consolas" w:eastAsia="Microsoft YaHei" w:cs="Consolas"/>
          <w:color w:val="8B1A1A"/>
          <w:sz w:val="19"/>
        </w:rPr>
        <w:t>q3_model.csv</w:t>
      </w:r>
      <w:r>
        <w:rPr>
          <w:rFonts w:ascii="Calibri" w:hAnsi="Calibri" w:eastAsia="Microsoft YaHei" w:cs="Calibri"/>
          <w:sz w:val="21"/>
        </w:rPr>
        <w:t xml:space="preserve">(driver 法 = 逐项 bridge;prior 法 = 先验)。共识来自多家聚合页,有分歧,已在 </w:t>
      </w:r>
      <w:r>
        <w:rPr>
          <w:rFonts w:ascii="Consolas" w:hAnsi="Consolas" w:eastAsia="Microsoft YaHei" w:cs="Consolas"/>
          <w:color w:val="8B1A1A"/>
          <w:sz w:val="19"/>
        </w:rPr>
        <w:t>consensus_q3_2026.csv</w:t>
      </w:r>
      <w:r>
        <w:rPr>
          <w:rFonts w:ascii="Calibri" w:hAnsi="Calibri" w:eastAsia="Microsoft YaHei" w:cs="Calibri"/>
          <w:sz w:val="21"/>
        </w:rPr>
        <w:t xml:space="preserve"> 记录出处。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"/>
        <w:gridCol w:w="972"/>
        <w:gridCol w:w="840"/>
        <w:gridCol w:w="840"/>
        <w:gridCol w:w="1463"/>
        <w:gridCol w:w="972"/>
        <w:gridCol w:w="703"/>
        <w:gridCol w:w="1344"/>
        <w:gridCol w:w="1914"/>
      </w:tblGrid>
      <w:tr>
        <w:trPr>
          <w:tblHeader w:val="true"/>
          <w:cantSplit/>
        </w:trPr>
        <w:tc>
          <w:tcPr>
            <w:tcW w:type="dxa" w:w="70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97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Q2 EPS</w:t>
            </w:r>
          </w:p>
        </w:tc>
        <w:tc>
          <w:tcPr>
            <w:tcW w:type="dxa" w:w="84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共识</w:t>
            </w:r>
          </w:p>
        </w:tc>
        <w:tc>
          <w:tcPr>
            <w:tcW w:type="dxa" w:w="84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模型均值</w:t>
            </w:r>
          </w:p>
        </w:tc>
        <w:tc>
          <w:tcPr>
            <w:tcW w:type="dxa" w:w="146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P10–P90</w:t>
            </w:r>
          </w:p>
        </w:tc>
        <w:tc>
          <w:tcPr>
            <w:tcW w:type="dxa" w:w="97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对共识</w:t>
            </w:r>
          </w:p>
        </w:tc>
        <w:tc>
          <w:tcPr>
            <w:tcW w:type="dxa" w:w="70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P(超)</w:t>
            </w:r>
          </w:p>
        </w:tc>
        <w:tc>
          <w:tcPr>
            <w:tcW w:type="dxa" w:w="134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P(低于 −3%)</w:t>
            </w:r>
          </w:p>
        </w:tc>
        <w:tc>
          <w:tcPr>
            <w:tcW w:type="dxa" w:w="191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方法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FITB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0.83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0.84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0.95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0.81–1.08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+12.5%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84%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11%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C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3.15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2.64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2.96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2.58–3.34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+11.9%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86%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9%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MS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3.46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3.09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3.30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2.81–3.80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+6.9%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71%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22%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TFC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1.23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1.12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1.19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1.08–1.30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+6.3%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80%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11%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driver(共识单一来源)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JPM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6.14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5.86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6.10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5.66–6.54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+4.0%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75%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12%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BNY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2.45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2.26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2.35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2.21–2.49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+4.0%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79%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8%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prior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KEY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0.44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0.46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0.48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0.42–0.54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+3.9%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65%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24%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USB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1.35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1.32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1.36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1.24–1.47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+2.6%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64%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21%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COF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4.73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5.35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5.41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4.86–5.96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+1.0%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56%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30%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prior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PNC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4.85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4.89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4.92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4.59–5.25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+0.5%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54%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25%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driver(调整后口径)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MTB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5.32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4.91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4.92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4.47–5.38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+0.2%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51%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33%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CFG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1.30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1.40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1.40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1.26–1.54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−0.1%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49%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36%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WFC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2.00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1.85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1.84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1.64–2.04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−0.5%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47%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39%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SCHW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1.62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1.67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1.65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1.56–1.74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−1.3%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38%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34%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BAC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1.21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1.15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1.09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1.00–1.17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−5.5%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17%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67%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HBAN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0.33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0.39</w:t>
            </w:r>
          </w:p>
        </w:tc>
        <w:tc>
          <w:tcPr>
            <w:tcW w:type="dxa" w:w="8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0.36</w:t>
            </w:r>
          </w:p>
        </w:tc>
        <w:tc>
          <w:tcPr>
            <w:tcW w:type="dxa" w:w="146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0.31–0.41</w:t>
            </w:r>
          </w:p>
        </w:tc>
        <w:tc>
          <w:tcPr>
            <w:tcW w:type="dxa" w:w="97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−7.6%</w:t>
            </w:r>
          </w:p>
        </w:tc>
        <w:tc>
          <w:tcPr>
            <w:tcW w:type="dxa" w:w="70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22%</w:t>
            </w:r>
          </w:p>
        </w:tc>
        <w:tc>
          <w:tcPr>
            <w:tcW w:type="dxa" w:w="134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69%</w:t>
            </w:r>
          </w:p>
        </w:tc>
        <w:tc>
          <w:tcPr>
            <w:tcW w:type="dxa" w:w="19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  <w:tr>
        <w:trPr>
          <w:cantSplit/>
        </w:trPr>
        <w:tc>
          <w:tcPr>
            <w:tcW w:type="dxa" w:w="70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GS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20.98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15.39</w:t>
            </w:r>
          </w:p>
        </w:tc>
        <w:tc>
          <w:tcPr>
            <w:tcW w:type="dxa" w:w="8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14.19</w:t>
            </w:r>
          </w:p>
        </w:tc>
        <w:tc>
          <w:tcPr>
            <w:tcW w:type="dxa" w:w="146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9.57–18.84</w:t>
            </w:r>
          </w:p>
        </w:tc>
        <w:tc>
          <w:tcPr>
            <w:tcW w:type="dxa" w:w="97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−7.8%</w:t>
            </w:r>
          </w:p>
        </w:tc>
        <w:tc>
          <w:tcPr>
            <w:tcW w:type="dxa" w:w="70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37%</w:t>
            </w:r>
          </w:p>
        </w:tc>
        <w:tc>
          <w:tcPr>
            <w:tcW w:type="dxa" w:w="134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58%</w:t>
            </w:r>
          </w:p>
        </w:tc>
        <w:tc>
          <w:tcPr>
            <w:tcW w:type="dxa" w:w="19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driver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4.1 关键判断的推导</w:t>
      </w:r>
    </w:p>
    <w:p>
      <w:r>
        <w:rPr>
          <w:rFonts w:ascii="Calibri" w:hAnsi="Calibri" w:eastAsia="Microsoft YaHei" w:cs="Calibri"/>
          <w:b/>
          <w:sz w:val="21"/>
        </w:rPr>
        <w:t>C(最大正向偏差)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Q2 EPS $3.15,而共识 Q3 $2.64(−16%)。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Q1、Q2 实际分别超共识 +15.4%、+15.0%,说明卖方锚定的是 10–11% ROTCE 的旧指引;管理层 9 月已经改口"全年高于 11%"。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我们的桥:Markets −$0.7B、IB −$0.15B、Services/财富/USPB +$0.25B、费用 −$0.1B、拨备 −$0.1B,合计税前 −$0.6B,约 −0.19 EPS,加上股数下降(1,736M → 1,710M)。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风险:Q2 里若还有我们没识别到的非经常项(没有查到 Visa 收益披露),基数会偏高。</w:t>
      </w:r>
    </w:p>
    <w:p>
      <w:r>
        <w:rPr>
          <w:rFonts w:ascii="Calibri" w:hAnsi="Calibri" w:eastAsia="Microsoft YaHei" w:cs="Calibri"/>
          <w:b/>
          <w:sz w:val="21"/>
        </w:rPr>
        <w:t>JPM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全年指引上调后,H2 NII 约 $27.3B/季。Markets 从 $12.1B 回落到约 $10.4B,IB 回落约 $0.16B,桥合计约 −$0.31B 税前。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卖方 $5.86 偏保守(历史上 4 季平均超 +4.6%,Q2 超 +9.8%),我们的 $6.10 较一致。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空间已被"whisper $6.09"部分计入。</w:t>
      </w:r>
    </w:p>
    <w:p>
      <w:r>
        <w:rPr>
          <w:rFonts w:ascii="Calibri" w:hAnsi="Calibri" w:eastAsia="Microsoft YaHei" w:cs="Calibri"/>
          <w:b/>
          <w:sz w:val="21"/>
        </w:rPr>
        <w:t>MS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管理层已经明确下调 Q3 预期(共识 $3.08–3.13 vs Q2 $3.46),我们的 bridge 反而略高于共识,主因是奖金计提随收入下降,加上税率从约 24% 到 23%。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注意卡点:约 $200M 的未实现 carry 反转(约 $0.05 EPS)已经计入。</w:t>
      </w:r>
    </w:p>
    <w:p>
      <w:r>
        <w:rPr>
          <w:rFonts w:ascii="Calibri" w:hAnsi="Calibri" w:eastAsia="Microsoft YaHei" w:cs="Calibri"/>
          <w:b/>
          <w:sz w:val="21"/>
        </w:rPr>
        <w:t>BAC(最值得警惕)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Moynihan 在 9/14 说 Q3 IB 费 $1.6–1.8B,S&amp;T 同比持平($5.4B)。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Q2 的 S&amp;T 是 $7.1B、IB 是 $2.1B,所以仅这两项环比就约 −$1.95B 收入。NII 的增量(约 +$0.3B)和财富费用(+$0.1B)只能抵消一部分。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费用锚在约 $18.6B。结果是 EPS 约 $1.09,共识 $1.14–1.17。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现实检验:共识营收 $30.9–31.2B,而 Q2 是 $31.56B,说明卖方只减了 $0.4–0.6B,与"环比收入 −$1.6B+"的管理层口径不一致。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这个结论的最大不确定性在于:共识口径可能含 FTE 或不同的 S&amp;T 与 NII 重叠处理;另外有一份数据页(earningscalls.dev)给出 Q3 EPS $1.45,明显是错误数据,已排除。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股价已经在 9/14 当天跌了超过 5%,1 个月 −12.9%,所以"miss 已被预期"的成分不小。</w:t>
      </w:r>
    </w:p>
    <w:p>
      <w:r>
        <w:rPr>
          <w:rFonts w:ascii="Calibri" w:hAnsi="Calibri" w:eastAsia="Microsoft YaHei" w:cs="Calibri"/>
          <w:b/>
          <w:sz w:val="21"/>
        </w:rPr>
        <w:t>GS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Solomon 说了三件事:投资线"大幅走弱"、非薪酬费用环比 +$5 亿以上(交易费用、技术投入、慈善捐赠提前)、拨备略升。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MS Research 把 Q3 EPS 降到 $13.76(比当时共识低 19%),其中仅非薪酬费用修正就让共识 EPS 降 12%。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我们的桥得到 $14.2,P10–P90 为 $9.6–18.8,是区间最宽的一家。GS 还是波动最大的(60 天波动率 36%)。</w:t>
      </w:r>
    </w:p>
    <w:p>
      <w:r>
        <w:rPr>
          <w:rFonts w:ascii="Calibri" w:hAnsi="Calibri" w:eastAsia="Microsoft YaHei" w:cs="Calibri"/>
          <w:b/>
          <w:sz w:val="21"/>
        </w:rPr>
        <w:t>HBAN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全年 NII 增速被下调到约 35%(原 39–43%),倒推 Q3 NII 约持平。Q2 EPS $0.33,共识 $0.39 要求大幅改善。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并购(Cadence)整合费用的递减是主要正面项,但不足以覆盖。BAC 和 MS 在 7 月对它降级。</w:t>
      </w:r>
    </w:p>
    <w:p>
      <w:r>
        <w:rPr>
          <w:rFonts w:ascii="Calibri" w:hAnsi="Calibri" w:eastAsia="Microsoft YaHei" w:cs="Calibri"/>
          <w:b/>
          <w:sz w:val="21"/>
        </w:rPr>
        <w:t>FITB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Q2 调整后 EPS $1.02(GAAP $0.83,含 $203M 合并费用)。YTD 合并费用占全年约 65%,所以 H2 剩余约三分之一,Q3(系统转换季)约 $200M。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管理层 9/15 说 NII、费用收入都处于指引高端,费用处于低端。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共识 $0.84 看起来是 GAAP 且偏保守。但 AOCI 对 TCE 的 Q3 冲击达 −7%,是风险。</w:t>
      </w:r>
    </w:p>
    <w:p>
      <w:r>
        <w:rPr>
          <w:rFonts w:ascii="Calibri" w:hAnsi="Calibri" w:eastAsia="Microsoft YaHei" w:cs="Calibri"/>
          <w:b/>
          <w:sz w:val="21"/>
        </w:rPr>
        <w:t>TFC(低置信度)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共识 $1.12 低于 Q2 的 $1.23,而指引是营收 +1%、NII +1.5%、费用 +2%。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疑点:Q2 其他收入 $208M(Q1 $102M)可能含一次性项目,我们已扣 $60M。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共识来源单一(MarketBeat),所以只给"倾向超预期",不给高权重。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4.2 没有 driver 模型的几家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BNY</w:t>
      </w:r>
      <w:r>
        <w:rPr>
          <w:rFonts w:ascii="Calibri" w:hAnsi="Calibri" w:eastAsia="Microsoft YaHei" w:cs="Calibri"/>
          <w:sz w:val="21"/>
        </w:rPr>
        <w:t>:全年收入 +10–11%、NII +12–13%、费用 +6–7%;卖方 $2.25–2.27 比 Q2 低,是因为 Q2 基数里有可能的非经常项。倾向 +4%。但杠杆 25.8 倍、AFS AOCI 冲击 −10.6% TCE、YTD +26%,股价对"超预期"的敏感度低。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COF</w:t>
      </w:r>
      <w:r>
        <w:rPr>
          <w:rFonts w:ascii="Calibri" w:hAnsi="Calibri" w:eastAsia="Microsoft YaHei" w:cs="Calibri"/>
          <w:sz w:val="21"/>
        </w:rPr>
        <w:t>:卡 NCO 率 3.23%(环比 −22bp),Discover 整合成本降到 $298M,但 Q3 通常 NIM 季节性偏弱;调整后共识 $5.34–5.37,我们给中性。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STT / NTRS / RF / ZION</w:t>
      </w:r>
      <w:r>
        <w:rPr>
          <w:rFonts w:ascii="Calibri" w:hAnsi="Calibri" w:eastAsia="Microsoft YaHei" w:cs="Calibri"/>
          <w:sz w:val="21"/>
        </w:rPr>
        <w:t>:Q2 含 Visa 或一次性收益(ZION 披露约 $252M 税前非经常项),基数不干净,不给点估计。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5. 分层名单</w:t>
      </w:r>
    </w:p>
    <w:p>
      <w:r>
        <w:rPr>
          <w:rFonts w:ascii="Calibri" w:hAnsi="Calibri" w:eastAsia="Microsoft YaHei" w:cs="Calibri"/>
          <w:b/>
          <w:sz w:val="21"/>
        </w:rPr>
        <w:t>这是综合分,不是买卖指令。</w:t>
      </w:r>
      <w:r>
        <w:rPr>
          <w:rFonts w:ascii="Calibri" w:hAnsi="Calibri" w:eastAsia="Microsoft YaHei" w:cs="Calibri"/>
          <w:sz w:val="21"/>
        </w:rPr>
        <w:t xml:space="preserve"> 综合分 = 0.5×盈利得分 + 0.3×走势得分 + 0.2×资产负债表得分(</w:t>
      </w:r>
      <w:r>
        <w:rPr>
          <w:rFonts w:ascii="Consolas" w:hAnsi="Consolas" w:eastAsia="Microsoft YaHei" w:cs="Consolas"/>
          <w:color w:val="8B1A1A"/>
          <w:sz w:val="19"/>
        </w:rPr>
        <w:t>summary_table.py</w:t>
      </w:r>
      <w:r>
        <w:rPr>
          <w:rFonts w:ascii="Calibri" w:hAnsi="Calibri" w:eastAsia="Microsoft YaHei" w:cs="Calibri"/>
          <w:sz w:val="21"/>
        </w:rPr>
        <w:t>)。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5.1 偏乐观(EPS 大概率好于共识,且预期不高)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8"/>
        <w:gridCol w:w="4409"/>
        <w:gridCol w:w="4255"/>
      </w:tblGrid>
      <w:tr>
        <w:trPr>
          <w:tblHeader w:val="true"/>
          <w:cantSplit/>
        </w:trPr>
        <w:tc>
          <w:tcPr>
            <w:tcW w:type="dxa" w:w="108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440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425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主要风险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C</w:t>
            </w:r>
          </w:p>
        </w:tc>
        <w:tc>
          <w:tcPr>
            <w:tcW w:type="dxa" w:w="440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共识系统性偏低(连续两季超 15%);管理层上调全年 ROTCE;Q3 −7%,离高点 −12%</w:t>
            </w:r>
          </w:p>
        </w:tc>
        <w:tc>
          <w:tcPr>
            <w:tcW w:type="dxa" w:w="42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Q2 基数可能含未识别的一次性项目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JPM</w:t>
            </w:r>
          </w:p>
        </w:tc>
        <w:tc>
          <w:tcPr>
            <w:tcW w:type="dxa" w:w="440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指引上调 NII 与费用,IB/Markets 同比中高十几个百分点;拨备指引下调(卡 NCO 3.2%)</w:t>
            </w:r>
          </w:p>
        </w:tc>
        <w:tc>
          <w:tcPr>
            <w:tcW w:type="dxa" w:w="42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费用持续上调;"whisper"已高于共识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MS</w:t>
            </w:r>
          </w:p>
        </w:tc>
        <w:tc>
          <w:tcPr>
            <w:tcW w:type="dxa" w:w="440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管理层已降预期;财富管理 + 100+ 卖方委托;股价 −10.9%(1 个月)</w:t>
            </w:r>
          </w:p>
        </w:tc>
        <w:tc>
          <w:tcPr>
            <w:tcW w:type="dxa" w:w="42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Q2 IPO 相关资金流不可持续;UBS 并购传闻(9/24)扰动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FITB</w:t>
            </w:r>
          </w:p>
        </w:tc>
        <w:tc>
          <w:tcPr>
            <w:tcW w:type="dxa" w:w="440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对 Comerica 整合的 Q3 指引全部在高端;转换完成</w:t>
            </w:r>
          </w:p>
        </w:tc>
        <w:tc>
          <w:tcPr>
            <w:tcW w:type="dxa" w:w="425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合并费用规模(共识区间 $0.34–1.11 极宽);AOCI 冲击占 TCE 约 −7%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USB</w:t>
            </w:r>
          </w:p>
        </w:tc>
        <w:tc>
          <w:tcPr>
            <w:tcW w:type="dxa" w:w="440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高端、费用收入 +12–14%、NIM 改善;共识略低</w:t>
            </w:r>
          </w:p>
        </w:tc>
        <w:tc>
          <w:tcPr>
            <w:tcW w:type="dxa" w:w="425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$160M Amazon 储备;证券组合 AOCI 已占 TCE −17%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TFC</w:t>
            </w:r>
            <w:r>
              <w:rPr>
                <w:rFonts w:ascii="Calibri" w:hAnsi="Calibri" w:eastAsia="Microsoft YaHei" w:cs="Calibri"/>
                <w:sz w:val="18"/>
              </w:rPr>
              <w:t>(低置信)</w:t>
            </w:r>
          </w:p>
        </w:tc>
        <w:tc>
          <w:tcPr>
            <w:tcW w:type="dxa" w:w="44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指引与共识不一致,倾向超</w:t>
            </w:r>
          </w:p>
        </w:tc>
        <w:tc>
          <w:tcPr>
            <w:tcW w:type="dxa" w:w="425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单一来源共识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5.2 中性(信息已大部分在价格里,或驱动因素对冲)</w:t>
      </w:r>
    </w:p>
    <w:p>
      <w:r>
        <w:rPr>
          <w:rFonts w:ascii="Calibri" w:hAnsi="Calibri" w:eastAsia="Microsoft YaHei" w:cs="Calibri"/>
          <w:sz w:val="21"/>
        </w:rPr>
        <w:t>PNC、MTB、CFG、KEY、WFC、COF。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KEY</w:t>
      </w:r>
      <w:r>
        <w:rPr>
          <w:rFonts w:ascii="Calibri" w:hAnsi="Calibri" w:eastAsia="Microsoft YaHei" w:cs="Calibri"/>
          <w:sz w:val="21"/>
        </w:rPr>
        <w:t>:EPS 略好,但 AFS 久期 4.4 年、Q3 AOCI 冲击 −8.2% TCE,是区域行里最敏感的之一;Q3 −12%。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WFC</w:t>
      </w:r>
      <w:r>
        <w:rPr>
          <w:rFonts w:ascii="Calibri" w:hAnsi="Calibri" w:eastAsia="Microsoft YaHei" w:cs="Calibri"/>
          <w:sz w:val="21"/>
        </w:rPr>
        <w:t>:EPS 基本持平共识;但 YTD −12.5%、1 个月 −7.8%,预期低,且因资产上限解除,市场对"NII 指引上调"有一定期待(若提升则是正向惊喜)。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PNC</w:t>
      </w:r>
      <w:r>
        <w:rPr>
          <w:rFonts w:ascii="Calibri" w:hAnsi="Calibri" w:eastAsia="Microsoft YaHei" w:cs="Calibri"/>
          <w:sz w:val="21"/>
        </w:rPr>
        <w:t>:全年指引清晰,EPS 与共识几乎一致。需注意调整口径(Q3 有约 $50M 整合费用)。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5.3 偏悲观(EPS 风险偏下行,或叙事对其不利)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7"/>
        <w:gridCol w:w="6624"/>
      </w:tblGrid>
      <w:tr>
        <w:trPr>
          <w:tblHeader w:val="true"/>
          <w:cantSplit/>
        </w:trPr>
        <w:tc>
          <w:tcPr>
            <w:tcW w:type="dxa" w:w="312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12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GS</w:t>
            </w:r>
          </w:p>
        </w:tc>
        <w:tc>
          <w:tcPr>
            <w:tcW w:type="dxa" w:w="66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管理层已明确说了 Q3 的三个不利项;共识区间宽,存在没跟上的估计;但股价已 −10.5%(Q3)/ −21.8% 离高点,缓冲不小</w:t>
            </w:r>
          </w:p>
        </w:tc>
      </w:tr>
      <w:tr>
        <w:trPr>
          <w:cantSplit/>
        </w:trPr>
        <w:tc>
          <w:tcPr>
            <w:tcW w:type="dxa" w:w="312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BAC</w:t>
            </w:r>
          </w:p>
        </w:tc>
        <w:tc>
          <w:tcPr>
            <w:tcW w:type="dxa" w:w="66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管理层的 IB/S&amp;T 指引与共识不一致;费用刚性;但这是"已公开的坏消息",且 NII 偏高端、HTM 损失不进资本</w:t>
            </w:r>
          </w:p>
        </w:tc>
      </w:tr>
      <w:tr>
        <w:trPr>
          <w:cantSplit/>
        </w:trPr>
        <w:tc>
          <w:tcPr>
            <w:tcW w:type="dxa" w:w="312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HBAN</w:t>
            </w:r>
          </w:p>
        </w:tc>
        <w:tc>
          <w:tcPr>
            <w:tcW w:type="dxa" w:w="66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NII 增速被下调,共识要求改善;被多家降级</w:t>
            </w:r>
          </w:p>
        </w:tc>
      </w:tr>
      <w:tr>
        <w:trPr>
          <w:cantSplit/>
        </w:trPr>
        <w:tc>
          <w:tcPr>
            <w:tcW w:type="dxa" w:w="312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SCHW</w:t>
            </w:r>
          </w:p>
        </w:tc>
        <w:tc>
          <w:tcPr>
            <w:tcW w:type="dxa" w:w="66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共识已涨 +6%(3 个月)而我们略低;AOCI/TCE −43%、杠杆 21 倍</w:t>
            </w:r>
          </w:p>
        </w:tc>
      </w:tr>
      <w:tr>
        <w:trPr>
          <w:cantSplit/>
        </w:trPr>
        <w:tc>
          <w:tcPr>
            <w:tcW w:type="dxa" w:w="312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8"/>
              </w:rPr>
              <w:t>另类资管 / 抵押贷款 / 部分支付</w:t>
            </w:r>
          </w:p>
        </w:tc>
        <w:tc>
          <w:tcPr>
            <w:tcW w:type="dxa" w:w="66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这里是价格与定性判断,没有 driver 模型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6. 市场反应预期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6.1 价格背景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XLF Q3 ±0%,9 月 −7.1%,离 52 周高点 −8.4%。KBWB 9 月 −8.1%,KRE Q3 −6.7%(区域银行弱于大行)。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大行 1 个月:GS −10.6%、MS −10.9%、BAC −12.9%、JPM −6.1%、C −4.2%、WFC −7.8%。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离 52 周高点:C −12%、JPM −9%、MS −17%、GS −22%、BAC −17%、WFC −15%。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科技:SMH YTD +71.6%,QQQ 离高点只有 −0.7%。XLF YTD ≈ −1%。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6.2 启发式单日波动幅度(= 2 × 60 天波动率 / √252)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  <w:cantSplit/>
        </w:trPr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GS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MS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C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WFC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JPM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BAC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USB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PNC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SCHW</w:t>
            </w:r>
          </w:p>
        </w:tc>
        <w:tc>
          <w:tcPr>
            <w:tcW w:type="dxa" w:w="9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5"/>
              </w:rPr>
              <w:t>FITB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5"/>
              </w:rPr>
              <w:t>±4.5%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±3.4%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±3.4%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±3.0%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±2.3%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±2.6%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±2.4%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±2.1%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±2.9%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5"/>
              </w:rPr>
              <w:t>±2.5%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sz w:val="21"/>
        </w:rPr>
        <w:t>这是粗略代理,不是期权隐含值;下单前请核对实际期权隐含波动。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6.3 我们的反应预判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"利好兑现"概率较高</w:t>
      </w:r>
      <w:r>
        <w:rPr>
          <w:rFonts w:ascii="Calibri" w:hAnsi="Calibri" w:eastAsia="Microsoft YaHei" w:cs="Calibri"/>
          <w:sz w:val="21"/>
        </w:rPr>
        <w:t>:C、JPM、MS。EPS 超预期 + 指引不弱 + 1 个月跌幅 4–11%,更容易走出相对强势。但 JPM 的 whisper 已高于共识,空间有限。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"利空出尽"的可能</w:t>
      </w:r>
      <w:r>
        <w:rPr>
          <w:rFonts w:ascii="Calibri" w:hAnsi="Calibri" w:eastAsia="Microsoft YaHei" w:cs="Calibri"/>
          <w:sz w:val="21"/>
        </w:rPr>
        <w:t>:BAC、GS。若 EPS 低于共识,但 NII 指引或回购/资本指引好,反应可能比预期温和(BAC 已经有 −5% 单日反应)。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"利好出尽"的风险</w:t>
      </w:r>
      <w:r>
        <w:rPr>
          <w:rFonts w:ascii="Calibri" w:hAnsi="Calibri" w:eastAsia="Microsoft YaHei" w:cs="Calibri"/>
          <w:sz w:val="21"/>
        </w:rPr>
        <w:t>:STT(YTD +38.6%)、BNY(+25.6%)、BEN(+40.8%)、IBKR。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区域银行</w:t>
      </w:r>
      <w:r>
        <w:rPr>
          <w:rFonts w:ascii="Calibri" w:hAnsi="Calibri" w:eastAsia="Microsoft YaHei" w:cs="Calibri"/>
          <w:sz w:val="21"/>
        </w:rPr>
        <w:t>:反应更多受 AOCI/TBV、存款成本、CRE 与 NDFI 敞口的评论驱动,而不是 EPS 本身。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7. 资产负债表风险(</w:t>
      </w:r>
      <w:r>
        <w:rPr>
          <w:rFonts w:ascii="Consolas" w:hAnsi="Consolas" w:eastAsia="Microsoft YaHei" w:cs="Consolas"/>
          <w:color w:val="8B1A1A"/>
          <w:sz w:val="26"/>
        </w:rPr>
        <w:t>risk_scorecard.csv</w:t>
      </w:r>
      <w:r>
        <w:rPr>
          <w:rFonts w:ascii="Calibri" w:hAnsi="Calibri" w:eastAsia="Microsoft YaHei" w:cs="Calibri"/>
          <w:b/>
          <w:color w:val="1F4E79"/>
          <w:sz w:val="28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6"/>
        <w:gridCol w:w="1088"/>
        <w:gridCol w:w="832"/>
        <w:gridCol w:w="1448"/>
        <w:gridCol w:w="2109"/>
        <w:gridCol w:w="3579"/>
      </w:tblGrid>
      <w:tr>
        <w:trPr>
          <w:tblHeader w:val="true"/>
          <w:cantSplit/>
        </w:trPr>
        <w:tc>
          <w:tcPr>
            <w:tcW w:type="dxa" w:w="69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08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TCE/总资产</w:t>
            </w:r>
          </w:p>
        </w:tc>
        <w:tc>
          <w:tcPr>
            <w:tcW w:type="dxa" w:w="83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杠杆(倍)</w:t>
            </w:r>
          </w:p>
        </w:tc>
        <w:tc>
          <w:tcPr>
            <w:tcW w:type="dxa" w:w="144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AOCI 占 TCE</w:t>
            </w:r>
          </w:p>
        </w:tc>
        <w:tc>
          <w:tcPr>
            <w:tcW w:type="dxa" w:w="210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 AFS 追加冲击占 TCE</w:t>
            </w:r>
          </w:p>
        </w:tc>
        <w:tc>
          <w:tcPr>
            <w:tcW w:type="dxa" w:w="357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BNY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3.9%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25.8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−17.0%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−10.6%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久期用兜底值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KEY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7.6%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13.2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−16.2%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−8.2%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ALLY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6.7%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15.0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−20.4%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−7.8%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AFS 久期约 6 年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FITB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7.0%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14.3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−15.6%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−7.0%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NTRS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6.5%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15.3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−4.7%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−6.5%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久期兜底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COF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9.0%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11.2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−10.4%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−5.3%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RF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7.2%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13.9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−16.6%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−4.8%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AFS 规模为估计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SCHW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4.7%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21.2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−43.4%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−4.2%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HTM 未实现损失 $9.4B,另有 HTM 的 Q3 加码损失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ZION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8.6%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11.7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−24.5%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−4.2%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PNC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8.2%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12.2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−8.1%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−3.7%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6.1%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16.3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−5.9%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−3.6%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AFS 用公允价值代替,久期兜底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TFC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7.5%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13.4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−16.2%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−3.4%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AFS 规模为估计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CFG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6.8%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14.8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−14.3%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−3.2%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AFS 规模为估计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STT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4.1%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24.4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−6.9%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−3.1%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6.0%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16.7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−2.6%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−2.7%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USB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5.8%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17.1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−16.8%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−2.3%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5.0%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19.9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−7.5%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−2.1%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MTB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7.8%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12.9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−0.5%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−1.9%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69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08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4.7%</w:t>
            </w:r>
          </w:p>
        </w:tc>
        <w:tc>
          <w:tcPr>
            <w:tcW w:type="dxa" w:w="8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21.2</w:t>
            </w:r>
          </w:p>
        </w:tc>
        <w:tc>
          <w:tcPr>
            <w:tcW w:type="dxa" w:w="1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−2.8%</w:t>
            </w:r>
          </w:p>
        </w:tc>
        <w:tc>
          <w:tcPr>
            <w:tcW w:type="dxa" w:w="21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−1.8%</w:t>
            </w:r>
          </w:p>
        </w:tc>
        <w:tc>
          <w:tcPr>
            <w:tcW w:type="dxa" w:w="35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短久期国库券</w:t>
            </w:r>
          </w:p>
        </w:tc>
      </w:tr>
      <w:tr>
        <w:trPr>
          <w:cantSplit/>
        </w:trPr>
        <w:tc>
          <w:tcPr>
            <w:tcW w:type="dxa" w:w="69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08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5.9%</w:t>
            </w:r>
          </w:p>
        </w:tc>
        <w:tc>
          <w:tcPr>
            <w:tcW w:type="dxa" w:w="8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17.0</w:t>
            </w:r>
          </w:p>
        </w:tc>
        <w:tc>
          <w:tcPr>
            <w:tcW w:type="dxa" w:w="1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−5.8%</w:t>
            </w:r>
          </w:p>
        </w:tc>
        <w:tc>
          <w:tcPr>
            <w:tcW w:type="dxa" w:w="21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−1.2%</w:t>
            </w:r>
          </w:p>
        </w:tc>
        <w:tc>
          <w:tcPr>
            <w:tcW w:type="dxa" w:w="357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HTM 未实现损失 $82B(占 TCE 约 40%)不进资本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sz w:val="21"/>
        </w:rPr>
        <w:t>读法: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AOCI/TCE 反映累计伤害,Q3 追加冲击反映本季度的边际压力。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BAC 是教科书例子:AFS 久期只有约 1 年,所以资本几乎不受影响,但 HTM 的 $82B 浮亏(再加上 Q3 约 $14B 的新增)是"经济 TBV"的隐忧,只有在被迫出售或重分类时才会进资本。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该表为模型估算,不是监管资本。CET1 对 AOCI 的处理因银行分类而异(Category I–II 要计入,III–IV 通常选择退出)。</w:t>
      </w:r>
    </w:p>
    <w:p>
      <w:r>
        <w:rPr>
          <w:rFonts w:ascii="Calibri" w:hAnsi="Calibri" w:eastAsia="Microsoft YaHei" w:cs="Calibri"/>
          <w:b/>
          <w:sz w:val="21"/>
        </w:rPr>
        <w:t>信贷</w:t>
      </w:r>
      <w:r>
        <w:rPr>
          <w:rFonts w:ascii="Calibri" w:hAnsi="Calibri" w:eastAsia="Microsoft YaHei" w:cs="Calibri"/>
          <w:sz w:val="21"/>
        </w:rPr>
        <w:t>: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FDIC 数据显示净核销率 0.57%,逾期在改善。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NDFI/私募信贷贷款约 $1.7T,占银行贷款约 12%,违约率约 0.1%(对比 C&amp;I 1.4%),集中在 PNC、USB、TFC 等。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CRE:KEY 和 HBAN 的 NPA 比率上升 11–13bp,办公楼与多户住宅仍是尾部。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8. 历史类比:互联网泡沫、石油冲击、战争与加息</w:t>
      </w:r>
    </w:p>
    <w:p>
      <w:r>
        <w:rPr>
          <w:rFonts w:ascii="Calibri" w:hAnsi="Calibri" w:eastAsia="Microsoft YaHei" w:cs="Calibri"/>
          <w:sz w:val="21"/>
        </w:rPr>
        <w:t>来自 Ken French 48 行业月度市值加权收益(</w:t>
      </w:r>
      <w:r>
        <w:rPr>
          <w:rFonts w:ascii="Consolas" w:hAnsi="Consolas" w:eastAsia="Microsoft YaHei" w:cs="Consolas"/>
          <w:color w:val="8B1A1A"/>
          <w:sz w:val="19"/>
        </w:rPr>
        <w:t>historical_analogs.csv</w:t>
      </w:r>
      <w:r>
        <w:rPr>
          <w:rFonts w:ascii="Calibri" w:hAnsi="Calibri" w:eastAsia="Microsoft YaHei" w:cs="Calibri"/>
          <w:sz w:val="21"/>
        </w:rPr>
        <w:t>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9"/>
        <w:gridCol w:w="750"/>
        <w:gridCol w:w="1561"/>
        <w:gridCol w:w="896"/>
        <w:gridCol w:w="896"/>
        <w:gridCol w:w="2608"/>
      </w:tblGrid>
      <w:tr>
        <w:trPr>
          <w:tblHeader w:val="true"/>
          <w:cantSplit/>
        </w:trPr>
        <w:tc>
          <w:tcPr>
            <w:tcW w:type="dxa" w:w="303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5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56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券商/资管(Fin)</w:t>
            </w:r>
          </w:p>
        </w:tc>
        <w:tc>
          <w:tcPr>
            <w:tcW w:type="dxa" w:w="89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芯片</w:t>
            </w:r>
          </w:p>
        </w:tc>
        <w:tc>
          <w:tcPr>
            <w:tcW w:type="dxa" w:w="89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电脑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银行−科技(芯片/电脑/商业服务均值)</w:t>
            </w:r>
          </w:p>
        </w:tc>
      </w:tr>
      <w:tr>
        <w:trPr>
          <w:cantSplit/>
        </w:trPr>
        <w:tc>
          <w:tcPr>
            <w:tcW w:type="dxa" w:w="303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1973.10–74.12 石油禁运 + 滞胀</w:t>
            </w:r>
          </w:p>
        </w:tc>
        <w:tc>
          <w:tcPr>
            <w:tcW w:type="dxa" w:w="75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−43%</w:t>
            </w:r>
          </w:p>
        </w:tc>
        <w:tc>
          <w:tcPr>
            <w:tcW w:type="dxa" w:w="15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−41%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−51%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−38%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约 +3pp</w:t>
            </w:r>
          </w:p>
        </w:tc>
      </w:tr>
      <w:tr>
        <w:trPr>
          <w:cantSplit/>
        </w:trPr>
        <w:tc>
          <w:tcPr>
            <w:tcW w:type="dxa" w:w="303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1979–81 Volcker + 油价冲击</w:t>
            </w:r>
          </w:p>
        </w:tc>
        <w:tc>
          <w:tcPr>
            <w:tcW w:type="dxa" w:w="75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+41%</w:t>
            </w:r>
          </w:p>
        </w:tc>
        <w:tc>
          <w:tcPr>
            <w:tcW w:type="dxa" w:w="15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+69%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+60%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−10pp</w:t>
            </w:r>
          </w:p>
        </w:tc>
      </w:tr>
      <w:tr>
        <w:trPr>
          <w:cantSplit/>
        </w:trPr>
        <w:tc>
          <w:tcPr>
            <w:tcW w:type="dxa" w:w="303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1990.7–10 海湾战争油价冲击</w:t>
            </w:r>
          </w:p>
        </w:tc>
        <w:tc>
          <w:tcPr>
            <w:tcW w:type="dxa" w:w="75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−35%</w:t>
            </w:r>
          </w:p>
        </w:tc>
        <w:tc>
          <w:tcPr>
            <w:tcW w:type="dxa" w:w="15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−30%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−27%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−26%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−9pp</w:t>
            </w:r>
          </w:p>
        </w:tc>
      </w:tr>
      <w:tr>
        <w:trPr>
          <w:cantSplit/>
        </w:trPr>
        <w:tc>
          <w:tcPr>
            <w:tcW w:type="dxa" w:w="303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1998.10–2000.3 互联网泡沫上升期</w:t>
            </w:r>
          </w:p>
        </w:tc>
        <w:tc>
          <w:tcPr>
            <w:tcW w:type="dxa" w:w="75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+13%</w:t>
            </w:r>
          </w:p>
        </w:tc>
        <w:tc>
          <w:tcPr>
            <w:tcW w:type="dxa" w:w="15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+113%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+264%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+219%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−187pp</w:t>
            </w:r>
          </w:p>
        </w:tc>
      </w:tr>
      <w:tr>
        <w:trPr>
          <w:cantSplit/>
        </w:trPr>
        <w:tc>
          <w:tcPr>
            <w:tcW w:type="dxa" w:w="303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2000.4–2002.9 泡沫破裂</w:t>
            </w:r>
          </w:p>
        </w:tc>
        <w:tc>
          <w:tcPr>
            <w:tcW w:type="dxa" w:w="75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+4%</w:t>
            </w:r>
          </w:p>
        </w:tc>
        <w:tc>
          <w:tcPr>
            <w:tcW w:type="dxa" w:w="15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−40%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−84%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−83%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sz w:val="17"/>
              </w:rPr>
              <w:t>+84pp</w:t>
            </w:r>
          </w:p>
        </w:tc>
      </w:tr>
      <w:tr>
        <w:trPr>
          <w:cantSplit/>
        </w:trPr>
        <w:tc>
          <w:tcPr>
            <w:tcW w:type="dxa" w:w="303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1999 加息(4.75→5.50)</w:t>
            </w:r>
          </w:p>
        </w:tc>
        <w:tc>
          <w:tcPr>
            <w:tcW w:type="dxa" w:w="75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−7%</w:t>
            </w:r>
          </w:p>
        </w:tc>
        <w:tc>
          <w:tcPr>
            <w:tcW w:type="dxa" w:w="15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+6%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+72%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+68%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−71pp</w:t>
            </w:r>
          </w:p>
        </w:tc>
      </w:tr>
      <w:tr>
        <w:trPr>
          <w:cantSplit/>
        </w:trPr>
        <w:tc>
          <w:tcPr>
            <w:tcW w:type="dxa" w:w="303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2008.1–7 油价到 $147</w:t>
            </w:r>
          </w:p>
        </w:tc>
        <w:tc>
          <w:tcPr>
            <w:tcW w:type="dxa" w:w="75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−21%</w:t>
            </w:r>
          </w:p>
        </w:tc>
        <w:tc>
          <w:tcPr>
            <w:tcW w:type="dxa" w:w="15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−28%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−12%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−16%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−7pp</w:t>
            </w:r>
          </w:p>
        </w:tc>
      </w:tr>
      <w:tr>
        <w:trPr>
          <w:cantSplit/>
        </w:trPr>
        <w:tc>
          <w:tcPr>
            <w:tcW w:type="dxa" w:w="303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2022 全年(加息 + 乌克兰)</w:t>
            </w:r>
          </w:p>
        </w:tc>
        <w:tc>
          <w:tcPr>
            <w:tcW w:type="dxa" w:w="75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−16%</w:t>
            </w:r>
          </w:p>
        </w:tc>
        <w:tc>
          <w:tcPr>
            <w:tcW w:type="dxa" w:w="15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−15%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−29%</w:t>
            </w:r>
          </w:p>
        </w:tc>
        <w:tc>
          <w:tcPr>
            <w:tcW w:type="dxa" w:w="89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−20%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+12pp</w:t>
            </w:r>
          </w:p>
        </w:tc>
      </w:tr>
      <w:tr>
        <w:trPr>
          <w:cantSplit/>
        </w:trPr>
        <w:tc>
          <w:tcPr>
            <w:tcW w:type="dxa" w:w="303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2025.1–2026.9 AI 行情</w:t>
            </w:r>
          </w:p>
        </w:tc>
        <w:tc>
          <w:tcPr>
            <w:tcW w:type="dxa" w:w="75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+37%</w:t>
            </w:r>
          </w:p>
        </w:tc>
        <w:tc>
          <w:tcPr>
            <w:tcW w:type="dxa" w:w="15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+31%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+67%</w:t>
            </w:r>
          </w:p>
        </w:tc>
        <w:tc>
          <w:tcPr>
            <w:tcW w:type="dxa" w:w="89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+93%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−23pp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/>
          <w:sz w:val="21"/>
        </w:rPr>
        <w:t>可以说的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1.</w:t>
        <w:tab/>
      </w:r>
      <w:r>
        <w:rPr>
          <w:rFonts w:ascii="Calibri" w:hAnsi="Calibri" w:eastAsia="Microsoft YaHei" w:cs="Calibri"/>
          <w:sz w:val="21"/>
        </w:rPr>
        <w:t>当前最像 1999 年:科技大幅领先,银行相对落后,同时美联储在加息。在 1999 年加息期银行 −7%,芯片 +72%。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2.</w:t>
        <w:tab/>
      </w:r>
      <w:r>
        <w:rPr>
          <w:rFonts w:ascii="Calibri" w:hAnsi="Calibri" w:eastAsia="Microsoft YaHei" w:cs="Calibri"/>
          <w:sz w:val="21"/>
        </w:rPr>
        <w:t>1999–2000 的"泡沫期"银行落后 187 个百分点,但泡沫破裂后银行反而 +84pp 相对占优。方向是对的,但不应据此押注时点。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3.</w:t>
        <w:tab/>
      </w:r>
      <w:r>
        <w:rPr>
          <w:rFonts w:ascii="Calibri" w:hAnsi="Calibri" w:eastAsia="Microsoft YaHei" w:cs="Calibri"/>
          <w:sz w:val="21"/>
        </w:rPr>
        <w:t>油价与战争冲击期(1973–74、1990、2008)银行与科技一起下跌,说明在滞胀与油价冲击里,银行没有防御属性。1979–81 的 Volcker 期是反例:银行 +41%,因为利差扩大 + 通胀。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4.</w:t>
        <w:tab/>
      </w:r>
      <w:r>
        <w:rPr>
          <w:rFonts w:ascii="Calibri" w:hAnsi="Calibri" w:eastAsia="Microsoft YaHei" w:cs="Calibri"/>
          <w:sz w:val="21"/>
        </w:rPr>
        <w:t>2022 是最近的"加息 + 能源冲击"案例:银行 −16%,芯片 −29%。银行相对更抗跌,但绝对收益为负。</w:t>
      </w:r>
    </w:p>
    <w:p>
      <w:r>
        <w:rPr>
          <w:rFonts w:ascii="Calibri" w:hAnsi="Calibri" w:eastAsia="Microsoft YaHei" w:cs="Calibri"/>
          <w:b/>
          <w:sz w:val="21"/>
        </w:rPr>
        <w:t>不能说的</w:t>
      </w:r>
      <w:r>
        <w:rPr>
          <w:rFonts w:ascii="Calibri" w:hAnsi="Calibri" w:eastAsia="Microsoft YaHei" w:cs="Calibri"/>
          <w:sz w:val="21"/>
        </w:rPr>
        <w:t>:每个阶段本质上是一个样本,重叠时段多(油价、加息和估值同时变);没有做显著性检验;行业分类(French 48)与今天的 KBW 银行指数不同。这是"体制说明",不是预测。</w:t>
      </w:r>
    </w:p>
    <w:p>
      <w:r>
        <w:rPr>
          <w:rFonts w:ascii="Calibri" w:hAnsi="Calibri" w:eastAsia="Microsoft YaHei" w:cs="Calibri"/>
          <w:b/>
          <w:sz w:val="21"/>
        </w:rPr>
        <w:t>与今天的差异</w:t>
      </w:r>
      <w:r>
        <w:rPr>
          <w:rFonts w:ascii="Calibri" w:hAnsi="Calibri" w:eastAsia="Microsoft YaHei" w:cs="Calibri"/>
          <w:sz w:val="21"/>
        </w:rPr>
        <w:t>:当前 10Y 为 5.3%,而 1999 年 12 月月均约 6.3%(FRED GS10);2026 年的 NII 顺风来自长期低利率时代买入的固定利率资产在到期重定价;AOCI/HTM 的包袱是 2022 年以来的遗留问题。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9. 投资建议(情景化,非个性化)</w:t>
      </w:r>
    </w:p>
    <w:p>
      <w:r>
        <w:rPr>
          <w:rFonts w:ascii="Calibri" w:hAnsi="Calibri" w:eastAsia="Microsoft YaHei" w:cs="Calibri"/>
          <w:b/>
          <w:sz w:val="21"/>
        </w:rPr>
        <w:t>核心逻辑</w:t>
      </w:r>
      <w:r>
        <w:rPr>
          <w:rFonts w:ascii="Calibri" w:hAnsi="Calibri" w:eastAsia="Microsoft YaHei" w:cs="Calibri"/>
          <w:sz w:val="21"/>
        </w:rPr>
        <w:t>:财报是"相对预期"的游戏。当前的预期落差集中在 C/JPM/MS(偏正)和 BAC/GS/HBAN(偏负),而区域银行整体上更依赖 10 月 27–28 日 FOMC 与长端利率的路径。</w:t>
      </w:r>
    </w:p>
    <w:p>
      <w:r>
        <w:rPr>
          <w:rFonts w:ascii="Calibri" w:hAnsi="Calibri" w:eastAsia="Microsoft YaHei" w:cs="Calibri"/>
          <w:b/>
          <w:sz w:val="21"/>
        </w:rPr>
        <w:t>战术配置(财报前 1–2 周,到各自财报日)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1.</w:t>
        <w:tab/>
      </w:r>
      <w:r>
        <w:rPr>
          <w:rFonts w:ascii="Calibri" w:hAnsi="Calibri" w:eastAsia="Microsoft YaHei" w:cs="Calibri"/>
          <w:b/>
          <w:sz w:val="21"/>
        </w:rPr>
        <w:t>偏多</w:t>
      </w:r>
      <w:r>
        <w:rPr>
          <w:rFonts w:ascii="Calibri" w:hAnsi="Calibri" w:eastAsia="Microsoft YaHei" w:cs="Calibri"/>
          <w:sz w:val="21"/>
        </w:rPr>
        <w:t>:C、JPM、MS。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C 是模型里"EPS 差"最大、胜率最高的。JPM 提供较低波动(±2.3%)和较高确定性。MS 的叙事已被"3Q is no 2Q"打压。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仓位:单票不超过组合的 3–5%,按 ±3–4% 的单日波动设定止损。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2.</w:t>
        <w:tab/>
      </w:r>
      <w:r>
        <w:rPr>
          <w:rFonts w:ascii="Calibri" w:hAnsi="Calibri" w:eastAsia="Microsoft YaHei" w:cs="Calibri"/>
          <w:b/>
          <w:sz w:val="21"/>
        </w:rPr>
        <w:t>选择性偏多</w:t>
      </w:r>
      <w:r>
        <w:rPr>
          <w:rFonts w:ascii="Calibri" w:hAnsi="Calibri" w:eastAsia="Microsoft YaHei" w:cs="Calibri"/>
          <w:sz w:val="21"/>
        </w:rPr>
        <w:t>:FITB、USB。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指引质量高,但 AOCI/共识口径噪声较大,仓位减半。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3.</w:t>
        <w:tab/>
      </w:r>
      <w:r>
        <w:rPr>
          <w:rFonts w:ascii="Calibri" w:hAnsi="Calibri" w:eastAsia="Microsoft YaHei" w:cs="Calibri"/>
          <w:b/>
          <w:sz w:val="21"/>
        </w:rPr>
        <w:t>回避或对冲</w:t>
      </w:r>
      <w:r>
        <w:rPr>
          <w:rFonts w:ascii="Calibri" w:hAnsi="Calibri" w:eastAsia="Microsoft YaHei" w:cs="Calibri"/>
          <w:sz w:val="21"/>
        </w:rPr>
        <w:t>:BAC、GS、HBAN。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若持有,考虑用 XLF 或 KBWB 的认沽、或做多 C/JPM、做空 BAC/GS 的配对来对冲板块 beta。</w:t>
      </w:r>
    </w:p>
    <w:p>
      <w:pPr>
        <w:tabs>
          <w:tab w:pos="765" w:val="left"/>
        </w:tabs>
        <w:spacing w:after="60"/>
        <w:ind w:left="765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–</w:t>
        <w:tab/>
      </w:r>
      <w:r>
        <w:rPr>
          <w:rFonts w:ascii="Calibri" w:hAnsi="Calibri" w:eastAsia="Microsoft YaHei" w:cs="Calibri"/>
          <w:sz w:val="21"/>
        </w:rPr>
        <w:t>BAC 的风险在于 EPS 与共识的差距;但股价已提前反映,做空要谨慎,配对优于单边。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4.</w:t>
        <w:tab/>
      </w:r>
      <w:r>
        <w:rPr>
          <w:rFonts w:ascii="Calibri" w:hAnsi="Calibri" w:eastAsia="Microsoft YaHei" w:cs="Calibri"/>
          <w:b/>
          <w:sz w:val="21"/>
        </w:rPr>
        <w:t>不追</w:t>
      </w:r>
      <w:r>
        <w:rPr>
          <w:rFonts w:ascii="Calibri" w:hAnsi="Calibri" w:eastAsia="Microsoft YaHei" w:cs="Calibri"/>
          <w:sz w:val="21"/>
        </w:rPr>
        <w:t>:STT、BNY、BEN(涨幅高、杠杆高、AOCI 敏感)。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5.</w:t>
        <w:tab/>
      </w:r>
      <w:r>
        <w:rPr>
          <w:rFonts w:ascii="Calibri" w:hAnsi="Calibri" w:eastAsia="Microsoft YaHei" w:cs="Calibri"/>
          <w:b/>
          <w:sz w:val="21"/>
        </w:rPr>
        <w:t>区域银行(KRE/KBE)</w:t>
      </w:r>
      <w:r>
        <w:rPr>
          <w:rFonts w:ascii="Calibri" w:hAnsi="Calibri" w:eastAsia="Microsoft YaHei" w:cs="Calibri"/>
          <w:sz w:val="21"/>
        </w:rPr>
        <w:t>:整体比大行弱 6–7pp(Q3),但 NII 顺风是真实的,财报当日更看指引与存款成本。如果要布局,选 NII 指引在高端、AOCI 敞口小的(USB、PNC、FITB、CFG),回避 KEY(AOCI/TCE −8%)。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6.</w:t>
        <w:tab/>
      </w:r>
      <w:r>
        <w:rPr>
          <w:rFonts w:ascii="Calibri" w:hAnsi="Calibri" w:eastAsia="Microsoft YaHei" w:cs="Calibri"/>
          <w:b/>
          <w:sz w:val="21"/>
        </w:rPr>
        <w:t>另类资管 / 抵押贷款</w:t>
      </w:r>
      <w:r>
        <w:rPr>
          <w:rFonts w:ascii="Calibri" w:hAnsi="Calibri" w:eastAsia="Microsoft YaHei" w:cs="Calibri"/>
          <w:sz w:val="21"/>
        </w:rPr>
        <w:t>:价格已大幅下跌(离高点 −24%~−79%),但催化剂是利率与私募信贷估值,不是 Q3 EPS。除非有明确的利率回落判断,不建议用 Q3 财报作为入场理由。</w:t>
      </w:r>
    </w:p>
    <w:p>
      <w:r>
        <w:rPr>
          <w:rFonts w:ascii="Calibri" w:hAnsi="Calibri" w:eastAsia="Microsoft YaHei" w:cs="Calibri"/>
          <w:b/>
          <w:sz w:val="21"/>
        </w:rPr>
        <w:t>事件日历与触发点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10/13 JPM/C/WFC/GS:看 JPM 对 Q4 的 IB/Markets 评论、C 的 ROTCE 上修、WFC 的 NII 指引是否上调、GS 非薪酬费用的实际规模。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10/14 BAC/MS:BAC 的 NII 和费用指引;MS 的财富管理净新增资产与 IB 管线。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10/15–16 PNC/SCHW/USB/TFC/MTB/CFG/HBAN:NII 指引是否抬升,存款 beta,私募信贷与 CRE 评论。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10 月中旬 CPI 与 10/27–28 FOMC:若 10Y 突破 5.4%,AOCI/TBV 叙事会压倒盈利。</w:t>
      </w:r>
    </w:p>
    <w:p>
      <w:r>
        <w:rPr>
          <w:rFonts w:ascii="Calibri" w:hAnsi="Calibri" w:eastAsia="Microsoft YaHei" w:cs="Calibri"/>
          <w:b/>
          <w:sz w:val="21"/>
        </w:rPr>
        <w:t>什么情况下这些判断会失效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10 月第一周的资本市场活动(IPO、M&amp;A)显著好于 9 月的指引口径(Citi 已明确"最后几笔交易有上行空间")。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信贷突变:C&amp;I、CRE、NDFI 里出现单一的大额损失。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长端利率快速下行(对 NII 顺风是负面,对 AOCI 与估值是正面)。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10. 方法局限与数据质量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1.</w:t>
        <w:tab/>
      </w:r>
      <w:r>
        <w:rPr>
          <w:rFonts w:ascii="Calibri" w:hAnsi="Calibri" w:eastAsia="Microsoft YaHei" w:cs="Calibri"/>
          <w:b/>
          <w:sz w:val="21"/>
        </w:rPr>
        <w:t>共识数据来源混杂</w:t>
      </w:r>
      <w:r>
        <w:rPr>
          <w:rFonts w:ascii="Calibri" w:hAnsi="Calibri" w:eastAsia="Microsoft YaHei" w:cs="Calibri"/>
          <w:sz w:val="21"/>
        </w:rPr>
        <w:t>:MarketBeat、TickerLeague、Benzinga、Hudson Labs、Barchart、MarketWatch,口径(GAAP vs 调整)和更新时间不一致,GS 的共识区间从 $13.76 到 $16.54,BAC 的营收口径与 SEC 数据对不上。已在 CSV 中保留区间。TFC 共识为单一来源。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2.</w:t>
        <w:tab/>
      </w:r>
      <w:r>
        <w:rPr>
          <w:rFonts w:ascii="Calibri" w:hAnsi="Calibri" w:eastAsia="Microsoft YaHei" w:cs="Calibri"/>
          <w:b/>
          <w:sz w:val="21"/>
        </w:rPr>
        <w:t>模型依赖管理层指引和我手工设定的驱动项</w:t>
      </w:r>
      <w:r>
        <w:rPr>
          <w:rFonts w:ascii="Calibri" w:hAnsi="Calibri" w:eastAsia="Microsoft YaHei" w:cs="Calibri"/>
          <w:sz w:val="21"/>
        </w:rPr>
        <w:t>,不是估值模型。标准差是判断值,不是从历史校准的;因此 P(超共识)对假设敏感。尤其是 BAC(S&amp;T 与 NII 重叠口径)和 GS(投资线的实际规模)。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3.</w:t>
        <w:tab/>
      </w:r>
      <w:r>
        <w:rPr>
          <w:rFonts w:ascii="Calibri" w:hAnsi="Calibri" w:eastAsia="Microsoft YaHei" w:cs="Calibri"/>
          <w:b/>
          <w:sz w:val="21"/>
        </w:rPr>
        <w:t>Q2 基数</w:t>
      </w:r>
      <w:r>
        <w:rPr>
          <w:rFonts w:ascii="Calibri" w:hAnsi="Calibri" w:eastAsia="Microsoft YaHei" w:cs="Calibri"/>
          <w:sz w:val="21"/>
        </w:rPr>
        <w:t>:JPM 的干净 EPS 用公开的 $6.14;C、MS、WFC、GS 假设 Q2 无需调整(没有找到披露的一次性项目),若有,模型会系统性偏高。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4.</w:t>
        <w:tab/>
      </w:r>
      <w:r>
        <w:rPr>
          <w:rFonts w:ascii="Calibri" w:hAnsi="Calibri" w:eastAsia="Microsoft YaHei" w:cs="Calibri"/>
          <w:b/>
          <w:sz w:val="21"/>
        </w:rPr>
        <w:t>久期回归</w:t>
      </w:r>
      <w:r>
        <w:rPr>
          <w:rFonts w:ascii="Calibri" w:hAnsi="Calibri" w:eastAsia="Microsoft YaHei" w:cs="Calibri"/>
          <w:sz w:val="21"/>
        </w:rPr>
        <w:t xml:space="preserve">:基于 15–21 个季度、对单一基准利率的回归;AFS 部分银行用估计值(已标注 </w:t>
      </w:r>
      <w:r>
        <w:rPr>
          <w:rFonts w:ascii="Consolas" w:hAnsi="Consolas" w:eastAsia="Microsoft YaHei" w:cs="Consolas"/>
          <w:color w:val="8B1A1A"/>
          <w:sz w:val="19"/>
        </w:rPr>
        <w:t>est</w:t>
      </w:r>
      <w:r>
        <w:rPr>
          <w:rFonts w:ascii="Calibri" w:hAnsi="Calibri" w:eastAsia="Microsoft YaHei" w:cs="Calibri"/>
          <w:sz w:val="21"/>
        </w:rPr>
        <w:t>/</w:t>
      </w:r>
      <w:r>
        <w:rPr>
          <w:rFonts w:ascii="Consolas" w:hAnsi="Consolas" w:eastAsia="Microsoft YaHei" w:cs="Consolas"/>
          <w:color w:val="8B1A1A"/>
          <w:sz w:val="19"/>
        </w:rPr>
        <w:t>fallback</w:t>
      </w:r>
      <w:r>
        <w:rPr>
          <w:rFonts w:ascii="Calibri" w:hAnsi="Calibri" w:eastAsia="Microsoft YaHei" w:cs="Calibri"/>
          <w:sz w:val="21"/>
        </w:rPr>
        <w:t>),HBAN 和 C 因 XBRL 缺失未纳入资本表。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5.</w:t>
        <w:tab/>
      </w:r>
      <w:r>
        <w:rPr>
          <w:rFonts w:ascii="Calibri" w:hAnsi="Calibri" w:eastAsia="Microsoft YaHei" w:cs="Calibri"/>
          <w:b/>
          <w:sz w:val="21"/>
        </w:rPr>
        <w:t>启发式波动幅度</w:t>
      </w:r>
      <w:r>
        <w:rPr>
          <w:rFonts w:ascii="Calibri" w:hAnsi="Calibri" w:eastAsia="Microsoft YaHei" w:cs="Calibri"/>
          <w:sz w:val="21"/>
        </w:rPr>
        <w:t xml:space="preserve"> 不是期权隐含波动。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6.</w:t>
        <w:tab/>
      </w:r>
      <w:r>
        <w:rPr>
          <w:rFonts w:ascii="Calibri" w:hAnsi="Calibri" w:eastAsia="Microsoft YaHei" w:cs="Calibri"/>
          <w:b/>
          <w:sz w:val="21"/>
        </w:rPr>
        <w:t>历史类比</w:t>
      </w:r>
      <w:r>
        <w:rPr>
          <w:rFonts w:ascii="Calibri" w:hAnsi="Calibri" w:eastAsia="Microsoft YaHei" w:cs="Calibri"/>
          <w:sz w:val="21"/>
        </w:rPr>
        <w:t xml:space="preserve"> 是体制比较,不是预测。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7.</w:t>
        <w:tab/>
      </w:r>
      <w:r>
        <w:rPr>
          <w:rFonts w:ascii="Calibri" w:hAnsi="Calibri" w:eastAsia="Microsoft YaHei" w:cs="Calibri"/>
          <w:b/>
          <w:sz w:val="21"/>
        </w:rPr>
        <w:t>不包含</w:t>
      </w:r>
      <w:r>
        <w:rPr>
          <w:rFonts w:ascii="Calibri" w:hAnsi="Calibri" w:eastAsia="Microsoft YaHei" w:cs="Calibri"/>
          <w:sz w:val="21"/>
        </w:rPr>
        <w:t>:卖方对每个条目的详细 bridge、实际期权偏斜、仓位数据(13F、融券)、以及非公开的渠道信息——环境内拿不到。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8.</w:t>
        <w:tab/>
      </w:r>
      <w:r>
        <w:rPr>
          <w:rFonts w:ascii="Calibri" w:hAnsi="Calibri" w:eastAsia="Microsoft YaHei" w:cs="Calibri"/>
          <w:b/>
          <w:sz w:val="21"/>
        </w:rPr>
        <w:t>未在本次重新核对的前提</w:t>
      </w:r>
      <w:r>
        <w:rPr>
          <w:rFonts w:ascii="Calibri" w:hAnsi="Calibri" w:eastAsia="Microsoft YaHei" w:cs="Calibri"/>
          <w:sz w:val="21"/>
        </w:rPr>
        <w:t>:"Q3 IPO 去掉巨型交易后降温、宣布并购金额环比约 −41%"来自此前的检索,本次只用 BAC/C/JPM/PNC 的管理层口径做了交叉印证。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/>
          <w:sz w:val="21"/>
        </w:rPr>
        <w:t>9.</w:t>
        <w:tab/>
      </w:r>
      <w:r>
        <w:rPr>
          <w:rFonts w:ascii="Calibri" w:hAnsi="Calibri" w:eastAsia="Microsoft YaHei" w:cs="Calibri"/>
          <w:b/>
          <w:sz w:val="21"/>
        </w:rPr>
        <w:t>时效</w:t>
      </w:r>
      <w:r>
        <w:rPr>
          <w:rFonts w:ascii="Calibri" w:hAnsi="Calibri" w:eastAsia="Microsoft YaHei" w:cs="Calibri"/>
          <w:sz w:val="21"/>
        </w:rPr>
        <w:t>:所有数据截至 2026-10-02。部分财报日期是估计(MarketBeat 标注"based on past reporting schedules"),请以公司公告为准。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附录:文件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5"/>
        <w:gridCol w:w="3986"/>
      </w:tblGrid>
      <w:tr>
        <w:trPr>
          <w:tblHeader w:val="true"/>
          <w:cantSplit/>
        </w:trPr>
        <w:tc>
          <w:tcPr>
            <w:tcW w:type="dxa" w:w="576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98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research/scripts/fetch_macro.py</w:t>
            </w:r>
            <w:r>
              <w:rPr>
                <w:rFonts w:ascii="Calibri" w:hAnsi="Calibri" w:eastAsia="Microsoft YaHei" w:cs="Calibri"/>
                <w:sz w:val="18"/>
              </w:rPr>
              <w:t xml:space="preserve">, </w:t>
            </w:r>
            <w:r>
              <w:rPr>
                <w:rFonts w:ascii="Consolas" w:hAnsi="Consolas" w:eastAsia="Microsoft YaHei" w:cs="Consolas"/>
                <w:color w:val="8B1A1A"/>
                <w:sz w:val="16"/>
              </w:rPr>
              <w:t>macro_analysis.py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FRED 宏观序列与季度分析</w:t>
            </w:r>
          </w:p>
        </w:tc>
      </w:tr>
      <w:tr>
        <w:trPr>
          <w:cantSplit/>
        </w:trPr>
        <w:tc>
          <w:tcPr>
            <w:tcW w:type="dxa" w:w="576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research/scripts/fetch_sec_facts*.py</w:t>
            </w:r>
            <w:r>
              <w:rPr>
                <w:rFonts w:ascii="Calibri" w:hAnsi="Calibri" w:eastAsia="Microsoft YaHei" w:cs="Calibri"/>
                <w:sz w:val="18"/>
              </w:rPr>
              <w:t xml:space="preserve">, </w:t>
            </w:r>
            <w:r>
              <w:rPr>
                <w:rFonts w:ascii="Consolas" w:hAnsi="Consolas" w:eastAsia="Microsoft YaHei" w:cs="Consolas"/>
                <w:color w:val="8B1A1A"/>
                <w:sz w:val="16"/>
              </w:rPr>
              <w:t>build_quarterly.py</w:t>
            </w:r>
            <w:r>
              <w:rPr>
                <w:rFonts w:ascii="Calibri" w:hAnsi="Calibri" w:eastAsia="Microsoft YaHei" w:cs="Calibri"/>
                <w:sz w:val="18"/>
              </w:rPr>
              <w:t xml:space="preserve">, </w:t>
            </w:r>
            <w:r>
              <w:rPr>
                <w:rFonts w:ascii="Consolas" w:hAnsi="Consolas" w:eastAsia="Microsoft YaHei" w:cs="Consolas"/>
                <w:color w:val="8B1A1A"/>
                <w:sz w:val="16"/>
              </w:rPr>
              <w:t>fetch_filing_reports.py</w:t>
            </w:r>
            <w:r>
              <w:rPr>
                <w:rFonts w:ascii="Calibri" w:hAnsi="Calibri" w:eastAsia="Microsoft YaHei" w:cs="Calibri"/>
                <w:sz w:val="18"/>
              </w:rPr>
              <w:t xml:space="preserve">, </w:t>
            </w:r>
            <w:r>
              <w:rPr>
                <w:rFonts w:ascii="Consolas" w:hAnsi="Consolas" w:eastAsia="Microsoft YaHei" w:cs="Consolas"/>
                <w:color w:val="8B1A1A"/>
                <w:sz w:val="16"/>
              </w:rPr>
              <w:t>fetch_rate_sensitivity.py</w:t>
            </w:r>
          </w:p>
        </w:tc>
        <w:tc>
          <w:tcPr>
            <w:tcW w:type="dxa" w:w="398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SEC EDGAR XBRL 与 10-Q 表格/文字抽取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research/scripts/duration_engine.py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经验久期回归</w:t>
            </w:r>
          </w:p>
        </w:tc>
      </w:tr>
      <w:tr>
        <w:trPr>
          <w:cantSplit/>
        </w:trPr>
        <w:tc>
          <w:tcPr>
            <w:tcW w:type="dxa" w:w="576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research/scripts/fetch_prices.py</w:t>
            </w:r>
            <w:r>
              <w:rPr>
                <w:rFonts w:ascii="Calibri" w:hAnsi="Calibri" w:eastAsia="Microsoft YaHei" w:cs="Calibri"/>
                <w:sz w:val="18"/>
              </w:rPr>
              <w:t xml:space="preserve">, </w:t>
            </w:r>
            <w:r>
              <w:rPr>
                <w:rFonts w:ascii="Consolas" w:hAnsi="Consolas" w:eastAsia="Microsoft YaHei" w:cs="Consolas"/>
                <w:color w:val="8B1A1A"/>
                <w:sz w:val="16"/>
              </w:rPr>
              <w:t>price_analysis.py</w:t>
            </w:r>
          </w:p>
        </w:tc>
        <w:tc>
          <w:tcPr>
            <w:tcW w:type="dxa" w:w="398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价格与统计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research/scripts/baseline_panel.py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Q2 基数面板</w:t>
            </w:r>
          </w:p>
        </w:tc>
      </w:tr>
      <w:tr>
        <w:trPr>
          <w:cantSplit/>
        </w:trPr>
        <w:tc>
          <w:tcPr>
            <w:tcW w:type="dxa" w:w="576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research/scripts/q3_model.py</w:t>
            </w:r>
          </w:p>
        </w:tc>
        <w:tc>
          <w:tcPr>
            <w:tcW w:type="dxa" w:w="3986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EPS bridge + 蒙特卡洛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research/scripts/risk_scorecard.py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TCE、杠杆、AOCI 情景</w:t>
            </w:r>
          </w:p>
        </w:tc>
      </w:tr>
      <w:tr>
        <w:trPr>
          <w:cantSplit/>
        </w:trPr>
        <w:tc>
          <w:tcPr>
            <w:tcW w:type="dxa" w:w="576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research/scripts/summary_table.py</w:t>
            </w:r>
          </w:p>
        </w:tc>
        <w:tc>
          <w:tcPr>
            <w:tcW w:type="dxa" w:w="398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综合排序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research/scripts/historical_analogs.py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历史类比</w:t>
            </w:r>
          </w:p>
        </w:tc>
      </w:tr>
      <w:tr>
        <w:trPr>
          <w:cantSplit/>
        </w:trPr>
        <w:tc>
          <w:tcPr>
            <w:tcW w:type="dxa" w:w="576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research/output/*.csv</w:t>
            </w:r>
          </w:p>
        </w:tc>
        <w:tc>
          <w:tcPr>
            <w:tcW w:type="dxa" w:w="398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全部输出</w:t>
            </w:r>
          </w:p>
        </w:tc>
      </w:tr>
      <w:tr>
        <w:trPr>
          <w:cantSplit/>
        </w:trPr>
        <w:tc>
          <w:tcPr>
            <w:tcW w:type="dxa" w:w="5765"/>
          </w:tcPr>
          <w:p>
            <w:pPr>
              <w:spacing w:after="20" w:before="20" w:line="252" w:lineRule="auto"/>
              <w:jc w:val="left"/>
            </w:pPr>
            <w:r>
              <w:rPr>
                <w:rFonts w:ascii="Consolas" w:hAnsi="Consolas" w:eastAsia="Microsoft YaHei" w:cs="Consolas"/>
                <w:color w:val="8B1A1A"/>
                <w:sz w:val="16"/>
              </w:rPr>
              <w:t>research/data/consensus_q3_2026.csv</w:t>
            </w:r>
          </w:p>
        </w:tc>
        <w:tc>
          <w:tcPr>
            <w:tcW w:type="dxa" w:w="398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共识与来源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 w:cs="Calibri"/>
          <w:b/>
          <w:color w:val="1F4E79"/>
          <w:sz w:val="34"/>
        </w:rPr>
        <w:t>第二部分 图表与补充分析</w:t>
      </w:r>
    </w:p>
    <w:p>
      <w:r>
        <w:rPr>
          <w:rFonts w:ascii="Calibri" w:hAnsi="Calibri" w:eastAsia="Microsoft YaHei" w:cs="Calibri"/>
          <w:sz w:val="21"/>
        </w:rPr>
        <w:t xml:space="preserve">本部分的图表、表格都由 </w:t>
      </w:r>
      <w:r>
        <w:rPr>
          <w:rFonts w:ascii="Consolas" w:hAnsi="Consolas" w:eastAsia="Microsoft YaHei" w:cs="Consolas"/>
          <w:color w:val="8B1A1A"/>
          <w:sz w:val="19"/>
        </w:rPr>
        <w:t>research/scripts/</w:t>
      </w:r>
      <w:r>
        <w:rPr>
          <w:rFonts w:ascii="Calibri" w:hAnsi="Calibri" w:eastAsia="Microsoft YaHei" w:cs="Calibri"/>
          <w:sz w:val="21"/>
        </w:rPr>
        <w:t xml:space="preserve"> 下的脚本从 SEC XBRL、10-Q 表格、FRED 与价格数据生成,可复现。第 11-17 节与第一部分的第 1-9 节对应。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11. 利率期限结构:这个季度发生了什么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705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yield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0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图1:国债收益率曲线:各季度末的形状(左),Q3 各期限变动(右)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4"/>
        <w:gridCol w:w="1864"/>
        <w:gridCol w:w="1864"/>
        <w:gridCol w:w="1864"/>
        <w:gridCol w:w="1424"/>
        <w:gridCol w:w="1309"/>
      </w:tblGrid>
      <w:tr>
        <w:trPr>
          <w:tblHeader w:val="true"/>
          <w:cantSplit/>
        </w:trPr>
        <w:tc>
          <w:tcPr>
            <w:tcW w:type="dxa" w:w="142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186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2025-09-30 (%)</w:t>
            </w:r>
          </w:p>
        </w:tc>
        <w:tc>
          <w:tcPr>
            <w:tcW w:type="dxa" w:w="186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2026-06-30 (%)</w:t>
            </w:r>
          </w:p>
        </w:tc>
        <w:tc>
          <w:tcPr>
            <w:tcW w:type="dxa" w:w="186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2026-09-30 (%)</w:t>
            </w:r>
          </w:p>
        </w:tc>
        <w:tc>
          <w:tcPr>
            <w:tcW w:type="dxa" w:w="142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 变动 (bp)</w:t>
            </w:r>
          </w:p>
        </w:tc>
        <w:tc>
          <w:tcPr>
            <w:tcW w:type="dxa" w:w="130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同比变动 (bp)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1M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4.20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3.70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4.02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+32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-18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3M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4.02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3.87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4.20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+33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+18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6M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3.83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4.01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4.33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+32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+50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1Y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3.68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3.98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4.54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+56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+86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2Y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3.60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4.14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4.88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+74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+128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3Y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3.61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4.15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5.00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+85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+139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5Y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3.74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4.19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5.09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+90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+135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7Y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3.93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4.30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5.19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+89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+126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10Y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4.16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4.44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5.29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+85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+113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20Y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4.71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4.93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5.68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+75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+97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30Y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4.73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4.91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5.64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+73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+91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30Y 按揭利率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6.30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6.49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7.03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+54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+73</w:t>
            </w:r>
          </w:p>
        </w:tc>
      </w:tr>
      <w:tr>
        <w:trPr>
          <w:cantSplit/>
        </w:trPr>
        <w:tc>
          <w:tcPr>
            <w:tcW w:type="dxa" w:w="142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联邦基金有效利率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4.09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3.63</w:t>
            </w:r>
          </w:p>
        </w:tc>
        <w:tc>
          <w:tcPr>
            <w:tcW w:type="dxa" w:w="18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3.88</w:t>
            </w:r>
          </w:p>
        </w:tc>
        <w:tc>
          <w:tcPr>
            <w:tcW w:type="dxa" w:w="14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+25</w:t>
            </w:r>
          </w:p>
        </w:tc>
        <w:tc>
          <w:tcPr>
            <w:tcW w:type="dxa" w:w="130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-21</w:t>
            </w:r>
          </w:p>
        </w:tc>
      </w:tr>
      <w:tr>
        <w:trPr>
          <w:cantSplit/>
        </w:trPr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2s10s (bp)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56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30</w:t>
            </w:r>
          </w:p>
        </w:tc>
        <w:tc>
          <w:tcPr>
            <w:tcW w:type="dxa" w:w="18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41</w:t>
            </w:r>
          </w:p>
        </w:tc>
        <w:tc>
          <w:tcPr>
            <w:tcW w:type="dxa" w:w="14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+11</w:t>
            </w:r>
          </w:p>
        </w:tc>
        <w:tc>
          <w:tcPr>
            <w:tcW w:type="dxa" w:w="130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-15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数据:FRED。2s10s 与变动单位为 bp,其余为 %。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形状</w:t>
      </w:r>
      <w:r>
        <w:rPr>
          <w:rFonts w:ascii="Calibri" w:hAnsi="Calibri" w:eastAsia="Microsoft YaHei" w:cs="Calibri"/>
          <w:sz w:val="21"/>
        </w:rPr>
        <w:t>:Q3 的上行不是平行移动。短端(1M-6M)只涨约 32-33bp,1Y 涨 56bp,2Y 涨 74bp,3Y-7Y 涨 85-90bp(5Y 最大),10Y 涨 85bp,20Y-30Y 涨约 73-75bp。涨幅最大的是中段(5Y 附近),所以 3M 到 5Y 之间的斜率明显变陡。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2s10s</w:t>
      </w:r>
      <w:r>
        <w:rPr>
          <w:rFonts w:ascii="Calibri" w:hAnsi="Calibri" w:eastAsia="Microsoft YaHei" w:cs="Calibri"/>
          <w:sz w:val="21"/>
        </w:rPr>
        <w:t>:季末为 41bp,季初为 30bp,只多 11bp,但路径不平:9/22 一度收窄到约 22bp(图 3 右)。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同比对比(期间可比性)</w:t>
      </w:r>
      <w:r>
        <w:rPr>
          <w:rFonts w:ascii="Calibri" w:hAnsi="Calibri" w:eastAsia="Microsoft YaHei" w:cs="Calibri"/>
          <w:sz w:val="21"/>
        </w:rPr>
        <w:t>:和一年前(2025-09-30)相比,2Y 高 128bp,10Y 高 113bp,而联邦基金有效利率反而低 21bp(4.09% 到 3.88%)。也就是说,中长端的上行主要不是政策利率推动的。2s10s 同比反而更窄(56bp 到 41bp)。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季均 vs 期末</w:t>
      </w:r>
      <w:r>
        <w:rPr>
          <w:rFonts w:ascii="Calibri" w:hAnsi="Calibri" w:eastAsia="Microsoft YaHei" w:cs="Calibri"/>
          <w:sz w:val="21"/>
        </w:rPr>
        <w:t>:联邦基金有效利率 Q3 季均比 Q2 只高 4bp,因为 9/16 才加息;期末比 6/30 高 25bp。负债成本的上行主要在 Q4 兑现。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602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rate_b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0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图2:各季度末的政策利率与基准利率(柱状图)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532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q3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3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图3:Q3 日度走势(左)与 2s10s 利差(右)</w:t>
      </w:r>
    </w:p>
    <w:p>
      <w:r>
        <w:rPr>
          <w:rFonts w:ascii="Calibri" w:hAnsi="Calibri" w:eastAsia="Microsoft YaHei" w:cs="Calibri"/>
          <w:i/>
          <w:sz w:val="21"/>
        </w:rPr>
        <w:t>图 2 的柱状图把 9 个季度并排放在一起:从 2025Q3 到 2026Q2 政策利率从 4.09% 降到 3.63%,而 10Y 从 4.16% 升到 4.44%,2026Q3 长端再大幅抬升;这就是 Q3 的「长端先动、政策利率后动」的背景。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12. 期限结构变化如何传导到存款成本与贷款收入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737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transmi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3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图4:各参考利率的变动(左)与每 $1000 亿重定价余额的年化影响(右)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1"/>
        <w:gridCol w:w="3036"/>
        <w:gridCol w:w="2624"/>
        <w:gridCol w:w="1261"/>
      </w:tblGrid>
      <w:tr>
        <w:trPr>
          <w:tblHeader w:val="true"/>
          <w:cantSplit/>
        </w:trPr>
        <w:tc>
          <w:tcPr>
            <w:tcW w:type="dxa" w:w="283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银行产品/资产</w:t>
            </w:r>
          </w:p>
        </w:tc>
        <w:tc>
          <w:tcPr>
            <w:tcW w:type="dxa" w:w="30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对应参考利率</w:t>
            </w:r>
          </w:p>
        </w:tc>
        <w:tc>
          <w:tcPr>
            <w:tcW w:type="dxa" w:w="262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Q3 变动 (bp)</w:t>
            </w:r>
          </w:p>
        </w:tc>
        <w:tc>
          <w:tcPr>
            <w:tcW w:type="dxa" w:w="126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活期/储蓄存款(季均)</w:t>
            </w:r>
          </w:p>
        </w:tc>
        <w:tc>
          <w:tcPr>
            <w:tcW w:type="dxa" w:w="30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联邦基金有效利率(季均)</w:t>
            </w:r>
          </w:p>
        </w:tc>
        <w:tc>
          <w:tcPr>
            <w:tcW w:type="dxa" w:w="26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+4</w:t>
            </w:r>
          </w:p>
        </w:tc>
        <w:tc>
          <w:tcPr>
            <w:tcW w:type="dxa" w:w="12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负债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活期/储蓄存款(期末)</w:t>
            </w:r>
          </w:p>
        </w:tc>
        <w:tc>
          <w:tcPr>
            <w:tcW w:type="dxa" w:w="30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联邦基金有效利率(期末)</w:t>
            </w:r>
          </w:p>
        </w:tc>
        <w:tc>
          <w:tcPr>
            <w:tcW w:type="dxa" w:w="26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+25</w:t>
            </w:r>
          </w:p>
        </w:tc>
        <w:tc>
          <w:tcPr>
            <w:tcW w:type="dxa" w:w="12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负债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同业/大额存单</w:t>
            </w:r>
          </w:p>
        </w:tc>
        <w:tc>
          <w:tcPr>
            <w:tcW w:type="dxa" w:w="30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3M</w:t>
            </w:r>
          </w:p>
        </w:tc>
        <w:tc>
          <w:tcPr>
            <w:tcW w:type="dxa" w:w="26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+33</w:t>
            </w:r>
          </w:p>
        </w:tc>
        <w:tc>
          <w:tcPr>
            <w:tcW w:type="dxa" w:w="12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负债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1 年期定存</w:t>
            </w:r>
          </w:p>
        </w:tc>
        <w:tc>
          <w:tcPr>
            <w:tcW w:type="dxa" w:w="30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1Y</w:t>
            </w:r>
          </w:p>
        </w:tc>
        <w:tc>
          <w:tcPr>
            <w:tcW w:type="dxa" w:w="26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+56</w:t>
            </w:r>
          </w:p>
        </w:tc>
        <w:tc>
          <w:tcPr>
            <w:tcW w:type="dxa" w:w="12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负债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短久期证券</w:t>
            </w:r>
          </w:p>
        </w:tc>
        <w:tc>
          <w:tcPr>
            <w:tcW w:type="dxa" w:w="30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2Y</w:t>
            </w:r>
          </w:p>
        </w:tc>
        <w:tc>
          <w:tcPr>
            <w:tcW w:type="dxa" w:w="26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+74</w:t>
            </w:r>
          </w:p>
        </w:tc>
        <w:tc>
          <w:tcPr>
            <w:tcW w:type="dxa" w:w="12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资产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商业贷款/汽车贷</w:t>
            </w:r>
          </w:p>
        </w:tc>
        <w:tc>
          <w:tcPr>
            <w:tcW w:type="dxa" w:w="30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5Y</w:t>
            </w:r>
          </w:p>
        </w:tc>
        <w:tc>
          <w:tcPr>
            <w:tcW w:type="dxa" w:w="26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+90</w:t>
            </w:r>
          </w:p>
        </w:tc>
        <w:tc>
          <w:tcPr>
            <w:tcW w:type="dxa" w:w="12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资产</w:t>
            </w:r>
          </w:p>
        </w:tc>
      </w:tr>
      <w:tr>
        <w:trPr>
          <w:cantSplit/>
        </w:trPr>
        <w:tc>
          <w:tcPr>
            <w:tcW w:type="dxa" w:w="283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MBS/商业地产</w:t>
            </w:r>
          </w:p>
        </w:tc>
        <w:tc>
          <w:tcPr>
            <w:tcW w:type="dxa" w:w="30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10Y</w:t>
            </w:r>
          </w:p>
        </w:tc>
        <w:tc>
          <w:tcPr>
            <w:tcW w:type="dxa" w:w="262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+85</w:t>
            </w:r>
          </w:p>
        </w:tc>
        <w:tc>
          <w:tcPr>
            <w:tcW w:type="dxa" w:w="12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资产</w:t>
            </w:r>
          </w:p>
        </w:tc>
      </w:tr>
      <w:tr>
        <w:trPr>
          <w:cantSplit/>
        </w:trPr>
        <w:tc>
          <w:tcPr>
            <w:tcW w:type="dxa" w:w="283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住房抵押贷款</w:t>
            </w:r>
          </w:p>
        </w:tc>
        <w:tc>
          <w:tcPr>
            <w:tcW w:type="dxa" w:w="30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30Y 按揭利率</w:t>
            </w:r>
          </w:p>
        </w:tc>
        <w:tc>
          <w:tcPr>
            <w:tcW w:type="dxa" w:w="262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+54</w:t>
            </w:r>
          </w:p>
        </w:tc>
        <w:tc>
          <w:tcPr>
            <w:tcW w:type="dxa" w:w="12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资产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示意性测算(每 $1000 亿重定价余额)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4"/>
        <w:gridCol w:w="3347"/>
      </w:tblGrid>
      <w:tr>
        <w:trPr>
          <w:tblHeader w:val="true"/>
          <w:cantSplit/>
        </w:trPr>
        <w:tc>
          <w:tcPr>
            <w:tcW w:type="dxa" w:w="640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4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年化金额 ($M)</w:t>
            </w:r>
          </w:p>
        </w:tc>
      </w:tr>
      <w:tr>
        <w:trPr>
          <w:cantSplit/>
        </w:trPr>
        <w:tc>
          <w:tcPr>
            <w:tcW w:type="dxa" w:w="640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新增或再投资 5Y 资产的收入增量</w:t>
            </w:r>
          </w:p>
        </w:tc>
        <w:tc>
          <w:tcPr>
            <w:tcW w:type="dxa" w:w="334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+900</w:t>
            </w:r>
          </w:p>
        </w:tc>
      </w:tr>
      <w:tr>
        <w:trPr>
          <w:cantSplit/>
        </w:trPr>
        <w:tc>
          <w:tcPr>
            <w:tcW w:type="dxa" w:w="640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新增或再投资 10Y 资产的收入增量</w:t>
            </w:r>
          </w:p>
        </w:tc>
        <w:tc>
          <w:tcPr>
            <w:tcW w:type="dxa" w:w="334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+850</w:t>
            </w:r>
          </w:p>
        </w:tc>
      </w:tr>
      <w:tr>
        <w:trPr>
          <w:cantSplit/>
        </w:trPr>
        <w:tc>
          <w:tcPr>
            <w:tcW w:type="dxa" w:w="640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存款成本增量(季均口径,β=40%)</w:t>
            </w:r>
          </w:p>
        </w:tc>
        <w:tc>
          <w:tcPr>
            <w:tcW w:type="dxa" w:w="334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-15</w:t>
            </w:r>
          </w:p>
        </w:tc>
      </w:tr>
      <w:tr>
        <w:trPr>
          <w:cantSplit/>
        </w:trPr>
        <w:tc>
          <w:tcPr>
            <w:tcW w:type="dxa" w:w="640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存款成本增量(期末口径,β=40%)</w:t>
            </w:r>
          </w:p>
        </w:tc>
        <w:tc>
          <w:tcPr>
            <w:tcW w:type="dxa" w:w="334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-100</w:t>
            </w:r>
          </w:p>
        </w:tc>
      </w:tr>
      <w:tr>
        <w:trPr>
          <w:cantSplit/>
        </w:trPr>
        <w:tc>
          <w:tcPr>
            <w:tcW w:type="dxa" w:w="640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存款成本增量(期末口径,β=60%)</w:t>
            </w:r>
          </w:p>
        </w:tc>
        <w:tc>
          <w:tcPr>
            <w:tcW w:type="dxa" w:w="334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-150</w:t>
            </w:r>
          </w:p>
        </w:tc>
      </w:tr>
    </w:tbl>
    <w:p>
      <w:pPr>
        <w:spacing w:after="40"/>
      </w:pP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含义</w:t>
      </w:r>
      <w:r>
        <w:rPr>
          <w:rFonts w:ascii="Calibri" w:hAnsi="Calibri" w:eastAsia="Microsoft YaHei" w:cs="Calibri"/>
          <w:sz w:val="21"/>
        </w:rPr>
        <w:t>:每 $1000 亿资产在新利率上重定价,年化多收约 $900M(5Y 口径),而 Q3 季均的存款成本只多付约 $15M。这就是第 0 节说的「资产重定价先于负债」的 NII 顺风。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但顺风会收窄</w:t>
      </w:r>
      <w:r>
        <w:rPr>
          <w:rFonts w:ascii="Calibri" w:hAnsi="Calibri" w:eastAsia="Microsoft YaHei" w:cs="Calibri"/>
          <w:sz w:val="21"/>
        </w:rPr>
        <w:t>:按期末利率、β=40% 算,存款成本多付 $100M;β 升到 60% 则是 $150M。Q4 起存款成本才完整反映 9/16 的加息,所以顺风是逐季衰减的。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只有一部分资产会重定价</w:t>
      </w:r>
      <w:r>
        <w:rPr>
          <w:rFonts w:ascii="Calibri" w:hAnsi="Calibri" w:eastAsia="Microsoft YaHei" w:cs="Calibri"/>
          <w:sz w:val="21"/>
        </w:rPr>
        <w:t>:实际 NII 只受当期到期和新增的那部分资产影响。因此图是上限的示意,不是 NII 预测。NII 的预测见第 3.1 节与第 4 节的 bridge。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假设</w:t>
      </w:r>
      <w:r>
        <w:rPr>
          <w:rFonts w:ascii="Calibri" w:hAnsi="Calibri" w:eastAsia="Microsoft YaHei" w:cs="Calibri"/>
          <w:sz w:val="21"/>
        </w:rPr>
        <w:t>:100% 的 $1000 亿余额按「Q3 末利率 − Q2 末利率」重定价;存款 β=40% 是假设值,不是披露值。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13. 六大行分部门收入:近两年走势与 Q3 预测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116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eg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1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图5:分部门收入(堆叠柱,$bn):24Q3-26Q2 实际与 26Q3E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"/>
        <w:gridCol w:w="1187"/>
        <w:gridCol w:w="3453"/>
        <w:gridCol w:w="1373"/>
        <w:gridCol w:w="1373"/>
        <w:gridCol w:w="1373"/>
      </w:tblGrid>
      <w:tr>
        <w:trPr>
          <w:tblHeader w:val="true"/>
          <w:cantSplit/>
        </w:trPr>
        <w:tc>
          <w:tcPr>
            <w:tcW w:type="dxa" w:w="99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18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Q3'25</w:t>
            </w:r>
          </w:p>
        </w:tc>
        <w:tc>
          <w:tcPr>
            <w:tcW w:type="dxa" w:w="345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Q2'26(JPM 已剔除 Visa)</w:t>
            </w:r>
          </w:p>
        </w:tc>
        <w:tc>
          <w:tcPr>
            <w:tcW w:type="dxa" w:w="137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Q3'26E</w:t>
            </w:r>
          </w:p>
        </w:tc>
        <w:tc>
          <w:tcPr>
            <w:tcW w:type="dxa" w:w="137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环比</w:t>
            </w:r>
          </w:p>
        </w:tc>
        <w:tc>
          <w:tcPr>
            <w:tcW w:type="dxa" w:w="137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同比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1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46.4</w:t>
            </w:r>
          </w:p>
        </w:tc>
        <w:tc>
          <w:tcPr>
            <w:tcW w:type="dxa" w:w="345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52.0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51.4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-1.1%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+10.8%</w:t>
            </w:r>
          </w:p>
        </w:tc>
      </w:tr>
      <w:tr>
        <w:trPr>
          <w:cantSplit/>
        </w:trPr>
        <w:tc>
          <w:tcPr>
            <w:tcW w:type="dxa" w:w="9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1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28.1</w:t>
            </w:r>
          </w:p>
        </w:tc>
        <w:tc>
          <w:tcPr>
            <w:tcW w:type="dxa" w:w="34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31.6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30.1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-4.8%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+7.0%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1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22.1</w:t>
            </w:r>
          </w:p>
        </w:tc>
        <w:tc>
          <w:tcPr>
            <w:tcW w:type="dxa" w:w="345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24.8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24.2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-2.4%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+9.4%</w:t>
            </w:r>
          </w:p>
        </w:tc>
      </w:tr>
      <w:tr>
        <w:trPr>
          <w:cantSplit/>
        </w:trPr>
        <w:tc>
          <w:tcPr>
            <w:tcW w:type="dxa" w:w="9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1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21.4</w:t>
            </w:r>
          </w:p>
        </w:tc>
        <w:tc>
          <w:tcPr>
            <w:tcW w:type="dxa" w:w="34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22.6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22.4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-1.1%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+4.4%</w:t>
            </w:r>
          </w:p>
        </w:tc>
      </w:tr>
      <w:tr>
        <w:trPr>
          <w:cantSplit/>
        </w:trPr>
        <w:tc>
          <w:tcPr>
            <w:tcW w:type="dxa" w:w="9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1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15.2</w:t>
            </w:r>
          </w:p>
        </w:tc>
        <w:tc>
          <w:tcPr>
            <w:tcW w:type="dxa" w:w="345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20.3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17.5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-13.8%</w:t>
            </w:r>
          </w:p>
        </w:tc>
        <w:tc>
          <w:tcPr>
            <w:tcW w:type="dxa" w:w="137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+15.5%</w:t>
            </w:r>
          </w:p>
        </w:tc>
      </w:tr>
      <w:tr>
        <w:trPr>
          <w:cantSplit/>
        </w:trPr>
        <w:tc>
          <w:tcPr>
            <w:tcW w:type="dxa" w:w="9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1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18.2</w:t>
            </w:r>
          </w:p>
        </w:tc>
        <w:tc>
          <w:tcPr>
            <w:tcW w:type="dxa" w:w="345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21.3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20.7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-3.0%</w:t>
            </w:r>
          </w:p>
        </w:tc>
        <w:tc>
          <w:tcPr>
            <w:tcW w:type="dxa" w:w="137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+13.6%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总收入,$bn,GAAP 口径(NII + 非息收入)。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Q3'26E 分部门收入 ($bn)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1719"/>
        <w:gridCol w:w="1438"/>
        <w:gridCol w:w="1719"/>
        <w:gridCol w:w="1719"/>
        <w:gridCol w:w="1719"/>
      </w:tblGrid>
      <w:tr>
        <w:trPr>
          <w:tblHeader w:val="true"/>
          <w:cantSplit/>
        </w:trPr>
        <w:tc>
          <w:tcPr>
            <w:tcW w:type="dxa" w:w="14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71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净利息收入</w:t>
            </w:r>
          </w:p>
        </w:tc>
        <w:tc>
          <w:tcPr>
            <w:tcW w:type="dxa" w:w="14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投行费用</w:t>
            </w:r>
          </w:p>
        </w:tc>
        <w:tc>
          <w:tcPr>
            <w:tcW w:type="dxa" w:w="171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交易/做市</w:t>
            </w:r>
          </w:p>
        </w:tc>
        <w:tc>
          <w:tcPr>
            <w:tcW w:type="dxa" w:w="171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其他非息</w:t>
            </w:r>
          </w:p>
        </w:tc>
        <w:tc>
          <w:tcPr>
            <w:tcW w:type="dxa" w:w="171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14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26.51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3.05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7.31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14.56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51.43</w:t>
            </w:r>
          </w:p>
        </w:tc>
      </w:tr>
      <w:tr>
        <w:trPr>
          <w:cantSplit/>
        </w:trPr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16.30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1.74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2.63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9.40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30.06</w:t>
            </w:r>
          </w:p>
        </w:tc>
      </w:tr>
      <w:tr>
        <w:trPr>
          <w:cantSplit/>
        </w:trPr>
        <w:tc>
          <w:tcPr>
            <w:tcW w:type="dxa" w:w="14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17.13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1.21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1.78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4.05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24.17</w:t>
            </w:r>
          </w:p>
        </w:tc>
      </w:tr>
      <w:tr>
        <w:trPr>
          <w:cantSplit/>
        </w:trPr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12.52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0.94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1.39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7.52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22.37</w:t>
            </w:r>
          </w:p>
        </w:tc>
      </w:tr>
      <w:tr>
        <w:trPr>
          <w:cantSplit/>
        </w:trPr>
        <w:tc>
          <w:tcPr>
            <w:tcW w:type="dxa" w:w="14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3.95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3.10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6.74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3.75</w:t>
            </w:r>
          </w:p>
        </w:tc>
        <w:tc>
          <w:tcPr>
            <w:tcW w:type="dxa" w:w="17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17.54</w:t>
            </w:r>
          </w:p>
        </w:tc>
      </w:tr>
      <w:tr>
        <w:trPr>
          <w:cantSplit/>
        </w:trPr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2.78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2.75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6.02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9.14</w:t>
            </w:r>
          </w:p>
        </w:tc>
        <w:tc>
          <w:tcPr>
            <w:tcW w:type="dxa" w:w="17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20.70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072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segment_cha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0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图6:Q3E 相对 Q2'26(上)与相对 Q3'25(下)的分部门变化 ($bn)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Q3'26E 相对 Q2'26 的环比变化 ($bn)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8"/>
        <w:gridCol w:w="1671"/>
        <w:gridCol w:w="1671"/>
        <w:gridCol w:w="1671"/>
        <w:gridCol w:w="1671"/>
        <w:gridCol w:w="1671"/>
      </w:tblGrid>
      <w:tr>
        <w:trPr>
          <w:tblHeader w:val="true"/>
          <w:cantSplit/>
        </w:trPr>
        <w:tc>
          <w:tcPr>
            <w:tcW w:type="dxa" w:w="139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净利息收入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投行费用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交易/做市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其他非息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+1.00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-0.16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-1.70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+0.30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-0.56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+0.30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-0.40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-1.55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+0.15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-1.50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0.00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-0.15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-0.70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+0.25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-0.60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+0.20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0.00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0.00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-0.45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-0.25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0.00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-0.30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-0.90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-1.60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-2.80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0.00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+0.10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-0.70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-0.05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-0.65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Q3'26E 相对 Q3'25 的同比变化 ($bn)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8"/>
        <w:gridCol w:w="1671"/>
        <w:gridCol w:w="1671"/>
        <w:gridCol w:w="1671"/>
        <w:gridCol w:w="1671"/>
        <w:gridCol w:w="1671"/>
      </w:tblGrid>
      <w:tr>
        <w:trPr>
          <w:tblHeader w:val="true"/>
          <w:cantSplit/>
        </w:trPr>
        <w:tc>
          <w:tcPr>
            <w:tcW w:type="dxa" w:w="139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净利息收入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投行费用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交易/做市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其他非息</w:t>
            </w:r>
          </w:p>
        </w:tc>
        <w:tc>
          <w:tcPr>
            <w:tcW w:type="dxa" w:w="167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+2.55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+0.44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+0.20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+1.82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+5.00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+1.06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-0.28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-0.58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+1.76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+1.97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+2.19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+0.08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-0.99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+0.80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+2.08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+0.57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+0.10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-0.07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+0.34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+0.94</w:t>
            </w:r>
          </w:p>
        </w:tc>
      </w:tr>
      <w:tr>
        <w:trPr>
          <w:cantSplit/>
        </w:trPr>
        <w:tc>
          <w:tcPr>
            <w:tcW w:type="dxa" w:w="139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+0.10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+0.44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+2.87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-1.06</w:t>
            </w:r>
          </w:p>
        </w:tc>
        <w:tc>
          <w:tcPr>
            <w:tcW w:type="dxa" w:w="167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+2.35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+0.29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+0.49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+1.00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+0.70</w:t>
            </w:r>
          </w:p>
        </w:tc>
        <w:tc>
          <w:tcPr>
            <w:tcW w:type="dxa" w:w="167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+2.47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环比:资本市场回落,NII 仍在涨。</w:t>
      </w:r>
      <w:r>
        <w:rPr>
          <w:rFonts w:ascii="Calibri" w:hAnsi="Calibri" w:eastAsia="Microsoft YaHei" w:cs="Calibri"/>
          <w:sz w:val="21"/>
        </w:rPr>
        <w:t>六家的交易线都是下降或持平,投行线多数下降;NII 在 JPM、BAC、WFC 上升,C、GS、MS 的 NII 在我们的桥里没有新增项,按持平处理。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BAC 的交易线</w:t>
      </w:r>
      <w:r>
        <w:rPr>
          <w:rFonts w:ascii="Calibri" w:hAnsi="Calibri" w:eastAsia="Microsoft YaHei" w:cs="Calibri"/>
          <w:sz w:val="21"/>
        </w:rPr>
        <w:t xml:space="preserve"> 环比 -1.55B(Q2 4.18B 到 Q3E 2.63B),是六家里最大的单项收缩之一,这也是第 4.1 节里 BAC EPS 低于共识的核心原因。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GS 的降幅最大</w:t>
      </w:r>
      <w:r>
        <w:rPr>
          <w:rFonts w:ascii="Calibri" w:hAnsi="Calibri" w:eastAsia="Microsoft YaHei" w:cs="Calibri"/>
          <w:sz w:val="21"/>
        </w:rPr>
        <w:t>(总收入环比 -13.8%),主要来自「其他非息」(投资线,-1.60B)和交易(-0.90B)。同比仍是 +15.5%,因为 Q3'25 基数较低。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期间可比性</w:t>
      </w:r>
      <w:r>
        <w:rPr>
          <w:rFonts w:ascii="Calibri" w:hAnsi="Calibri" w:eastAsia="Microsoft YaHei" w:cs="Calibri"/>
          <w:sz w:val="21"/>
        </w:rPr>
        <w:t>:JPM 的 Q2'26 里 Visa 一次性收益约 $5.4B 在图 5 中用斜线标出,表格和图 6 的环比已剔除;否则 JPM 的环比会被夸大成约 −10%。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局限</w:t>
      </w:r>
      <w:r>
        <w:rPr>
          <w:rFonts w:ascii="Calibri" w:hAnsi="Calibri" w:eastAsia="Microsoft YaHei" w:cs="Calibri"/>
          <w:sz w:val="21"/>
        </w:rPr>
        <w:t>:C 的 NII 和 IB、交易线的 Q4 来自 XBRL 回补而非 10-K 表格;Q3E 是我们的桥(第 4 节),WFC 的 IB 和交易线没有指引,按持平处理。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14. EPS、P/E 与市场指标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616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1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图7:六大行 EPS:历史、Q3E(紫色菱形为模型均值,误差线为 P10-P90)与共识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"/>
        <w:gridCol w:w="1280"/>
        <w:gridCol w:w="2710"/>
        <w:gridCol w:w="925"/>
        <w:gridCol w:w="925"/>
        <w:gridCol w:w="1392"/>
        <w:gridCol w:w="925"/>
        <w:gridCol w:w="925"/>
      </w:tblGrid>
      <w:tr>
        <w:trPr>
          <w:tblHeader w:val="true"/>
          <w:cantSplit/>
        </w:trPr>
        <w:tc>
          <w:tcPr>
            <w:tcW w:type="dxa" w:w="66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128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Q3'25 EPS</w:t>
            </w:r>
          </w:p>
        </w:tc>
        <w:tc>
          <w:tcPr>
            <w:tcW w:type="dxa" w:w="271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Q2'26 EPS(JPM 为剔除 Visa)</w:t>
            </w:r>
          </w:p>
        </w:tc>
        <w:tc>
          <w:tcPr>
            <w:tcW w:type="dxa" w:w="9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Q3E 共识</w:t>
            </w:r>
          </w:p>
        </w:tc>
        <w:tc>
          <w:tcPr>
            <w:tcW w:type="dxa" w:w="9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Q3E 模型</w:t>
            </w:r>
          </w:p>
        </w:tc>
        <w:tc>
          <w:tcPr>
            <w:tcW w:type="dxa" w:w="139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P10-P90</w:t>
            </w:r>
          </w:p>
        </w:tc>
        <w:tc>
          <w:tcPr>
            <w:tcW w:type="dxa" w:w="9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对共识</w:t>
            </w:r>
          </w:p>
        </w:tc>
        <w:tc>
          <w:tcPr>
            <w:tcW w:type="dxa" w:w="9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同比</w:t>
            </w:r>
          </w:p>
        </w:tc>
      </w:tr>
      <w:tr>
        <w:trPr>
          <w:cantSplit/>
        </w:trPr>
        <w:tc>
          <w:tcPr>
            <w:tcW w:type="dxa" w:w="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</w:t>
            </w:r>
          </w:p>
        </w:tc>
        <w:tc>
          <w:tcPr>
            <w:tcW w:type="dxa" w:w="128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5.07</w:t>
            </w:r>
          </w:p>
        </w:tc>
        <w:tc>
          <w:tcPr>
            <w:tcW w:type="dxa" w:w="271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6.14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5.86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6.10</w:t>
            </w:r>
          </w:p>
        </w:tc>
        <w:tc>
          <w:tcPr>
            <w:tcW w:type="dxa" w:w="139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5.66-6.54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+4.0%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+20.2%</w:t>
            </w:r>
          </w:p>
        </w:tc>
      </w:tr>
      <w:tr>
        <w:trPr>
          <w:cantSplit/>
        </w:trPr>
        <w:tc>
          <w:tcPr>
            <w:tcW w:type="dxa" w:w="6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BAC</w:t>
            </w:r>
          </w:p>
        </w:tc>
        <w:tc>
          <w:tcPr>
            <w:tcW w:type="dxa" w:w="128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1.06</w:t>
            </w:r>
          </w:p>
        </w:tc>
        <w:tc>
          <w:tcPr>
            <w:tcW w:type="dxa" w:w="271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1.21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1.15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1.09</w:t>
            </w:r>
          </w:p>
        </w:tc>
        <w:tc>
          <w:tcPr>
            <w:tcW w:type="dxa" w:w="139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1.00-1.17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-5.5%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+2.5%</w:t>
            </w:r>
          </w:p>
        </w:tc>
      </w:tr>
      <w:tr>
        <w:trPr>
          <w:cantSplit/>
        </w:trPr>
        <w:tc>
          <w:tcPr>
            <w:tcW w:type="dxa" w:w="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</w:t>
            </w:r>
          </w:p>
        </w:tc>
        <w:tc>
          <w:tcPr>
            <w:tcW w:type="dxa" w:w="128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1.86</w:t>
            </w:r>
          </w:p>
        </w:tc>
        <w:tc>
          <w:tcPr>
            <w:tcW w:type="dxa" w:w="271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3.15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2.64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2.96</w:t>
            </w:r>
          </w:p>
        </w:tc>
        <w:tc>
          <w:tcPr>
            <w:tcW w:type="dxa" w:w="139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2.58-3.33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+11.9%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+58.9%</w:t>
            </w:r>
          </w:p>
        </w:tc>
      </w:tr>
      <w:tr>
        <w:trPr>
          <w:cantSplit/>
        </w:trPr>
        <w:tc>
          <w:tcPr>
            <w:tcW w:type="dxa" w:w="6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WFC</w:t>
            </w:r>
          </w:p>
        </w:tc>
        <w:tc>
          <w:tcPr>
            <w:tcW w:type="dxa" w:w="128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1.66</w:t>
            </w:r>
          </w:p>
        </w:tc>
        <w:tc>
          <w:tcPr>
            <w:tcW w:type="dxa" w:w="271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2.00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1.85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1.84</w:t>
            </w:r>
          </w:p>
        </w:tc>
        <w:tc>
          <w:tcPr>
            <w:tcW w:type="dxa" w:w="139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1.64-2.04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-0.5%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+10.8%</w:t>
            </w:r>
          </w:p>
        </w:tc>
      </w:tr>
      <w:tr>
        <w:trPr>
          <w:cantSplit/>
        </w:trPr>
        <w:tc>
          <w:tcPr>
            <w:tcW w:type="dxa" w:w="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</w:t>
            </w:r>
          </w:p>
        </w:tc>
        <w:tc>
          <w:tcPr>
            <w:tcW w:type="dxa" w:w="128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12.25</w:t>
            </w:r>
          </w:p>
        </w:tc>
        <w:tc>
          <w:tcPr>
            <w:tcW w:type="dxa" w:w="271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20.98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15.39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14.19</w:t>
            </w:r>
          </w:p>
        </w:tc>
        <w:tc>
          <w:tcPr>
            <w:tcW w:type="dxa" w:w="139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9.57-18.84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-7.8%</w:t>
            </w:r>
          </w:p>
        </w:tc>
        <w:tc>
          <w:tcPr>
            <w:tcW w:type="dxa" w:w="9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+15.9%</w:t>
            </w:r>
          </w:p>
        </w:tc>
      </w:tr>
      <w:tr>
        <w:trPr>
          <w:cantSplit/>
        </w:trPr>
        <w:tc>
          <w:tcPr>
            <w:tcW w:type="dxa" w:w="6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</w:t>
            </w:r>
          </w:p>
        </w:tc>
        <w:tc>
          <w:tcPr>
            <w:tcW w:type="dxa" w:w="128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2.80</w:t>
            </w:r>
          </w:p>
        </w:tc>
        <w:tc>
          <w:tcPr>
            <w:tcW w:type="dxa" w:w="271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3.46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3.09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3.30</w:t>
            </w:r>
          </w:p>
        </w:tc>
        <w:tc>
          <w:tcPr>
            <w:tcW w:type="dxa" w:w="139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2.81-3.80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+6.9%</w:t>
            </w:r>
          </w:p>
        </w:tc>
        <w:tc>
          <w:tcPr>
            <w:tcW w:type="dxa" w:w="9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+18.0%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359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图8:滚动 12 个月 P/E(左)与 10/1 收盘价的 P/E(右,灰=已披露 TTM,紫=滚动含 Q3E)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8"/>
        <w:gridCol w:w="1636"/>
        <w:gridCol w:w="1516"/>
        <w:gridCol w:w="1140"/>
        <w:gridCol w:w="1007"/>
        <w:gridCol w:w="2208"/>
        <w:gridCol w:w="1516"/>
      </w:tblGrid>
      <w:tr>
        <w:trPr>
          <w:tblHeader w:val="true"/>
          <w:cantSplit/>
        </w:trPr>
        <w:tc>
          <w:tcPr>
            <w:tcW w:type="dxa" w:w="72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16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10/1 收盘价 ($)</w:t>
            </w:r>
          </w:p>
        </w:tc>
        <w:tc>
          <w:tcPr>
            <w:tcW w:type="dxa" w:w="15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TTM EPS ($)</w:t>
            </w:r>
          </w:p>
        </w:tc>
        <w:tc>
          <w:tcPr>
            <w:tcW w:type="dxa" w:w="114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一年前 P/E</w:t>
            </w:r>
          </w:p>
        </w:tc>
        <w:tc>
          <w:tcPr>
            <w:tcW w:type="dxa" w:w="100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现在 P/E</w:t>
            </w:r>
          </w:p>
        </w:tc>
        <w:tc>
          <w:tcPr>
            <w:tcW w:type="dxa" w:w="22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滚动含 Q3E 的 EPS ($)</w:t>
            </w:r>
          </w:p>
        </w:tc>
        <w:tc>
          <w:tcPr>
            <w:tcW w:type="dxa" w:w="15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P/E(含 Q3E)</w:t>
            </w:r>
          </w:p>
        </w:tc>
      </w:tr>
      <w:tr>
        <w:trPr>
          <w:cantSplit/>
        </w:trPr>
        <w:tc>
          <w:tcPr>
            <w:tcW w:type="dxa" w:w="72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</w:t>
            </w:r>
          </w:p>
        </w:tc>
        <w:tc>
          <w:tcPr>
            <w:tcW w:type="dxa" w:w="16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333.18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21.79</w:t>
            </w:r>
          </w:p>
        </w:tc>
        <w:tc>
          <w:tcPr>
            <w:tcW w:type="dxa" w:w="11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15.9x</w:t>
            </w:r>
          </w:p>
        </w:tc>
        <w:tc>
          <w:tcPr>
            <w:tcW w:type="dxa" w:w="100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15.3x</w:t>
            </w:r>
          </w:p>
        </w:tc>
        <w:tc>
          <w:tcPr>
            <w:tcW w:type="dxa" w:w="2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22.82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14.6x</w:t>
            </w:r>
          </w:p>
        </w:tc>
      </w:tr>
      <w:tr>
        <w:trPr>
          <w:cantSplit/>
        </w:trPr>
        <w:tc>
          <w:tcPr>
            <w:tcW w:type="dxa" w:w="72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BAC</w:t>
            </w:r>
          </w:p>
        </w:tc>
        <w:tc>
          <w:tcPr>
            <w:tcW w:type="dxa" w:w="16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53.73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4.34</w:t>
            </w:r>
          </w:p>
        </w:tc>
        <w:tc>
          <w:tcPr>
            <w:tcW w:type="dxa" w:w="11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14.9x</w:t>
            </w:r>
          </w:p>
        </w:tc>
        <w:tc>
          <w:tcPr>
            <w:tcW w:type="dxa" w:w="100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12.4x</w:t>
            </w:r>
          </w:p>
        </w:tc>
        <w:tc>
          <w:tcPr>
            <w:tcW w:type="dxa" w:w="2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4.37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12.3x</w:t>
            </w:r>
          </w:p>
        </w:tc>
      </w:tr>
      <w:tr>
        <w:trPr>
          <w:cantSplit/>
        </w:trPr>
        <w:tc>
          <w:tcPr>
            <w:tcW w:type="dxa" w:w="72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</w:t>
            </w:r>
          </w:p>
        </w:tc>
        <w:tc>
          <w:tcPr>
            <w:tcW w:type="dxa" w:w="16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127.00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9.28</w:t>
            </w:r>
          </w:p>
        </w:tc>
        <w:tc>
          <w:tcPr>
            <w:tcW w:type="dxa" w:w="11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14.6x</w:t>
            </w:r>
          </w:p>
        </w:tc>
        <w:tc>
          <w:tcPr>
            <w:tcW w:type="dxa" w:w="100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13.7x</w:t>
            </w:r>
          </w:p>
        </w:tc>
        <w:tc>
          <w:tcPr>
            <w:tcW w:type="dxa" w:w="2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10.38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12.2x</w:t>
            </w:r>
          </w:p>
        </w:tc>
      </w:tr>
      <w:tr>
        <w:trPr>
          <w:cantSplit/>
        </w:trPr>
        <w:tc>
          <w:tcPr>
            <w:tcW w:type="dxa" w:w="72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WFC</w:t>
            </w:r>
          </w:p>
        </w:tc>
        <w:tc>
          <w:tcPr>
            <w:tcW w:type="dxa" w:w="16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80.25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6.87</w:t>
            </w:r>
          </w:p>
        </w:tc>
        <w:tc>
          <w:tcPr>
            <w:tcW w:type="dxa" w:w="11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13.9x</w:t>
            </w:r>
          </w:p>
        </w:tc>
        <w:tc>
          <w:tcPr>
            <w:tcW w:type="dxa" w:w="100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11.7x</w:t>
            </w:r>
          </w:p>
        </w:tc>
        <w:tc>
          <w:tcPr>
            <w:tcW w:type="dxa" w:w="2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7.05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11.4x</w:t>
            </w:r>
          </w:p>
        </w:tc>
      </w:tr>
      <w:tr>
        <w:trPr>
          <w:cantSplit/>
        </w:trPr>
        <w:tc>
          <w:tcPr>
            <w:tcW w:type="dxa" w:w="72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</w:t>
            </w:r>
          </w:p>
        </w:tc>
        <w:tc>
          <w:tcPr>
            <w:tcW w:type="dxa" w:w="16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896.67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64.82</w:t>
            </w:r>
          </w:p>
        </w:tc>
        <w:tc>
          <w:tcPr>
            <w:tcW w:type="dxa" w:w="114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17.3x</w:t>
            </w:r>
          </w:p>
        </w:tc>
        <w:tc>
          <w:tcPr>
            <w:tcW w:type="dxa" w:w="100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13.8x</w:t>
            </w:r>
          </w:p>
        </w:tc>
        <w:tc>
          <w:tcPr>
            <w:tcW w:type="dxa" w:w="2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66.76</w:t>
            </w:r>
          </w:p>
        </w:tc>
        <w:tc>
          <w:tcPr>
            <w:tcW w:type="dxa" w:w="15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13.4x</w:t>
            </w:r>
          </w:p>
        </w:tc>
      </w:tr>
      <w:tr>
        <w:trPr>
          <w:cantSplit/>
        </w:trPr>
        <w:tc>
          <w:tcPr>
            <w:tcW w:type="dxa" w:w="72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</w:t>
            </w:r>
          </w:p>
        </w:tc>
        <w:tc>
          <w:tcPr>
            <w:tcW w:type="dxa" w:w="16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188.01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12.37</w:t>
            </w:r>
          </w:p>
        </w:tc>
        <w:tc>
          <w:tcPr>
            <w:tcW w:type="dxa" w:w="114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17.7x</w:t>
            </w:r>
          </w:p>
        </w:tc>
        <w:tc>
          <w:tcPr>
            <w:tcW w:type="dxa" w:w="100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15.2x</w:t>
            </w:r>
          </w:p>
        </w:tc>
        <w:tc>
          <w:tcPr>
            <w:tcW w:type="dxa" w:w="2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12.87</w:t>
            </w:r>
          </w:p>
        </w:tc>
        <w:tc>
          <w:tcPr>
            <w:tcW w:type="dxa" w:w="15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14.6x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P/E = 未复权收盘价 ÷ TTM EPS(GAAP 稀释;JPM Q2'26 用剔除 Visa 的 $6.14;季报披露后 16 天起计入)。GS 的单季 EPS 波动大,P/E 随之大幅变化。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46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mark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4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图9:市场仪表盘:大行股价、板块对比、VIX 与 10Y、油价与按揭利率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估值</w:t>
      </w:r>
      <w:r>
        <w:rPr>
          <w:rFonts w:ascii="Calibri" w:hAnsi="Calibri" w:eastAsia="Microsoft YaHei" w:cs="Calibri"/>
          <w:sz w:val="21"/>
        </w:rPr>
        <w:t>:按 TTM,JPM 的 P/E 最高(15.3x),WFC 最低(11.7x);滚动纳入 Q3E 后,所有银行的 P/E 都会变化,幅度取决于 Q3E 相对 Q3'25 的 EPS 变化。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EPS 与共识</w:t>
      </w:r>
      <w:r>
        <w:rPr>
          <w:rFonts w:ascii="Calibri" w:hAnsi="Calibri" w:eastAsia="Microsoft YaHei" w:cs="Calibri"/>
          <w:sz w:val="21"/>
        </w:rPr>
        <w:t>:C、MS、JPM 的模型值高于共识,BAC、GS 低于共识,WFC 基本一致(见表与图 7 的标题)。Q2'26 是创纪录季度,所以 Q3E 对 Q2 环比普遍下降;同比大多仍是上升。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市场</w:t>
      </w:r>
      <w:r>
        <w:rPr>
          <w:rFonts w:ascii="Calibri" w:hAnsi="Calibri" w:eastAsia="Microsoft YaHei" w:cs="Calibri"/>
          <w:sz w:val="21"/>
        </w:rPr>
        <w:t>:图 9 显示 3 月的 VIX 冲高和股价回撤,之后大行修复;9 月起 10Y 与按揭利率同步上行,TLT 下跌,银行与区域银行 ETF 也在 9 月回撤(第 6.1 节)。SMH 的涨幅远高于银行,与第 8 节「最像 1999 年」的类比一致。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15. AFS / HTM 账面价值的变化,以及对大行的影响</w:t>
      </w:r>
    </w:p>
    <w:p>
      <w:r>
        <w:rPr>
          <w:rFonts w:ascii="Calibri" w:hAnsi="Calibri" w:eastAsia="Microsoft YaHei" w:cs="Calibri"/>
          <w:sz w:val="21"/>
        </w:rPr>
        <w:t>本节只分析六大行(JPM、BAC、C、WFC、GS、MS),区域银行见第 7 节的评分表。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7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htm_bo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图10:HTM 证券:摊余成本 vs 公允价值,与未实现损益(右轴)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07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afs_bo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0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图11:AFS 证券:摊余成本 vs 公允价值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1494"/>
        <w:gridCol w:w="1494"/>
        <w:gridCol w:w="1494"/>
        <w:gridCol w:w="1568"/>
        <w:gridCol w:w="1641"/>
        <w:gridCol w:w="1568"/>
      </w:tblGrid>
      <w:tr>
        <w:trPr>
          <w:tblHeader w:val="true"/>
          <w:cantSplit/>
        </w:trPr>
        <w:tc>
          <w:tcPr>
            <w:tcW w:type="dxa" w:w="49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149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AFS 公允价值 6/30/26</w:t>
            </w:r>
          </w:p>
        </w:tc>
        <w:tc>
          <w:tcPr>
            <w:tcW w:type="dxa" w:w="149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摊余成本 6/30/26</w:t>
            </w:r>
          </w:p>
        </w:tc>
        <w:tc>
          <w:tcPr>
            <w:tcW w:type="dxa" w:w="149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公允价值 6/30/26</w:t>
            </w:r>
          </w:p>
        </w:tc>
        <w:tc>
          <w:tcPr>
            <w:tcW w:type="dxa" w:w="156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未实现损益 6/30/25</w:t>
            </w:r>
          </w:p>
        </w:tc>
        <w:tc>
          <w:tcPr>
            <w:tcW w:type="dxa" w:w="164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未实现损益 12/31/25</w:t>
            </w:r>
          </w:p>
        </w:tc>
        <w:tc>
          <w:tcPr>
            <w:tcW w:type="dxa" w:w="156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未实现损益 6/30/26</w:t>
            </w:r>
          </w:p>
        </w:tc>
      </w:tr>
      <w:tr>
        <w:trPr>
          <w:cantSplit/>
        </w:trPr>
        <w:tc>
          <w:tcPr>
            <w:tcW w:type="dxa" w:w="4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536.0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268.5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250.3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-21.3</w:t>
            </w:r>
          </w:p>
        </w:tc>
        <w:tc>
          <w:tcPr>
            <w:tcW w:type="dxa" w:w="164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-16.8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-18.2</w:t>
            </w:r>
          </w:p>
        </w:tc>
      </w:tr>
      <w:tr>
        <w:trPr>
          <w:cantSplit/>
        </w:trPr>
        <w:tc>
          <w:tcPr>
            <w:tcW w:type="dxa" w:w="4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BAC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348.5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505.8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423.7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-93.1</w:t>
            </w:r>
          </w:p>
        </w:tc>
        <w:tc>
          <w:tcPr>
            <w:tcW w:type="dxa" w:w="164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-80.2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-82.1</w:t>
            </w:r>
          </w:p>
        </w:tc>
      </w:tr>
      <w:tr>
        <w:trPr>
          <w:cantSplit/>
        </w:trPr>
        <w:tc>
          <w:tcPr>
            <w:tcW w:type="dxa" w:w="4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286.8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167.9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157.5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n/a</w:t>
            </w:r>
          </w:p>
        </w:tc>
        <w:tc>
          <w:tcPr>
            <w:tcW w:type="dxa" w:w="164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-10.3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-10.4</w:t>
            </w:r>
          </w:p>
        </w:tc>
      </w:tr>
      <w:tr>
        <w:trPr>
          <w:cantSplit/>
        </w:trPr>
        <w:tc>
          <w:tcPr>
            <w:tcW w:type="dxa" w:w="4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WFC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250.3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198.6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166.2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-37.7</w:t>
            </w:r>
          </w:p>
        </w:tc>
        <w:tc>
          <w:tcPr>
            <w:tcW w:type="dxa" w:w="164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-32.2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-32.4</w:t>
            </w:r>
          </w:p>
        </w:tc>
      </w:tr>
      <w:tr>
        <w:trPr>
          <w:cantSplit/>
        </w:trPr>
        <w:tc>
          <w:tcPr>
            <w:tcW w:type="dxa" w:w="4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155.6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74.7</w:t>
            </w:r>
          </w:p>
        </w:tc>
        <w:tc>
          <w:tcPr>
            <w:tcW w:type="dxa" w:w="149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74.7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0.2</w:t>
            </w:r>
          </w:p>
        </w:tc>
        <w:tc>
          <w:tcPr>
            <w:tcW w:type="dxa" w:w="164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0.5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-0.0</w:t>
            </w:r>
          </w:p>
        </w:tc>
      </w:tr>
      <w:tr>
        <w:trPr>
          <w:cantSplit/>
        </w:trPr>
        <w:tc>
          <w:tcPr>
            <w:tcW w:type="dxa" w:w="4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105.5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47.7</w:t>
            </w:r>
          </w:p>
        </w:tc>
        <w:tc>
          <w:tcPr>
            <w:tcW w:type="dxa" w:w="149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40.2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-8.7</w:t>
            </w:r>
          </w:p>
        </w:tc>
        <w:tc>
          <w:tcPr>
            <w:tcW w:type="dxa" w:w="164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-7.5</w:t>
            </w:r>
          </w:p>
        </w:tc>
        <w:tc>
          <w:tcPr>
            <w:tcW w:type="dxa" w:w="156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-7.5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$bn,SEC XBRL;C 的 12/31/25 与 6/30/26 来自 10-Q 表格,6/30/25 缺失。GS 与 MS 的 HTM 规模小。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Q3 的利率上行把账面价值推低了多少(pro forma)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"/>
        <w:gridCol w:w="1114"/>
        <w:gridCol w:w="1643"/>
        <w:gridCol w:w="765"/>
        <w:gridCol w:w="1743"/>
        <w:gridCol w:w="765"/>
        <w:gridCol w:w="1643"/>
        <w:gridCol w:w="1438"/>
      </w:tblGrid>
      <w:tr>
        <w:trPr>
          <w:tblHeader w:val="true"/>
          <w:cantSplit/>
        </w:trPr>
        <w:tc>
          <w:tcPr>
            <w:tcW w:type="dxa" w:w="64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111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TCE ($bn)</w:t>
            </w:r>
          </w:p>
        </w:tc>
        <w:tc>
          <w:tcPr>
            <w:tcW w:type="dxa" w:w="164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AFS→AOCI ($bn)</w:t>
            </w:r>
          </w:p>
        </w:tc>
        <w:tc>
          <w:tcPr>
            <w:tcW w:type="dxa" w:w="76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占 TCE</w:t>
            </w:r>
          </w:p>
        </w:tc>
        <w:tc>
          <w:tcPr>
            <w:tcW w:type="dxa" w:w="174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HTM 减值,税后 ($bn)</w:t>
            </w:r>
          </w:p>
        </w:tc>
        <w:tc>
          <w:tcPr>
            <w:tcW w:type="dxa" w:w="76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占 TCE</w:t>
            </w:r>
          </w:p>
        </w:tc>
        <w:tc>
          <w:tcPr>
            <w:tcW w:type="dxa" w:w="164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Q3E 季度盈利 ($bn)</w:t>
            </w:r>
          </w:p>
        </w:tc>
        <w:tc>
          <w:tcPr>
            <w:tcW w:type="dxa" w:w="14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合计 ÷ Q3E 盈利</w:t>
            </w:r>
          </w:p>
        </w:tc>
      </w:tr>
      <w:tr>
        <w:trPr>
          <w:cantSplit/>
        </w:trPr>
        <w:tc>
          <w:tcPr>
            <w:tcW w:type="dxa" w:w="64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</w:t>
            </w:r>
          </w:p>
        </w:tc>
        <w:tc>
          <w:tcPr>
            <w:tcW w:type="dxa" w:w="11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300.9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-8.20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-2.7%</w:t>
            </w:r>
          </w:p>
        </w:tc>
        <w:tc>
          <w:tcPr>
            <w:tcW w:type="dxa" w:w="17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-3.27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-1.1%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16.3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0.70x</w:t>
            </w:r>
          </w:p>
        </w:tc>
      </w:tr>
      <w:tr>
        <w:trPr>
          <w:cantSplit/>
        </w:trPr>
        <w:tc>
          <w:tcPr>
            <w:tcW w:type="dxa" w:w="64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BAC</w:t>
            </w:r>
          </w:p>
        </w:tc>
        <w:tc>
          <w:tcPr>
            <w:tcW w:type="dxa" w:w="11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206.0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-2.42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-1.2%</w:t>
            </w:r>
          </w:p>
        </w:tc>
        <w:tc>
          <w:tcPr>
            <w:tcW w:type="dxa" w:w="17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-10.43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-5.1%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7.8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1.64x</w:t>
            </w:r>
          </w:p>
        </w:tc>
      </w:tr>
      <w:tr>
        <w:trPr>
          <w:cantSplit/>
        </w:trPr>
        <w:tc>
          <w:tcPr>
            <w:tcW w:type="dxa" w:w="64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</w:t>
            </w:r>
          </w:p>
        </w:tc>
        <w:tc>
          <w:tcPr>
            <w:tcW w:type="dxa" w:w="11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168.4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-2.67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-1.6%</w:t>
            </w:r>
          </w:p>
        </w:tc>
        <w:tc>
          <w:tcPr>
            <w:tcW w:type="dxa" w:w="17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-3.10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-1.8%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5.1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1.14x</w:t>
            </w:r>
          </w:p>
        </w:tc>
      </w:tr>
      <w:tr>
        <w:trPr>
          <w:cantSplit/>
        </w:trPr>
        <w:tc>
          <w:tcPr>
            <w:tcW w:type="dxa" w:w="64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WFC</w:t>
            </w:r>
          </w:p>
        </w:tc>
        <w:tc>
          <w:tcPr>
            <w:tcW w:type="dxa" w:w="11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139.9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-4.99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-3.6%</w:t>
            </w:r>
          </w:p>
        </w:tc>
        <w:tc>
          <w:tcPr>
            <w:tcW w:type="dxa" w:w="17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-3.59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-2.6%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5.6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1.54x</w:t>
            </w:r>
          </w:p>
        </w:tc>
      </w:tr>
      <w:tr>
        <w:trPr>
          <w:cantSplit/>
        </w:trPr>
        <w:tc>
          <w:tcPr>
            <w:tcW w:type="dxa" w:w="640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</w:t>
            </w:r>
          </w:p>
        </w:tc>
        <w:tc>
          <w:tcPr>
            <w:tcW w:type="dxa" w:w="111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100.4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-1.86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-1.9%</w:t>
            </w:r>
          </w:p>
        </w:tc>
        <w:tc>
          <w:tcPr>
            <w:tcW w:type="dxa" w:w="17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-1.38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-1.4%</w:t>
            </w:r>
          </w:p>
        </w:tc>
        <w:tc>
          <w:tcPr>
            <w:tcW w:type="dxa" w:w="164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4.3</w:t>
            </w:r>
          </w:p>
        </w:tc>
        <w:tc>
          <w:tcPr>
            <w:tcW w:type="dxa" w:w="14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0.75x</w:t>
            </w:r>
          </w:p>
        </w:tc>
      </w:tr>
      <w:tr>
        <w:trPr>
          <w:cantSplit/>
        </w:trPr>
        <w:tc>
          <w:tcPr>
            <w:tcW w:type="dxa" w:w="640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</w:t>
            </w:r>
          </w:p>
        </w:tc>
        <w:tc>
          <w:tcPr>
            <w:tcW w:type="dxa" w:w="111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84.1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-1.74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-2.1%</w:t>
            </w:r>
          </w:p>
        </w:tc>
        <w:tc>
          <w:tcPr>
            <w:tcW w:type="dxa" w:w="17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-0.88</w:t>
            </w:r>
          </w:p>
        </w:tc>
        <w:tc>
          <w:tcPr>
            <w:tcW w:type="dxa" w:w="76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-1.0%</w:t>
            </w:r>
          </w:p>
        </w:tc>
        <w:tc>
          <w:tcPr>
            <w:tcW w:type="dxa" w:w="164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5.2</w:t>
            </w:r>
          </w:p>
        </w:tc>
        <w:tc>
          <w:tcPr>
            <w:tcW w:type="dxa" w:w="14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0.51x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197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profor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1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图12:Q3 利率上行对账面价值的冲击:占 TCE(左)与相当于几个季度的盈利(右)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BAC 最特别</w:t>
      </w:r>
      <w:r>
        <w:rPr>
          <w:rFonts w:ascii="Calibri" w:hAnsi="Calibri" w:eastAsia="Microsoft YaHei" w:cs="Calibri"/>
          <w:sz w:val="21"/>
        </w:rPr>
        <w:t>:AFS 只有约 1 年久期、且有利率互换对冲,所以 AOCI 冲击很小(-1.2% TCE);但 HTM 有 $506B,未实现损失 $82.1B(约占 TCE 的 40%),Q3 再增约 $13.7B(税前)。它不进监管资本,但是「经济 TBV」的隐性损失。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WFC</w:t>
      </w:r>
      <w:r>
        <w:rPr>
          <w:rFonts w:ascii="Calibri" w:hAnsi="Calibri" w:eastAsia="Microsoft YaHei" w:cs="Calibri"/>
          <w:sz w:val="21"/>
        </w:rPr>
        <w:t>:AFS 加 HTM 两边都有风险,Q3 的合计冲击占 TCE 最高之一;它的 AFS 摊余成本在 XBRL 缺失,AFS 久期用兜底值,精度较低。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JPM</w:t>
      </w:r>
      <w:r>
        <w:rPr>
          <w:rFonts w:ascii="Calibri" w:hAnsi="Calibri" w:eastAsia="Microsoft YaHei" w:cs="Calibri"/>
          <w:sz w:val="21"/>
        </w:rPr>
        <w:t>:HTM 浮亏 $18B 左右,AFS 浮亏仅 $2.6B(因为对冲);相对 TCE 和盈利规模,影响居中。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GS 与 MS</w:t>
      </w:r>
      <w:r>
        <w:rPr>
          <w:rFonts w:ascii="Calibri" w:hAnsi="Calibri" w:eastAsia="Microsoft YaHei" w:cs="Calibri"/>
          <w:sz w:val="21"/>
        </w:rPr>
        <w:t>:GS 的 HTM 摊余成本约等于公允价值(未实现损益接近 0),MS 浮亏 $7.5B;两者受 AOCI 冲击都小。GS 的 AFS 以短久期国库券为主。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C</w:t>
      </w:r>
      <w:r>
        <w:rPr>
          <w:rFonts w:ascii="Calibri" w:hAnsi="Calibri" w:eastAsia="Microsoft YaHei" w:cs="Calibri"/>
          <w:sz w:val="21"/>
        </w:rPr>
        <w:t>:AOCI 的口径用 10-Q 披露的 +100bp 敏感度(税后 −$3.0B)乘以 0.875 近似 Q3 的 87.5bp;HTM 的久期 4.5 年是假设值。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方法</w:t>
      </w:r>
      <w:r>
        <w:rPr>
          <w:rFonts w:ascii="Calibri" w:hAnsi="Calibri" w:eastAsia="Microsoft YaHei" w:cs="Calibri"/>
          <w:sz w:val="21"/>
        </w:rPr>
        <w:t>:AFS 冲击 = −D × Δy × 摊余成本 ×(1 − 24%),Δy = +87.5bp;HTM 减值 = −D × Δy × 摊余成本(Δy = 按揭利率 +54bp),表中按 24% 税率折算为税后。公式见第 2.2 节。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16. 利率压力测试:如果继续加息</w:t>
      </w:r>
    </w:p>
    <w:p>
      <w:r>
        <w:rPr>
          <w:rFonts w:ascii="Calibri" w:hAnsi="Calibri" w:eastAsia="Microsoft YaHei" w:cs="Calibri"/>
          <w:b/>
          <w:sz w:val="21"/>
        </w:rPr>
        <w:t>设问</w:t>
      </w:r>
      <w:r>
        <w:rPr>
          <w:rFonts w:ascii="Calibri" w:hAnsi="Calibri" w:eastAsia="Microsoft YaHei" w:cs="Calibri"/>
          <w:sz w:val="21"/>
        </w:rPr>
        <w:t>:在已经发生的 Q3 上行之外,如果收益率曲线再上移,六大行的一年内经济影响有多大?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9"/>
        <w:gridCol w:w="1533"/>
        <w:gridCol w:w="1533"/>
        <w:gridCol w:w="4016"/>
      </w:tblGrid>
      <w:tr>
        <w:trPr>
          <w:tblHeader w:val="true"/>
          <w:cantSplit/>
        </w:trPr>
        <w:tc>
          <w:tcPr>
            <w:tcW w:type="dxa" w:w="266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53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短端冲击</w:t>
            </w:r>
          </w:p>
        </w:tc>
        <w:tc>
          <w:tcPr>
            <w:tcW w:type="dxa" w:w="153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长端冲击</w:t>
            </w:r>
          </w:p>
        </w:tc>
        <w:tc>
          <w:tcPr>
            <w:tcW w:type="dxa" w:w="40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+50bp 平行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+50bp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+50bp</w:t>
            </w:r>
          </w:p>
        </w:tc>
        <w:tc>
          <w:tcPr>
            <w:tcW w:type="dxa" w:w="40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再加息两次 25bp 且长端同步</w:t>
            </w:r>
          </w:p>
        </w:tc>
      </w:tr>
      <w:tr>
        <w:trPr>
          <w:cantSplit/>
        </w:trPr>
        <w:tc>
          <w:tcPr>
            <w:tcW w:type="dxa" w:w="26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+100bp 平行</w:t>
            </w:r>
          </w:p>
        </w:tc>
        <w:tc>
          <w:tcPr>
            <w:tcW w:type="dxa" w:w="15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+100bp</w:t>
            </w:r>
          </w:p>
        </w:tc>
        <w:tc>
          <w:tcPr>
            <w:tcW w:type="dxa" w:w="15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+100bp</w:t>
            </w:r>
          </w:p>
        </w:tc>
        <w:tc>
          <w:tcPr>
            <w:tcW w:type="dxa" w:w="40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基准压力情景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+200bp 平行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+200bp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+200bp</w:t>
            </w:r>
          </w:p>
        </w:tc>
        <w:tc>
          <w:tcPr>
            <w:tcW w:type="dxa" w:w="401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极端情景</w:t>
            </w:r>
          </w:p>
        </w:tc>
      </w:tr>
      <w:tr>
        <w:trPr>
          <w:cantSplit/>
        </w:trPr>
        <w:tc>
          <w:tcPr>
            <w:tcW w:type="dxa" w:w="266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熊陡:长端 +100bp</w:t>
            </w:r>
          </w:p>
        </w:tc>
        <w:tc>
          <w:tcPr>
            <w:tcW w:type="dxa" w:w="15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0</w:t>
            </w:r>
          </w:p>
        </w:tc>
        <w:tc>
          <w:tcPr>
            <w:tcW w:type="dxa" w:w="15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+100bp</w:t>
            </w:r>
          </w:p>
        </w:tc>
        <w:tc>
          <w:tcPr>
            <w:tcW w:type="dxa" w:w="401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期限溢价上行,政策利率不动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熊平:短端 +100bp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+100bp</w:t>
            </w:r>
          </w:p>
        </w:tc>
        <w:tc>
          <w:tcPr>
            <w:tcW w:type="dxa" w:w="15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8"/>
              </w:rPr>
              <w:t>0</w:t>
            </w:r>
          </w:p>
        </w:tc>
        <w:tc>
          <w:tcPr>
            <w:tcW w:type="dxa" w:w="4016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8"/>
              </w:rPr>
              <w:t>纯政策利率冲击,AFS/HTM 估值不变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方法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NII</w:t>
      </w:r>
      <w:r>
        <w:rPr>
          <w:rFonts w:ascii="Calibri" w:hAnsi="Calibri" w:eastAsia="Microsoft YaHei" w:cs="Calibri"/>
          <w:sz w:val="21"/>
        </w:rPr>
        <w:t>:取各行 10-Q 披露的 12 个月 NII 敏感度(+100bp、+200bp、长端 +100bp、短端 +100bp),税率 24%;+50bp = 0.5 × (+100bp)。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AFS→AOCI</w:t>
      </w:r>
      <w:r>
        <w:rPr>
          <w:rFonts w:ascii="Calibri" w:hAnsi="Calibri" w:eastAsia="Microsoft YaHei" w:cs="Calibri"/>
          <w:sz w:val="21"/>
        </w:rPr>
        <w:t>:久期模型 × 长端冲击(C 为 10-Q 披露的 AOCI 初始冲击),税后;立即发生。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HTM 减值</w:t>
      </w:r>
      <w:r>
        <w:rPr>
          <w:rFonts w:ascii="Calibri" w:hAnsi="Calibri" w:eastAsia="Microsoft YaHei" w:cs="Calibri"/>
          <w:sz w:val="21"/>
        </w:rPr>
        <w:t>:久期 × 长端冲击 × 摊余成本,按 24% 折算为税后;不进监管资本,也不进利润表,只是经济价值的损失。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净经济影响</w:t>
      </w:r>
      <w:r>
        <w:rPr>
          <w:rFonts w:ascii="Calibri" w:hAnsi="Calibri" w:eastAsia="Microsoft YaHei" w:cs="Calibri"/>
          <w:sz w:val="21"/>
        </w:rPr>
        <w:t xml:space="preserve"> = 12 个月 NII(税后)+ AOCI + HTM 减值(税后)。</w:t>
      </w:r>
      <w:r>
        <w:rPr>
          <w:rFonts w:ascii="Calibri" w:hAnsi="Calibri" w:eastAsia="Microsoft YaHei" w:cs="Calibri"/>
          <w:b/>
          <w:sz w:val="21"/>
        </w:rPr>
        <w:t>净资本影响</w:t>
      </w:r>
      <w:r>
        <w:rPr>
          <w:rFonts w:ascii="Calibri" w:hAnsi="Calibri" w:eastAsia="Microsoft YaHei" w:cs="Calibri"/>
          <w:sz w:val="21"/>
        </w:rPr>
        <w:t xml:space="preserve"> = NII + AOCI(不含 HTM)。两者的占比分母是 6/30 的 TCE 与「4 × Q3E EPS × 股数」的年化盈利。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023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stress_ba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0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图13:压力测试(+100bp、+200bp、熊陡):NII、AOCI、HTM 与净经济影响 ($bn)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净经济影响 ($bn)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1633"/>
        <w:gridCol w:w="1795"/>
        <w:gridCol w:w="1795"/>
        <w:gridCol w:w="1795"/>
        <w:gridCol w:w="1795"/>
      </w:tblGrid>
      <w:tr>
        <w:trPr>
          <w:tblHeader w:val="true"/>
          <w:cantSplit/>
        </w:trPr>
        <w:tc>
          <w:tcPr>
            <w:tcW w:type="dxa" w:w="9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63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+50bp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+100bp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+200bp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熊陡 长端+100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熊平 短端+100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-7.0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-14.0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-28.6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-14.6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+0.5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-10.7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-21.3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-42.7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-21.9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+0.6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-3.9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-7.9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-16.0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-6.4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-1.5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-11.4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-22.7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-12.1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+0.7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-4.6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-9.3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-3.5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-6.9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净经济影响占 TCE (%)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1633"/>
        <w:gridCol w:w="1795"/>
        <w:gridCol w:w="1795"/>
        <w:gridCol w:w="1795"/>
        <w:gridCol w:w="1795"/>
      </w:tblGrid>
      <w:tr>
        <w:trPr>
          <w:tblHeader w:val="true"/>
          <w:cantSplit/>
        </w:trPr>
        <w:tc>
          <w:tcPr>
            <w:tcW w:type="dxa" w:w="9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63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+50bp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+100bp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+200bp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熊陡 长端+100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熊平 短端+100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-4.7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-9.5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-4.8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+0.2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-5.2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-10.3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-20.7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-10.6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+0.3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-4.7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-9.5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-3.8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-0.9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-8.1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-16.3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-8.6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+0.5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-4.6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-9.2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-8.2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净经济影响占年化 Q3E 盈利 (%)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1633"/>
        <w:gridCol w:w="1795"/>
        <w:gridCol w:w="1795"/>
        <w:gridCol w:w="1795"/>
        <w:gridCol w:w="1795"/>
      </w:tblGrid>
      <w:tr>
        <w:trPr>
          <w:tblHeader w:val="true"/>
          <w:cantSplit/>
        </w:trPr>
        <w:tc>
          <w:tcPr>
            <w:tcW w:type="dxa" w:w="9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63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+50bp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+100bp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+200bp 平行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熊陡 长端+100</w:t>
            </w:r>
          </w:p>
        </w:tc>
        <w:tc>
          <w:tcPr>
            <w:tcW w:type="dxa" w:w="17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熊平 短端+100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-11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-22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-44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-22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-34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-68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-136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-70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-19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-39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-79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-32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-25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-51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-102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-54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938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63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-13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-27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-54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38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63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-17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-34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  <w:tc>
          <w:tcPr>
            <w:tcW w:type="dxa" w:w="179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n/a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+100bp 平行情景的构成 ($bn)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1"/>
        <w:gridCol w:w="2270"/>
        <w:gridCol w:w="1760"/>
        <w:gridCol w:w="2104"/>
        <w:gridCol w:w="1208"/>
        <w:gridCol w:w="1398"/>
      </w:tblGrid>
      <w:tr>
        <w:trPr>
          <w:tblHeader w:val="true"/>
          <w:cantSplit/>
        </w:trPr>
        <w:tc>
          <w:tcPr>
            <w:tcW w:type="dxa" w:w="101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227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12M NII(税后)</w:t>
            </w:r>
          </w:p>
        </w:tc>
        <w:tc>
          <w:tcPr>
            <w:tcW w:type="dxa" w:w="176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AFS→AOCI</w:t>
            </w:r>
          </w:p>
        </w:tc>
        <w:tc>
          <w:tcPr>
            <w:tcW w:type="dxa" w:w="210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HTM 减值(税后)</w:t>
            </w:r>
          </w:p>
        </w:tc>
        <w:tc>
          <w:tcPr>
            <w:tcW w:type="dxa" w:w="12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净资本影响</w:t>
            </w:r>
          </w:p>
        </w:tc>
        <w:tc>
          <w:tcPr>
            <w:tcW w:type="dxa" w:w="139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净经济影响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227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+1.37</w:t>
            </w:r>
          </w:p>
        </w:tc>
        <w:tc>
          <w:tcPr>
            <w:tcW w:type="dxa" w:w="176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-9.38</w:t>
            </w:r>
          </w:p>
        </w:tc>
        <w:tc>
          <w:tcPr>
            <w:tcW w:type="dxa" w:w="21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-6.04</w:t>
            </w:r>
          </w:p>
        </w:tc>
        <w:tc>
          <w:tcPr>
            <w:tcW w:type="dxa" w:w="1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-8.01</w:t>
            </w:r>
          </w:p>
        </w:tc>
        <w:tc>
          <w:tcPr>
            <w:tcW w:type="dxa" w:w="13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-14.05</w:t>
            </w:r>
          </w:p>
        </w:tc>
      </w:tr>
      <w:tr>
        <w:trPr>
          <w:cantSplit/>
        </w:trPr>
        <w:tc>
          <w:tcPr>
            <w:tcW w:type="dxa" w:w="101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227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+0.76</w:t>
            </w:r>
          </w:p>
        </w:tc>
        <w:tc>
          <w:tcPr>
            <w:tcW w:type="dxa" w:w="176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-2.77</w:t>
            </w:r>
          </w:p>
        </w:tc>
        <w:tc>
          <w:tcPr>
            <w:tcW w:type="dxa" w:w="210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-19.30</w:t>
            </w:r>
          </w:p>
        </w:tc>
        <w:tc>
          <w:tcPr>
            <w:tcW w:type="dxa" w:w="1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-2.01</w:t>
            </w:r>
          </w:p>
        </w:tc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-21.31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227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+0.94</w:t>
            </w:r>
          </w:p>
        </w:tc>
        <w:tc>
          <w:tcPr>
            <w:tcW w:type="dxa" w:w="176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-3.05</w:t>
            </w:r>
          </w:p>
        </w:tc>
        <w:tc>
          <w:tcPr>
            <w:tcW w:type="dxa" w:w="21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-5.74</w:t>
            </w:r>
          </w:p>
        </w:tc>
        <w:tc>
          <w:tcPr>
            <w:tcW w:type="dxa" w:w="1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-2.11</w:t>
            </w:r>
          </w:p>
        </w:tc>
        <w:tc>
          <w:tcPr>
            <w:tcW w:type="dxa" w:w="13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-7.85</w:t>
            </w:r>
          </w:p>
        </w:tc>
      </w:tr>
      <w:tr>
        <w:trPr>
          <w:cantSplit/>
        </w:trPr>
        <w:tc>
          <w:tcPr>
            <w:tcW w:type="dxa" w:w="101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227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+0.99</w:t>
            </w:r>
          </w:p>
        </w:tc>
        <w:tc>
          <w:tcPr>
            <w:tcW w:type="dxa" w:w="176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-5.71</w:t>
            </w:r>
          </w:p>
        </w:tc>
        <w:tc>
          <w:tcPr>
            <w:tcW w:type="dxa" w:w="210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-6.66</w:t>
            </w:r>
          </w:p>
        </w:tc>
        <w:tc>
          <w:tcPr>
            <w:tcW w:type="dxa" w:w="1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-4.72</w:t>
            </w:r>
          </w:p>
        </w:tc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-11.37</w:t>
            </w:r>
          </w:p>
        </w:tc>
      </w:tr>
      <w:tr>
        <w:trPr>
          <w:cantSplit/>
        </w:trPr>
        <w:tc>
          <w:tcPr>
            <w:tcW w:type="dxa" w:w="101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227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+0.04</w:t>
            </w:r>
          </w:p>
        </w:tc>
        <w:tc>
          <w:tcPr>
            <w:tcW w:type="dxa" w:w="176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-2.13</w:t>
            </w:r>
          </w:p>
        </w:tc>
        <w:tc>
          <w:tcPr>
            <w:tcW w:type="dxa" w:w="21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-2.55</w:t>
            </w:r>
          </w:p>
        </w:tc>
        <w:tc>
          <w:tcPr>
            <w:tcW w:type="dxa" w:w="120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-2.09</w:t>
            </w:r>
          </w:p>
        </w:tc>
        <w:tc>
          <w:tcPr>
            <w:tcW w:type="dxa" w:w="13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-4.64</w:t>
            </w:r>
          </w:p>
        </w:tc>
      </w:tr>
      <w:tr>
        <w:trPr>
          <w:cantSplit/>
        </w:trPr>
        <w:tc>
          <w:tcPr>
            <w:tcW w:type="dxa" w:w="101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227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+0.15</w:t>
            </w:r>
          </w:p>
        </w:tc>
        <w:tc>
          <w:tcPr>
            <w:tcW w:type="dxa" w:w="176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-1.99</w:t>
            </w:r>
          </w:p>
        </w:tc>
        <w:tc>
          <w:tcPr>
            <w:tcW w:type="dxa" w:w="210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-1.63</w:t>
            </w:r>
          </w:p>
        </w:tc>
        <w:tc>
          <w:tcPr>
            <w:tcW w:type="dxa" w:w="120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-1.84</w:t>
            </w:r>
          </w:p>
        </w:tc>
        <w:tc>
          <w:tcPr>
            <w:tcW w:type="dxa" w:w="13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-3.47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1261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stress_he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2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图14:压力测试热力图:净经济影响占 TCE(左)与占年化 Q3E 盈利(右)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BAC 最脆弱,而且几乎全是 HTM</w:t>
      </w:r>
      <w:r>
        <w:rPr>
          <w:rFonts w:ascii="Calibri" w:hAnsi="Calibri" w:eastAsia="Microsoft YaHei" w:cs="Calibri"/>
          <w:sz w:val="21"/>
        </w:rPr>
        <w:t>:+100bp 的净经济影响 -$21.3B(占 TCE -10.3%,占年化盈利 -68%),其中 HTM -$19.3B;只看进入资本的部分(NII+AOCI)只有 -$2.0B。+200bp 时净经济影响超过一整年的盈利。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WFC 次之</w:t>
      </w:r>
      <w:r>
        <w:rPr>
          <w:rFonts w:ascii="Calibri" w:hAnsi="Calibri" w:eastAsia="Microsoft YaHei" w:cs="Calibri"/>
          <w:sz w:val="21"/>
        </w:rPr>
        <w:t>:-$11.4B(占 TCE -8.1%);与 BAC 不同,WFC 的 AFS 同样敏感(AOCI -$5.7B),所以进入资本的部分也不小(-$4.7B)。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JPM 的 NII 顺风最大</w:t>
      </w:r>
      <w:r>
        <w:rPr>
          <w:rFonts w:ascii="Calibri" w:hAnsi="Calibri" w:eastAsia="Microsoft YaHei" w:cs="Calibri"/>
          <w:sz w:val="21"/>
        </w:rPr>
        <w:t>(+100bp 税后 +$1.4B,为六家最高),抵消了一部分估值损失,净经济影响 -$14.0B,占年化盈利 22%。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熊陡 vs 熊平</w:t>
      </w:r>
      <w:r>
        <w:rPr>
          <w:rFonts w:ascii="Calibri" w:hAnsi="Calibri" w:eastAsia="Microsoft YaHei" w:cs="Calibri"/>
          <w:sz w:val="21"/>
        </w:rPr>
        <w:t xml:space="preserve">:长端冲击(熊陡)对四家商业大行都是净负,因为 AOCI 和 HTM 估值损失超过了新增 NII;短端冲击(熊平)对 JPM、BAC、WFC 是小幅净正(NII 增加、估值不变),对 C 是小幅净负(其披露的短端 AOCI 冲击较大)。这说明 </w:t>
      </w:r>
      <w:r>
        <w:rPr>
          <w:rFonts w:ascii="Calibri" w:hAnsi="Calibri" w:eastAsia="Microsoft YaHei" w:cs="Calibri"/>
          <w:b/>
          <w:sz w:val="21"/>
        </w:rPr>
        <w:t>风险在长端,不在政策利率</w:t>
      </w:r>
      <w:r>
        <w:rPr>
          <w:rFonts w:ascii="Calibri" w:hAnsi="Calibri" w:eastAsia="Microsoft YaHei" w:cs="Calibri"/>
          <w:sz w:val="21"/>
        </w:rPr>
        <w:t>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GS 与 MS</w:t>
      </w:r>
      <w:r>
        <w:rPr>
          <w:rFonts w:ascii="Calibri" w:hAnsi="Calibri" w:eastAsia="Microsoft YaHei" w:cs="Calibri"/>
          <w:sz w:val="21"/>
        </w:rPr>
        <w:t xml:space="preserve"> 的 NII 敏感度口径不可比(GS 为对净收入的 EaR,MS 仅财富管理分部),所以它们的 NII 偏小、净影响被高估;熊陡/熊平没有披露(n/a)。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局限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线性久期,没有凸性;AFS/HTM 的久期是回归值或兜底值(AFS 3.0 年、HTM 4.5 年),不是披露值。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基于 6/30 的资产负债表和 6/30 的 10-Q 敏感度,没有更新到 Q3 末;Q3 已发生的上行见第 15 节,与压力测试是叠加关系而不是包含关系。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不含信贷成本、贷款需求变化、存款流失与再投资策略的变化;这些在加息中通常是更大的不确定性。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净经济影响把一年内逐步实现的 NII 与即时的估值损失相加,只作排序参考,不是资本比率预测。HTM 损失只有在出售或重分类时才会实现。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WFC 的 +200bp NII 未披露,用线性外推。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1F4E79"/>
          <w:sz w:val="28"/>
        </w:rPr>
        <w:t>17. IPO:Q3 做了哪些项目,Q4 还会做哪些,每一单收入如何</w:t>
      </w:r>
    </w:p>
    <w:p>
      <w:r>
        <w:rPr>
          <w:rFonts w:ascii="Calibri" w:hAnsi="Calibri" w:eastAsia="Microsoft YaHei" w:cs="Calibri"/>
          <w:b/>
          <w:sz w:val="21"/>
        </w:rPr>
        <w:t>先看大局</w:t>
      </w:r>
      <w:r>
        <w:rPr>
          <w:rFonts w:ascii="Calibri" w:hAnsi="Calibri" w:eastAsia="Microsoft YaHei" w:cs="Calibri"/>
          <w:sz w:val="21"/>
        </w:rPr>
        <w:t xml:space="preserve">:Q3 美国 IPO 约 31 单、募资约 $34.9B,其中 SK hynix 一单约 $26.5B,去掉它只有约 $8.4B。我们逐单梳理了 18 单(合计约 $32.6B,去掉 SK hynix 约 $6.1B,约占去掉巨型交易后总募资的 73%)。费用是 </w:t>
      </w:r>
      <w:r>
        <w:rPr>
          <w:rFonts w:ascii="Calibri" w:hAnsi="Calibri" w:eastAsia="Microsoft YaHei" w:cs="Calibri"/>
          <w:b/>
          <w:sz w:val="21"/>
        </w:rPr>
        <w:t>披露值</w:t>
      </w:r>
      <w:r>
        <w:rPr>
          <w:rFonts w:ascii="Calibri" w:hAnsi="Calibri" w:eastAsia="Microsoft YaHei" w:cs="Calibri"/>
          <w:sz w:val="21"/>
        </w:rPr>
        <w:t xml:space="preserve"> 或 </w:t>
      </w:r>
      <w:r>
        <w:rPr>
          <w:rFonts w:ascii="Calibri" w:hAnsi="Calibri" w:eastAsia="Microsoft YaHei" w:cs="Calibri"/>
          <w:b/>
          <w:sz w:val="21"/>
        </w:rPr>
        <w:t>费率 × 规模的估算</w:t>
      </w:r>
      <w:r>
        <w:rPr>
          <w:rFonts w:ascii="Calibri" w:hAnsi="Calibri" w:eastAsia="Microsoft YaHei" w:cs="Calibri"/>
          <w:sz w:val="21"/>
        </w:rPr>
        <w:t>,各行的分成按角色加权,是估算。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17.1 Q3 已定价的项目与承销费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932"/>
        <w:gridCol w:w="1357"/>
        <w:gridCol w:w="619"/>
        <w:gridCol w:w="700"/>
        <w:gridCol w:w="535"/>
        <w:gridCol w:w="448"/>
        <w:gridCol w:w="3159"/>
      </w:tblGrid>
      <w:tr>
        <w:trPr>
          <w:tblHeader w:val="true"/>
          <w:cantSplit/>
        </w:trPr>
        <w:tc>
          <w:tcPr>
            <w:tcW w:type="dxa" w:w="200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93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35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61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募资 ($M)</w:t>
            </w:r>
          </w:p>
        </w:tc>
        <w:tc>
          <w:tcPr>
            <w:tcW w:type="dxa" w:w="70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承销费 ($M)</w:t>
            </w:r>
          </w:p>
        </w:tc>
        <w:tc>
          <w:tcPr>
            <w:tcW w:type="dxa" w:w="53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费率</w:t>
            </w:r>
          </w:p>
        </w:tc>
        <w:tc>
          <w:tcPr>
            <w:tcW w:type="dxa" w:w="44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依据</w:t>
            </w:r>
          </w:p>
        </w:tc>
        <w:tc>
          <w:tcPr>
            <w:tcW w:type="dxa" w:w="315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牵头/联席行(节选)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SK hynix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2026-07-09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Semis / ADR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26,507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257.5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0.97%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披露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BofA / Citi / GS / JPM (global coordinators)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Jersey Mike's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2026-07-29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Consumer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1,000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50.0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披露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 / Jefferies / JPM (global coordinators); Barclays, Guggenheim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Csquare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2026-07-16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Telecom svcs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1,050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40.0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3.81%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披露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MS, TD (reps); Wells, BofA, BMO, Scotia, JPM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Accelevation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2026-09-30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Industrial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540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27.0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MS, JPM, GS, Barclays, BofA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ADARx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2026-09-24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446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31.2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JPM, MS, TD Cowen, UBS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Braveheart Bio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2026-08-05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383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26.8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GS, Jefferies, TD Cowen, Stifel, Cantor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Electra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2026-09-17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350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24.5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Jefferies, TD Cowen, Evercore, Cantor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Latigo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2026-08-06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346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24.2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GS, Jefferies, Leerink, Guggenheim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Lyntris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2026-08-18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Tech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298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20.9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Evercore, Citi, Guggenheim; BofA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Attovia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2026-08-04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289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20.2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披露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MS, Leerink, Citi, RBC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Orion180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2026-09-17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240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16.8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RBC, UBS, Raymond James; GS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Reformation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2026-07-29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Consumer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211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14.8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JPM, MS; Citi, RBC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Apnimed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2026-07-30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192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13.4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BofA, Evercore, Cantor, LifeSci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Robinhood Ventures Fund II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Closed-end fund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200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9.0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4.50%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GS, Citi, JPM, UBS, Wells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Standard Nuclear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2026-07-15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Energy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150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10.5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BofA, GS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BlossomHill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2026-08-06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Biotech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150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10.5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7.00%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JPM, Leerink, Guggenheim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American Savings Bank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2026-09-15</w:t>
            </w: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Bank (secondary)</w:t>
            </w: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129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7.7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6.00%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估算</w:t>
            </w: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Piper Sandler</w:t>
            </w:r>
          </w:p>
        </w:tc>
      </w:tr>
      <w:tr>
        <w:trPr>
          <w:cantSplit/>
        </w:trPr>
        <w:tc>
          <w:tcPr>
            <w:tcW w:type="dxa" w:w="200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River City Bank</w:t>
            </w:r>
          </w:p>
        </w:tc>
        <w:tc>
          <w:tcPr>
            <w:tcW w:type="dxa" w:w="93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2026-08-05</w:t>
            </w:r>
          </w:p>
        </w:tc>
        <w:tc>
          <w:tcPr>
            <w:tcW w:type="dxa" w:w="135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Bank (secondary)</w:t>
            </w:r>
          </w:p>
        </w:tc>
        <w:tc>
          <w:tcPr>
            <w:tcW w:type="dxa" w:w="61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122</w:t>
            </w:r>
          </w:p>
        </w:tc>
        <w:tc>
          <w:tcPr>
            <w:tcW w:type="dxa" w:w="70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5.9</w:t>
            </w:r>
          </w:p>
        </w:tc>
        <w:tc>
          <w:tcPr>
            <w:tcW w:type="dxa" w:w="53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4.87%</w:t>
            </w:r>
          </w:p>
        </w:tc>
        <w:tc>
          <w:tcPr>
            <w:tcW w:type="dxa" w:w="44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披露</w:t>
            </w:r>
          </w:p>
        </w:tc>
        <w:tc>
          <w:tcPr>
            <w:tcW w:type="dxa" w:w="315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KBW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6"/>
              </w:rPr>
              <w:t>合计</w:t>
            </w:r>
          </w:p>
        </w:tc>
        <w:tc>
          <w:tcPr>
            <w:tcW w:type="dxa" w:w="932"/>
          </w:tcPr>
          <w:p>
            <w:pPr>
              <w:spacing w:after="20" w:before="20" w:line="252" w:lineRule="auto"/>
              <w:jc w:val="center"/>
            </w:pPr>
          </w:p>
        </w:tc>
        <w:tc>
          <w:tcPr>
            <w:tcW w:type="dxa" w:w="1357"/>
          </w:tcPr>
          <w:p>
            <w:pPr>
              <w:spacing w:after="20" w:before="20" w:line="252" w:lineRule="auto"/>
              <w:jc w:val="center"/>
            </w:pPr>
          </w:p>
        </w:tc>
        <w:tc>
          <w:tcPr>
            <w:tcW w:type="dxa" w:w="61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32,602</w:t>
            </w:r>
          </w:p>
        </w:tc>
        <w:tc>
          <w:tcPr>
            <w:tcW w:type="dxa" w:w="70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611.0</w:t>
            </w:r>
          </w:p>
        </w:tc>
        <w:tc>
          <w:tcPr>
            <w:tcW w:type="dxa" w:w="53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1.87%</w:t>
            </w:r>
          </w:p>
        </w:tc>
        <w:tc>
          <w:tcPr>
            <w:tcW w:type="dxa" w:w="448"/>
          </w:tcPr>
          <w:p>
            <w:pPr>
              <w:spacing w:after="20" w:before="20" w:line="252" w:lineRule="auto"/>
              <w:jc w:val="center"/>
            </w:pPr>
          </w:p>
        </w:tc>
        <w:tc>
          <w:tcPr>
            <w:tcW w:type="dxa" w:w="3159"/>
          </w:tcPr>
          <w:p>
            <w:pPr>
              <w:spacing w:after="20" w:before="20" w:line="252" w:lineRule="auto"/>
              <w:jc w:val="center"/>
            </w:pP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日期为定价日。Accelevation 于 9/30 定价,交割在季末前后,费用确认季度取决于各行会计政策。SK hynix 为美国上市,承销费 $257.5M 来自披露(约 0.97%);Jersey Mike's $50.0M、Csquare $40.0M(Brookfield 引入的股份不收费)、Attovia $20.23M、River City Bank $5.913M 也为披露值。其余按美国惯例:募资不足 $5 亿约 7%,$5-10 亿约 5%,封闭式基金 4.5% 销售费用。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17.2 六大行的 Q3 IPO 承销费(估算)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7"/>
        <w:gridCol w:w="836"/>
        <w:gridCol w:w="836"/>
        <w:gridCol w:w="836"/>
        <w:gridCol w:w="836"/>
        <w:gridCol w:w="836"/>
        <w:gridCol w:w="836"/>
        <w:gridCol w:w="999"/>
      </w:tblGrid>
      <w:tr>
        <w:trPr>
          <w:tblHeader w:val="true"/>
          <w:cantSplit/>
        </w:trPr>
        <w:tc>
          <w:tcPr>
            <w:tcW w:type="dxa" w:w="373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项目 ($M)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JPM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BAC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C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WFC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GS</w:t>
            </w:r>
          </w:p>
        </w:tc>
        <w:tc>
          <w:tcPr>
            <w:tcW w:type="dxa" w:w="83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MS</w:t>
            </w:r>
          </w:p>
        </w:tc>
        <w:tc>
          <w:tcPr>
            <w:tcW w:type="dxa" w:w="999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其他承销商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SK hynix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55.0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55.0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70.0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55.0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22.5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Jersey Mike's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6.7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6.7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30.0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Csquare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3.3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6.7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23.3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Accelevation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4.9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4.9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4.9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9.8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ADARx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7.8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7.8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15.6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Braveheart Bio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7.7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19.1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Electra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24.5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Latigo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8.1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16.1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Lyntris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11.9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Attovia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3.4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6.7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10.1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Orion180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2.4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14.4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Reformation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4.9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4.9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2.5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Apnimed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4.5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9.0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Robinhood Ventures Fund II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3.0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Standard Nuclear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4.2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4.2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2.1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BlossomHill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3.5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7.0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American Savings Bank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7.7</w:t>
            </w:r>
          </w:p>
        </w:tc>
      </w:tr>
      <w:tr>
        <w:trPr>
          <w:cantSplit/>
        </w:trPr>
        <w:tc>
          <w:tcPr>
            <w:tcW w:type="dxa" w:w="373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River City Bank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83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999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5.9</w:t>
            </w:r>
          </w:p>
        </w:tc>
      </w:tr>
      <w:tr>
        <w:trPr>
          <w:cantSplit/>
        </w:trPr>
        <w:tc>
          <w:tcPr>
            <w:tcW w:type="dxa" w:w="373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b/>
                <w:sz w:val="16"/>
              </w:rPr>
              <w:t>合计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87.6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75.8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83.3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4.8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87.1</w:t>
            </w:r>
          </w:p>
        </w:tc>
        <w:tc>
          <w:tcPr>
            <w:tcW w:type="dxa" w:w="83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37.7</w:t>
            </w:r>
          </w:p>
        </w:tc>
        <w:tc>
          <w:tcPr>
            <w:tcW w:type="dxa" w:w="99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234.6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3"/>
        <w:gridCol w:w="1427"/>
        <w:gridCol w:w="3064"/>
        <w:gridCol w:w="2874"/>
        <w:gridCol w:w="1193"/>
      </w:tblGrid>
      <w:tr>
        <w:trPr>
          <w:tblHeader w:val="true"/>
          <w:cantSplit/>
        </w:trPr>
        <w:tc>
          <w:tcPr>
            <w:tcW w:type="dxa" w:w="119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</w:t>
            </w:r>
          </w:p>
        </w:tc>
        <w:tc>
          <w:tcPr>
            <w:tcW w:type="dxa" w:w="142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参与项目数</w:t>
            </w:r>
          </w:p>
        </w:tc>
        <w:tc>
          <w:tcPr>
            <w:tcW w:type="dxa" w:w="306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估算 IPO 费用 ($M)</w:t>
            </w:r>
          </w:p>
        </w:tc>
        <w:tc>
          <w:tcPr>
            <w:tcW w:type="dxa" w:w="287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Q3E 投行费用 ($M)</w:t>
            </w:r>
          </w:p>
        </w:tc>
        <w:tc>
          <w:tcPr>
            <w:tcW w:type="dxa" w:w="119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占比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142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</w:t>
            </w:r>
          </w:p>
        </w:tc>
        <w:tc>
          <w:tcPr>
            <w:tcW w:type="dxa" w:w="30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87.6</w:t>
            </w:r>
          </w:p>
        </w:tc>
        <w:tc>
          <w:tcPr>
            <w:tcW w:type="dxa" w:w="287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3,048</w:t>
            </w:r>
          </w:p>
        </w:tc>
        <w:tc>
          <w:tcPr>
            <w:tcW w:type="dxa" w:w="119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2.9%</w:t>
            </w:r>
          </w:p>
        </w:tc>
      </w:tr>
      <w:tr>
        <w:trPr>
          <w:cantSplit/>
        </w:trPr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BAC</w:t>
            </w:r>
          </w:p>
        </w:tc>
        <w:tc>
          <w:tcPr>
            <w:tcW w:type="dxa" w:w="142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</w:t>
            </w:r>
          </w:p>
        </w:tc>
        <w:tc>
          <w:tcPr>
            <w:tcW w:type="dxa" w:w="30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75.8</w:t>
            </w:r>
          </w:p>
        </w:tc>
        <w:tc>
          <w:tcPr>
            <w:tcW w:type="dxa" w:w="287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1,738</w:t>
            </w:r>
          </w:p>
        </w:tc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4.4%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142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</w:t>
            </w:r>
          </w:p>
        </w:tc>
        <w:tc>
          <w:tcPr>
            <w:tcW w:type="dxa" w:w="30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83.3</w:t>
            </w:r>
          </w:p>
        </w:tc>
        <w:tc>
          <w:tcPr>
            <w:tcW w:type="dxa" w:w="287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1,208</w:t>
            </w:r>
          </w:p>
        </w:tc>
        <w:tc>
          <w:tcPr>
            <w:tcW w:type="dxa" w:w="119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6.9%</w:t>
            </w:r>
          </w:p>
        </w:tc>
      </w:tr>
      <w:tr>
        <w:trPr>
          <w:cantSplit/>
        </w:trPr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WFC</w:t>
            </w:r>
          </w:p>
        </w:tc>
        <w:tc>
          <w:tcPr>
            <w:tcW w:type="dxa" w:w="142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</w:t>
            </w:r>
          </w:p>
        </w:tc>
        <w:tc>
          <w:tcPr>
            <w:tcW w:type="dxa" w:w="30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4.8</w:t>
            </w:r>
          </w:p>
        </w:tc>
        <w:tc>
          <w:tcPr>
            <w:tcW w:type="dxa" w:w="287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939</w:t>
            </w:r>
          </w:p>
        </w:tc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0.5%</w:t>
            </w:r>
          </w:p>
        </w:tc>
      </w:tr>
      <w:tr>
        <w:trPr>
          <w:cantSplit/>
        </w:trPr>
        <w:tc>
          <w:tcPr>
            <w:tcW w:type="dxa" w:w="119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142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</w:t>
            </w:r>
          </w:p>
        </w:tc>
        <w:tc>
          <w:tcPr>
            <w:tcW w:type="dxa" w:w="306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87.1</w:t>
            </w:r>
          </w:p>
        </w:tc>
        <w:tc>
          <w:tcPr>
            <w:tcW w:type="dxa" w:w="287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3,100</w:t>
            </w:r>
          </w:p>
        </w:tc>
        <w:tc>
          <w:tcPr>
            <w:tcW w:type="dxa" w:w="1193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2.8%</w:t>
            </w:r>
          </w:p>
        </w:tc>
      </w:tr>
      <w:tr>
        <w:trPr>
          <w:cantSplit/>
        </w:trPr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142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</w:t>
            </w:r>
          </w:p>
        </w:tc>
        <w:tc>
          <w:tcPr>
            <w:tcW w:type="dxa" w:w="306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37.7</w:t>
            </w:r>
          </w:p>
        </w:tc>
        <w:tc>
          <w:tcPr>
            <w:tcW w:type="dxa" w:w="287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2,751</w:t>
            </w:r>
          </w:p>
        </w:tc>
        <w:tc>
          <w:tcPr>
            <w:tcW w:type="dxa" w:w="1193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1.4%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2468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ipo_fe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 w:cs="Calibri"/>
          <w:i/>
          <w:color w:val="555555"/>
          <w:sz w:val="18"/>
        </w:rPr>
        <w:t>图15:IPO 承销费:Q3 估算 vs Q2 SpaceX(左),占 Q3E 投行费用比重(中),Q4 Anthropic 情景(右)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读图要点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IPO 费用只是投行费用的一小块</w:t>
      </w:r>
      <w:r>
        <w:rPr>
          <w:rFonts w:ascii="Calibri" w:hAnsi="Calibri" w:eastAsia="Microsoft YaHei" w:cs="Calibri"/>
          <w:sz w:val="21"/>
        </w:rPr>
        <w:t>:六大行里最高的是 C,也只有约 6.9%;其余多为 1%-5%。投行费用更大的部分是并购顾问、债券和杠杆融资承销。这支持第 0 节「IPO 火热对 Q3 费用不成立」。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一单就决定排名</w:t>
      </w:r>
      <w:r>
        <w:rPr>
          <w:rFonts w:ascii="Calibri" w:hAnsi="Calibri" w:eastAsia="Microsoft YaHei" w:cs="Calibri"/>
          <w:sz w:val="21"/>
        </w:rPr>
        <w:t>:SK hynix 费用 $257.5M 占所有梳理项目费用的 42%,Citi 估算约 $70M(报道称超过 $70M),BofA、GS、JPM 各约 $55M(估算);去掉它,各行的 IPO 费用都只有十几到几十百万美元。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费率与规模成反比</w:t>
      </w:r>
      <w:r>
        <w:rPr>
          <w:rFonts w:ascii="Calibri" w:hAnsi="Calibri" w:eastAsia="Microsoft YaHei" w:cs="Calibri"/>
          <w:sz w:val="21"/>
        </w:rPr>
        <w:t>:SK hynix 约 0.97%,SpaceX 约 0.67%(基础发行 $750 亿对应约 $5 亿),$10 亿级约 4%-5%,$3 亿以下生物科技约 7%。所以募资额大不等于费用大。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Q2 对照</w:t>
      </w:r>
      <w:r>
        <w:rPr>
          <w:rFonts w:ascii="Calibri" w:hAnsi="Calibri" w:eastAsia="Microsoft YaHei" w:cs="Calibri"/>
          <w:sz w:val="21"/>
        </w:rPr>
        <w:t>:SpaceX 一单的费用池约 $500M(GS、MS 各约 $100M,BofA、Citi、JPM 各约 $75M),与我们梳理的 Q3 全部 18 单合计(约 $611M)相当。这是 Q2 投行费用创纪录的关键。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17.3 Q4 已知的 IPO 管线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1804"/>
        <w:gridCol w:w="652"/>
        <w:gridCol w:w="498"/>
        <w:gridCol w:w="725"/>
        <w:gridCol w:w="1861"/>
        <w:gridCol w:w="2887"/>
      </w:tblGrid>
      <w:tr>
        <w:trPr>
          <w:tblHeader w:val="true"/>
          <w:cantSplit/>
        </w:trPr>
        <w:tc>
          <w:tcPr>
            <w:tcW w:type="dxa" w:w="13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80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65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规模 ($M)</w:t>
            </w:r>
          </w:p>
        </w:tc>
        <w:tc>
          <w:tcPr>
            <w:tcW w:type="dxa" w:w="49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费率假设</w:t>
            </w:r>
          </w:p>
        </w:tc>
        <w:tc>
          <w:tcPr>
            <w:tcW w:type="dxa" w:w="72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费用估算 ($M)</w:t>
            </w:r>
          </w:p>
        </w:tc>
        <w:tc>
          <w:tcPr>
            <w:tcW w:type="dxa" w:w="186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牵头行</w:t>
            </w:r>
          </w:p>
        </w:tc>
        <w:tc>
          <w:tcPr>
            <w:tcW w:type="dxa" w:w="288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32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Anthropic</w:t>
            </w:r>
          </w:p>
        </w:tc>
        <w:tc>
          <w:tcPr>
            <w:tcW w:type="dxa" w:w="1804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Nov 2026 (after midterms)</w:t>
            </w:r>
          </w:p>
        </w:tc>
        <w:tc>
          <w:tcPr>
            <w:tcW w:type="dxa" w:w="65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100,000</w:t>
            </w:r>
          </w:p>
        </w:tc>
        <w:tc>
          <w:tcPr>
            <w:tcW w:type="dxa" w:w="4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0.67%</w:t>
            </w:r>
          </w:p>
        </w:tc>
        <w:tc>
          <w:tcPr>
            <w:tcW w:type="dxa" w:w="7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670</w:t>
            </w:r>
          </w:p>
        </w:tc>
        <w:tc>
          <w:tcPr>
            <w:tcW w:type="dxa" w:w="186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MS, GS (leads); JPM, Citi</w:t>
            </w:r>
          </w:p>
        </w:tc>
        <w:tc>
          <w:tcPr>
            <w:tcW w:type="dxa" w:w="288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roadshow mid-Oct; no public S-1 yet</w:t>
            </w:r>
          </w:p>
        </w:tc>
      </w:tr>
      <w:tr>
        <w:trPr>
          <w:cantSplit/>
        </w:trPr>
        <w:tc>
          <w:tcPr>
            <w:tcW w:type="dxa" w:w="132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Oura</w:t>
            </w:r>
          </w:p>
        </w:tc>
        <w:tc>
          <w:tcPr>
            <w:tcW w:type="dxa" w:w="180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Postponed on 9/29</w:t>
            </w:r>
          </w:p>
        </w:tc>
        <w:tc>
          <w:tcPr>
            <w:tcW w:type="dxa" w:w="65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2,150</w:t>
            </w:r>
          </w:p>
        </w:tc>
        <w:tc>
          <w:tcPr>
            <w:tcW w:type="dxa" w:w="4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5.00%</w:t>
            </w:r>
          </w:p>
        </w:tc>
        <w:tc>
          <w:tcPr>
            <w:tcW w:type="dxa" w:w="7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108</w:t>
            </w:r>
          </w:p>
        </w:tc>
        <w:tc>
          <w:tcPr>
            <w:tcW w:type="dxa" w:w="18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288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planned 50M sh at $40-44; postponed</w:t>
            </w:r>
          </w:p>
        </w:tc>
      </w:tr>
      <w:tr>
        <w:trPr>
          <w:cantSplit/>
        </w:trPr>
        <w:tc>
          <w:tcPr>
            <w:tcW w:type="dxa" w:w="132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Entrata</w:t>
            </w:r>
          </w:p>
        </w:tc>
        <w:tc>
          <w:tcPr>
            <w:tcW w:type="dxa" w:w="18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Q4</w:t>
            </w:r>
          </w:p>
        </w:tc>
        <w:tc>
          <w:tcPr>
            <w:tcW w:type="dxa" w:w="65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500</w:t>
            </w:r>
          </w:p>
        </w:tc>
        <w:tc>
          <w:tcPr>
            <w:tcW w:type="dxa" w:w="4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6.00%</w:t>
            </w:r>
          </w:p>
        </w:tc>
        <w:tc>
          <w:tcPr>
            <w:tcW w:type="dxa" w:w="7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30</w:t>
            </w:r>
          </w:p>
        </w:tc>
        <w:tc>
          <w:tcPr>
            <w:tcW w:type="dxa" w:w="1861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GS, JPM, Barclays</w:t>
            </w:r>
          </w:p>
        </w:tc>
        <w:tc>
          <w:tcPr>
            <w:tcW w:type="dxa" w:w="288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NYSE: ENT; ~$500M target</w:t>
            </w:r>
          </w:p>
        </w:tc>
      </w:tr>
      <w:tr>
        <w:trPr>
          <w:cantSplit/>
        </w:trPr>
        <w:tc>
          <w:tcPr>
            <w:tcW w:type="dxa" w:w="132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SB Energy</w:t>
            </w:r>
          </w:p>
        </w:tc>
        <w:tc>
          <w:tcPr>
            <w:tcW w:type="dxa" w:w="180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Q4 (reportedly delayed)</w:t>
            </w:r>
          </w:p>
        </w:tc>
        <w:tc>
          <w:tcPr>
            <w:tcW w:type="dxa" w:w="65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JPM, GS, MS, Citi + others</w:t>
            </w:r>
          </w:p>
        </w:tc>
        <w:tc>
          <w:tcPr>
            <w:tcW w:type="dxa" w:w="288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S-1/A #2 on 9/21; NVIDIA $3B private placement</w:t>
            </w:r>
          </w:p>
        </w:tc>
      </w:tr>
      <w:tr>
        <w:trPr>
          <w:cantSplit/>
        </w:trPr>
        <w:tc>
          <w:tcPr>
            <w:tcW w:type="dxa" w:w="132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Encore</w:t>
            </w:r>
          </w:p>
        </w:tc>
        <w:tc>
          <w:tcPr>
            <w:tcW w:type="dxa" w:w="18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Q4</w:t>
            </w:r>
          </w:p>
        </w:tc>
        <w:tc>
          <w:tcPr>
            <w:tcW w:type="dxa" w:w="65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BofA, GS, MS</w:t>
            </w:r>
          </w:p>
        </w:tc>
        <w:tc>
          <w:tcPr>
            <w:tcW w:type="dxa" w:w="2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size n/d</w:t>
            </w:r>
          </w:p>
        </w:tc>
      </w:tr>
      <w:tr>
        <w:trPr>
          <w:cantSplit/>
        </w:trPr>
        <w:tc>
          <w:tcPr>
            <w:tcW w:type="dxa" w:w="132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Aggreko</w:t>
            </w:r>
          </w:p>
        </w:tc>
        <w:tc>
          <w:tcPr>
            <w:tcW w:type="dxa" w:w="180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Q4</w:t>
            </w:r>
          </w:p>
        </w:tc>
        <w:tc>
          <w:tcPr>
            <w:tcW w:type="dxa" w:w="65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2887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F-1 filed, NYSE: AGKO</w:t>
            </w:r>
          </w:p>
        </w:tc>
      </w:tr>
      <w:tr>
        <w:trPr>
          <w:cantSplit/>
        </w:trPr>
        <w:tc>
          <w:tcPr>
            <w:tcW w:type="dxa" w:w="132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Nscale</w:t>
            </w:r>
          </w:p>
        </w:tc>
        <w:tc>
          <w:tcPr>
            <w:tcW w:type="dxa" w:w="18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Q4</w:t>
            </w:r>
          </w:p>
        </w:tc>
        <w:tc>
          <w:tcPr>
            <w:tcW w:type="dxa" w:w="65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2887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NYSE filing</w:t>
            </w:r>
          </w:p>
        </w:tc>
      </w:tr>
      <w:tr>
        <w:trPr>
          <w:cantSplit/>
        </w:trPr>
        <w:tc>
          <w:tcPr>
            <w:tcW w:type="dxa" w:w="132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Inspire Brands</w:t>
            </w:r>
          </w:p>
        </w:tc>
        <w:tc>
          <w:tcPr>
            <w:tcW w:type="dxa" w:w="1804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year-end / early 2027</w:t>
            </w:r>
          </w:p>
        </w:tc>
        <w:tc>
          <w:tcPr>
            <w:tcW w:type="dxa" w:w="65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28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timing may slip</w:t>
            </w:r>
          </w:p>
        </w:tc>
      </w:tr>
      <w:tr>
        <w:trPr>
          <w:cantSplit/>
        </w:trPr>
        <w:tc>
          <w:tcPr>
            <w:tcW w:type="dxa" w:w="1325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City Therapeutics</w:t>
            </w:r>
          </w:p>
        </w:tc>
        <w:tc>
          <w:tcPr>
            <w:tcW w:type="dxa" w:w="180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Q4</w:t>
            </w:r>
          </w:p>
        </w:tc>
        <w:tc>
          <w:tcPr>
            <w:tcW w:type="dxa" w:w="652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GS, Jefferies</w:t>
            </w:r>
          </w:p>
        </w:tc>
        <w:tc>
          <w:tcPr>
            <w:tcW w:type="dxa" w:w="2887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biotech; size n/d</w:t>
            </w:r>
          </w:p>
        </w:tc>
      </w:tr>
      <w:tr>
        <w:trPr>
          <w:cantSplit/>
        </w:trPr>
        <w:tc>
          <w:tcPr>
            <w:tcW w:type="dxa" w:w="1325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6"/>
              </w:rPr>
              <w:t>OpenAI</w:t>
            </w:r>
          </w:p>
        </w:tc>
        <w:tc>
          <w:tcPr>
            <w:tcW w:type="dxa" w:w="180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2027</w:t>
            </w:r>
          </w:p>
        </w:tc>
        <w:tc>
          <w:tcPr>
            <w:tcW w:type="dxa" w:w="652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49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-</w:t>
            </w:r>
          </w:p>
        </w:tc>
        <w:tc>
          <w:tcPr>
            <w:tcW w:type="dxa" w:w="72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1861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n/d</w:t>
            </w:r>
          </w:p>
        </w:tc>
        <w:tc>
          <w:tcPr>
            <w:tcW w:type="dxa" w:w="2887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6"/>
              </w:rPr>
              <w:t>pushed to 2027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sz w:val="21"/>
        </w:rPr>
        <w:t>n/d = 未披露。除 Anthropic 外,规模来自媒体或备案文件,可能变化;费率为假设。Oura 已于 9/29 推迟。管线中的其他项目(Switch、Holtec Nuclear、Tailored Brands、CoVolt Power、Wella、Iambic、Retension、TRex Bio 等)规模多未披露,未估算。Renaissance 估计年底前 40-70 单较大的美国 IPO 可能募资超过 $1250 亿,取决于巨型交易是否成行。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17.4 Anthropic 情景:Q4 最大的费用变量</w:t>
      </w:r>
    </w:p>
    <w:p>
      <w:r>
        <w:rPr>
          <w:rFonts w:ascii="Calibri" w:hAnsi="Calibri" w:eastAsia="Microsoft YaHei" w:cs="Calibri"/>
          <w:sz w:val="21"/>
        </w:rPr>
        <w:t>据媒体报道,Anthropic 目标 11 月、中期选举之后上市,募资规模最高约 $1000 亿、估值约 2 万亿美元,路演预计 10 月中旬,牵头行为 MS 和 GS,JPM 和 Citi 参与;截至本文日期尚无公开 S-1,所有信息未经证实。OpenAI 已推迟到 2027 年。下面的表是假设推演,不是预测。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"/>
        <w:gridCol w:w="1246"/>
        <w:gridCol w:w="1630"/>
        <w:gridCol w:w="2675"/>
        <w:gridCol w:w="3158"/>
      </w:tblGrid>
      <w:tr>
        <w:trPr>
          <w:tblHeader w:val="true"/>
          <w:cantSplit/>
        </w:trPr>
        <w:tc>
          <w:tcPr>
            <w:tcW w:type="dxa" w:w="104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募资规模</w:t>
            </w:r>
          </w:p>
        </w:tc>
        <w:tc>
          <w:tcPr>
            <w:tcW w:type="dxa" w:w="124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费率</w:t>
            </w:r>
          </w:p>
        </w:tc>
        <w:tc>
          <w:tcPr>
            <w:tcW w:type="dxa" w:w="163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费用池 ($M)</w:t>
            </w:r>
          </w:p>
        </w:tc>
        <w:tc>
          <w:tcPr>
            <w:tcW w:type="dxa" w:w="26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牵头行各得 20% ($M)</w:t>
            </w:r>
          </w:p>
        </w:tc>
        <w:tc>
          <w:tcPr>
            <w:tcW w:type="dxa" w:w="315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其他主承销商各得 15% ($M)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$60B</w:t>
            </w:r>
          </w:p>
        </w:tc>
        <w:tc>
          <w:tcPr>
            <w:tcW w:type="dxa" w:w="124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0.50%</w:t>
            </w:r>
          </w:p>
        </w:tc>
        <w:tc>
          <w:tcPr>
            <w:tcW w:type="dxa" w:w="163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300</w:t>
            </w:r>
          </w:p>
        </w:tc>
        <w:tc>
          <w:tcPr>
            <w:tcW w:type="dxa" w:w="26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60</w:t>
            </w:r>
          </w:p>
        </w:tc>
        <w:tc>
          <w:tcPr>
            <w:tcW w:type="dxa" w:w="315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104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$60B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0.67%</w:t>
            </w:r>
          </w:p>
        </w:tc>
        <w:tc>
          <w:tcPr>
            <w:tcW w:type="dxa" w:w="163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402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80</w:t>
            </w:r>
          </w:p>
        </w:tc>
        <w:tc>
          <w:tcPr>
            <w:tcW w:type="dxa" w:w="315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$60B</w:t>
            </w:r>
          </w:p>
        </w:tc>
        <w:tc>
          <w:tcPr>
            <w:tcW w:type="dxa" w:w="124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1.00%</w:t>
            </w:r>
          </w:p>
        </w:tc>
        <w:tc>
          <w:tcPr>
            <w:tcW w:type="dxa" w:w="163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600</w:t>
            </w:r>
          </w:p>
        </w:tc>
        <w:tc>
          <w:tcPr>
            <w:tcW w:type="dxa" w:w="26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120</w:t>
            </w:r>
          </w:p>
        </w:tc>
        <w:tc>
          <w:tcPr>
            <w:tcW w:type="dxa" w:w="315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90</w:t>
            </w:r>
          </w:p>
        </w:tc>
      </w:tr>
      <w:tr>
        <w:trPr>
          <w:cantSplit/>
        </w:trPr>
        <w:tc>
          <w:tcPr>
            <w:tcW w:type="dxa" w:w="104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$100B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0.50%</w:t>
            </w:r>
          </w:p>
        </w:tc>
        <w:tc>
          <w:tcPr>
            <w:tcW w:type="dxa" w:w="163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500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100</w:t>
            </w:r>
          </w:p>
        </w:tc>
        <w:tc>
          <w:tcPr>
            <w:tcW w:type="dxa" w:w="315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$100B</w:t>
            </w:r>
          </w:p>
        </w:tc>
        <w:tc>
          <w:tcPr>
            <w:tcW w:type="dxa" w:w="1246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0.67%</w:t>
            </w:r>
          </w:p>
        </w:tc>
        <w:tc>
          <w:tcPr>
            <w:tcW w:type="dxa" w:w="1630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670</w:t>
            </w:r>
          </w:p>
        </w:tc>
        <w:tc>
          <w:tcPr>
            <w:tcW w:type="dxa" w:w="2675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134</w:t>
            </w:r>
          </w:p>
        </w:tc>
        <w:tc>
          <w:tcPr>
            <w:tcW w:type="dxa" w:w="315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1042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$100B</w:t>
            </w:r>
          </w:p>
        </w:tc>
        <w:tc>
          <w:tcPr>
            <w:tcW w:type="dxa" w:w="1246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1.00%</w:t>
            </w:r>
          </w:p>
        </w:tc>
        <w:tc>
          <w:tcPr>
            <w:tcW w:type="dxa" w:w="1630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1,000</w:t>
            </w:r>
          </w:p>
        </w:tc>
        <w:tc>
          <w:tcPr>
            <w:tcW w:type="dxa" w:w="2675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200</w:t>
            </w:r>
          </w:p>
        </w:tc>
        <w:tc>
          <w:tcPr>
            <w:tcW w:type="dxa" w:w="315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3"/>
        <w:gridCol w:w="884"/>
        <w:gridCol w:w="1538"/>
        <w:gridCol w:w="2128"/>
        <w:gridCol w:w="2128"/>
      </w:tblGrid>
      <w:tr>
        <w:trPr>
          <w:tblHeader w:val="true"/>
          <w:cantSplit/>
        </w:trPr>
        <w:tc>
          <w:tcPr>
            <w:tcW w:type="dxa" w:w="307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银行(基准:$1000 亿、0.67%)</w:t>
            </w:r>
          </w:p>
        </w:tc>
        <w:tc>
          <w:tcPr>
            <w:tcW w:type="dxa" w:w="88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份额假设</w:t>
            </w:r>
          </w:p>
        </w:tc>
        <w:tc>
          <w:tcPr>
            <w:tcW w:type="dxa" w:w="15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估算费用 ($M)</w:t>
            </w:r>
          </w:p>
        </w:tc>
        <w:tc>
          <w:tcPr>
            <w:tcW w:type="dxa" w:w="212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Q3E 投行费用 ($M)</w:t>
            </w:r>
          </w:p>
        </w:tc>
        <w:tc>
          <w:tcPr>
            <w:tcW w:type="dxa" w:w="212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相当于一个季度投行费用的</w:t>
            </w:r>
          </w:p>
        </w:tc>
      </w:tr>
      <w:tr>
        <w:trPr>
          <w:cantSplit/>
        </w:trPr>
        <w:tc>
          <w:tcPr>
            <w:tcW w:type="dxa" w:w="307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MS</w:t>
            </w:r>
          </w:p>
        </w:tc>
        <w:tc>
          <w:tcPr>
            <w:tcW w:type="dxa" w:w="88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20%</w:t>
            </w:r>
          </w:p>
        </w:tc>
        <w:tc>
          <w:tcPr>
            <w:tcW w:type="dxa" w:w="15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134</w:t>
            </w:r>
          </w:p>
        </w:tc>
        <w:tc>
          <w:tcPr>
            <w:tcW w:type="dxa" w:w="212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2,751</w:t>
            </w:r>
          </w:p>
        </w:tc>
        <w:tc>
          <w:tcPr>
            <w:tcW w:type="dxa" w:w="212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4.9%</w:t>
            </w:r>
          </w:p>
        </w:tc>
      </w:tr>
      <w:tr>
        <w:trPr>
          <w:cantSplit/>
        </w:trPr>
        <w:tc>
          <w:tcPr>
            <w:tcW w:type="dxa" w:w="307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GS</w:t>
            </w:r>
          </w:p>
        </w:tc>
        <w:tc>
          <w:tcPr>
            <w:tcW w:type="dxa" w:w="88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20%</w:t>
            </w:r>
          </w:p>
        </w:tc>
        <w:tc>
          <w:tcPr>
            <w:tcW w:type="dxa" w:w="15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134</w:t>
            </w:r>
          </w:p>
        </w:tc>
        <w:tc>
          <w:tcPr>
            <w:tcW w:type="dxa" w:w="212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3,100</w:t>
            </w:r>
          </w:p>
        </w:tc>
        <w:tc>
          <w:tcPr>
            <w:tcW w:type="dxa" w:w="212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4.3%</w:t>
            </w:r>
          </w:p>
        </w:tc>
      </w:tr>
      <w:tr>
        <w:trPr>
          <w:cantSplit/>
        </w:trPr>
        <w:tc>
          <w:tcPr>
            <w:tcW w:type="dxa" w:w="3073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JPM</w:t>
            </w:r>
          </w:p>
        </w:tc>
        <w:tc>
          <w:tcPr>
            <w:tcW w:type="dxa" w:w="884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15%</w:t>
            </w:r>
          </w:p>
        </w:tc>
        <w:tc>
          <w:tcPr>
            <w:tcW w:type="dxa" w:w="153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101</w:t>
            </w:r>
          </w:p>
        </w:tc>
        <w:tc>
          <w:tcPr>
            <w:tcW w:type="dxa" w:w="212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3,048</w:t>
            </w:r>
          </w:p>
        </w:tc>
        <w:tc>
          <w:tcPr>
            <w:tcW w:type="dxa" w:w="2128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3.3%</w:t>
            </w:r>
          </w:p>
        </w:tc>
      </w:tr>
      <w:tr>
        <w:trPr>
          <w:cantSplit/>
        </w:trPr>
        <w:tc>
          <w:tcPr>
            <w:tcW w:type="dxa" w:w="3073"/>
            <w:shd w:val="clear" w:color="auto" w:fill="F2F5F9"/>
          </w:tcPr>
          <w:p>
            <w:pPr>
              <w:spacing w:after="20" w:before="20" w:line="252" w:lineRule="auto"/>
              <w:jc w:val="left"/>
            </w:pPr>
            <w:r>
              <w:rPr>
                <w:rFonts w:ascii="Calibri" w:hAnsi="Calibri" w:eastAsia="Microsoft YaHei" w:cs="Calibri"/>
                <w:sz w:val="17"/>
              </w:rPr>
              <w:t>C</w:t>
            </w:r>
          </w:p>
        </w:tc>
        <w:tc>
          <w:tcPr>
            <w:tcW w:type="dxa" w:w="884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15%</w:t>
            </w:r>
          </w:p>
        </w:tc>
        <w:tc>
          <w:tcPr>
            <w:tcW w:type="dxa" w:w="153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101</w:t>
            </w:r>
          </w:p>
        </w:tc>
        <w:tc>
          <w:tcPr>
            <w:tcW w:type="dxa" w:w="212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1,208</w:t>
            </w:r>
          </w:p>
        </w:tc>
        <w:tc>
          <w:tcPr>
            <w:tcW w:type="dxa" w:w="2128"/>
            <w:shd w:val="clear" w:color="auto" w:fill="F2F5F9"/>
          </w:tcPr>
          <w:p>
            <w:pPr>
              <w:spacing w:after="20" w:before="20" w:line="252" w:lineRule="auto"/>
              <w:jc w:val="center"/>
            </w:pPr>
            <w:r>
              <w:rPr>
                <w:rFonts w:ascii="Calibri" w:hAnsi="Calibri" w:eastAsia="Microsoft YaHei" w:cs="Calibri"/>
                <w:sz w:val="17"/>
              </w:rPr>
              <w:t>8.3%</w:t>
            </w:r>
          </w:p>
        </w:tc>
      </w:tr>
    </w:tbl>
    <w:p>
      <w:pPr>
        <w:spacing w:after="40"/>
      </w:pP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假设来源</w:t>
      </w:r>
      <w:r>
        <w:rPr>
          <w:rFonts w:ascii="Calibri" w:hAnsi="Calibri" w:eastAsia="Microsoft YaHei" w:cs="Calibri"/>
          <w:sz w:val="21"/>
        </w:rPr>
        <w:t>:费率 0.5%/0.67%/1.0% 涵盖了巨型交易的区间(SpaceX 约 0.67%,SK hynix 约 0.97%);份额沿用 SpaceX 的 20%(牵头)和 15%(其他主承销商)。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b/>
          <w:sz w:val="21"/>
        </w:rPr>
        <w:t>含义</w:t>
      </w:r>
      <w:r>
        <w:rPr>
          <w:rFonts w:ascii="Calibri" w:hAnsi="Calibri" w:eastAsia="Microsoft YaHei" w:cs="Calibri"/>
          <w:sz w:val="21"/>
        </w:rPr>
        <w:t xml:space="preserve">:即使是史上最大的 IPO,在基准情景下对牵头行也只是约一个季度投行费用的 4%-5%,对 C 约 8%;关键是 </w:t>
      </w:r>
      <w:r>
        <w:rPr>
          <w:rFonts w:ascii="Calibri" w:hAnsi="Calibri" w:eastAsia="Microsoft YaHei" w:cs="Calibri"/>
          <w:b/>
          <w:sz w:val="21"/>
        </w:rPr>
        <w:t>时点</w:t>
      </w:r>
      <w:r>
        <w:rPr>
          <w:rFonts w:ascii="Calibri" w:hAnsi="Calibri" w:eastAsia="Microsoft YaHei" w:cs="Calibri"/>
          <w:sz w:val="21"/>
        </w:rPr>
        <w:t>:它若落在 11 月,就是 Q4 的增量,而不是 Q3 的。如果 AI 大额 IPO 推迟到 2027,Q4 的 IB 费用就更依赖并购与债券。</w:t>
      </w:r>
    </w:p>
    <w:p>
      <w:pPr>
        <w:pStyle w:val="Heading3"/>
      </w:pPr>
      <w:r>
        <w:rPr>
          <w:rFonts w:ascii="Calibri" w:hAnsi="Calibri" w:eastAsia="Microsoft YaHei" w:cs="Calibri"/>
          <w:b/>
          <w:color w:val="1F4E79"/>
          <w:sz w:val="24"/>
        </w:rPr>
        <w:t>17.5 IPO 部分的局限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覆盖:18 单,约占去掉 SK hynix 后 Q3 募资的七成;其余约 12 单规模较小。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各行分成:除 SK hynix 与 SpaceX 有报道外,均按「牵头/全球协调人 = 2,联席账簿管理人 = 1,其他 = 0.5-1」加权;「其他承销商」包括未单列的中小券商。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费用确认:IPO 费用通常在定价/交割时确认,跨季项目可能进入下一季度;各行披露的投行费用还包含并购、债券、杠杆融资,这里只拆 IPO。</w:t>
      </w:r>
    </w:p>
    <w:p>
      <w:pPr>
        <w:tabs>
          <w:tab w:pos="369" w:val="left"/>
        </w:tabs>
        <w:spacing w:after="60"/>
        <w:ind w:left="369" w:hanging="283"/>
      </w:pPr>
      <w:r>
        <w:rPr>
          <w:rFonts w:ascii="Calibri" w:hAnsi="Calibri" w:eastAsia="Microsoft YaHei" w:cs="Calibri"/>
          <w:b w:val="0"/>
          <w:color w:val="1F4E79"/>
          <w:sz w:val="21"/>
        </w:rPr>
        <w:t>•</w:t>
        <w:tab/>
      </w:r>
      <w:r>
        <w:rPr>
          <w:rFonts w:ascii="Calibri" w:hAnsi="Calibri" w:eastAsia="Microsoft YaHei" w:cs="Calibri"/>
          <w:sz w:val="21"/>
        </w:rPr>
        <w:t>中国与香港的巨型 IPO(CXMT 约 $86 亿、中际旭创 $68-78 亿)由中资或国际银行承销,美国大行只在中际旭创里有 GS、MS 参与,未纳入上表。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55555"/>
        <w:sz w:val="18"/>
      </w:rPr>
      <w:t xml:space="preserve">第 </w:t>
    </w:r>
    <w:r>
      <w:rPr>
        <w:rFonts w:ascii="Calibri" w:hAnsi="Calibri" w:eastAsia="Microsoft YaHei" w:cs="Calibri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 w:cs="Calibr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color w:val="555555"/>
        <w:sz w:val="17"/>
      </w:rPr>
      <w:t>美股金融板块 2026 Q3 财报季前瞻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Microsoft YaHei" w:cs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 w:eastAsia="Microsoft YaHei" w:cs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Microsoft YaHei" w:cs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="Calibri" w:hAnsi="Calibri" w:eastAsia="Microsoft YaHei" w:cs="Calibr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="Calibri" w:hAnsi="Calibri" w:eastAsia="Microsoft YaHei" w:cs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美股金融板块 2026 年 Q3 财报季前瞻(图文版)</dc:title>
  <dc:subject/>
  <dc:creator>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