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C0575" w14:textId="529BF926" w:rsidR="007D37CC" w:rsidRDefault="007D37CC" w:rsidP="007D37CC">
      <w:r>
        <w:t>I selected Nike because it is a company I follow and understand well. Nike dominates the global athletic footwear and apparel market with strong brand recognition and a direct-to-consumer business that should, in theory, give it pricing power. The fund holds no position.</w:t>
      </w:r>
    </w:p>
    <w:p w14:paraId="7CDADF95" w14:textId="77777777" w:rsidR="009F1A87" w:rsidRDefault="009F1A87" w:rsidP="007D37CC"/>
    <w:p w14:paraId="352A415B" w14:textId="77777777" w:rsidR="007D37CC" w:rsidRDefault="007D37CC" w:rsidP="007D37CC">
      <w:r>
        <w:t>Looking at the financials without any model, I notice that revenue basically went nowhere in FY2026 — flat at around $46 billion after a bad FY2025 where revenue dropped nearly 10%. Gross margin fell from about 44.6% in FY2024 to a trough near 42.7% in FY2025, and it only barely recovered in FY2026. A lot of that came from Nike discounting heavily to clear excess inventory. Greater China fell 13% and Nike's own digital channel fell 8% — those two things worry me the most because they suggest the premium brand story may be under pressure.</w:t>
      </w:r>
    </w:p>
    <w:p w14:paraId="311A1075" w14:textId="77777777" w:rsidR="007D37CC" w:rsidRDefault="007D37CC" w:rsidP="007D37CC"/>
    <w:p w14:paraId="4FF62E85" w14:textId="77777777" w:rsidR="007D37CC" w:rsidRDefault="007D37CC" w:rsidP="007D37CC">
      <w:r>
        <w:t>That said, Nike still has about $9 billion in cash and short-term investments on the balance sheet against roughly $8 billion in debt, so they are not in financial distress. They can absorb a couple more bad years without a crisis.</w:t>
      </w:r>
    </w:p>
    <w:p w14:paraId="3263923D" w14:textId="77777777" w:rsidR="007D37CC" w:rsidRDefault="007D37CC" w:rsidP="007D37CC"/>
    <w:p w14:paraId="30EDF38C" w14:textId="77777777" w:rsidR="007D37CC" w:rsidRDefault="007D37CC" w:rsidP="007D37CC">
      <w:r>
        <w:t>My rough pre-model view is that the stock at around $38 is pricing in something close to no recovery — maybe 2 to 3% growth forever. I think the real range of outcomes is wider than that. If the turnaround works and gross margins get back toward 44%, I think the stock is worth somewhere in the $45 to $50 range. If China stays weak and Nike Direct keeps shrinking, I think fair value is closer to $28 to $32. Either way I would not initiate at $38 — I'd want to see either the price drop to the low $30s or see actual evidence of recovery in quarterly filings first.</w:t>
      </w:r>
    </w:p>
    <w:p w14:paraId="33A4FCFB" w14:textId="77777777" w:rsidR="007D37CC" w:rsidRDefault="007D37CC" w:rsidP="007D37CC"/>
    <w:p w14:paraId="5B89E8B9" w14:textId="77777777" w:rsidR="007D37CC" w:rsidRDefault="007D37CC" w:rsidP="007D37CC">
      <w:r>
        <w:t>My plan is to build a FCFF DCF model with WACC and a terminal value as the main method, use comparable company multiples as a sanity check, and run a reverse DCF to find out exactly what growth rate the current market price implies. The biggest unknowns I need to resolve in the model are the gross margin trajectory and whether Greater China can stabilize.</w:t>
      </w:r>
    </w:p>
    <w:p w14:paraId="54B1DC3E" w14:textId="77777777" w:rsidR="007D37CC" w:rsidRDefault="007D37CC" w:rsidP="007D37CC"/>
    <w:p w14:paraId="6EE1179C" w14:textId="465B2AF6" w:rsidR="00094208" w:rsidRDefault="007D37CC" w:rsidP="007D37CC">
      <w:r>
        <w:t>Preliminary action: Watch / Defer. No position until price or evidence moves.</w:t>
      </w:r>
    </w:p>
    <w:sectPr w:rsidR="0009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74"/>
    <w:rsid w:val="00094208"/>
    <w:rsid w:val="002C2574"/>
    <w:rsid w:val="00596005"/>
    <w:rsid w:val="007D37CC"/>
    <w:rsid w:val="009F1A87"/>
    <w:rsid w:val="00AA638A"/>
    <w:rsid w:val="00C40771"/>
    <w:rsid w:val="00DE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1AFAA"/>
  <w15:chartTrackingRefBased/>
  <w15:docId w15:val="{ADADD020-BE7D-1446-BC2B-5B2B806F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Yaokai Gao</dc:creator>
  <cp:keywords/>
  <dc:description/>
  <cp:lastModifiedBy>Yaokai Gao</cp:lastModifiedBy>
  <cp:revision>2</cp:revision>
  <dcterms:created xsi:type="dcterms:W3CDTF">2026-10-16T01:31:00Z</dcterms:created>
  <dcterms:modified xsi:type="dcterms:W3CDTF">2026-10-18T20:37:00Z</dcterms:modified>
</cp:coreProperties>
</file>